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6D8D4" w14:textId="77777777" w:rsidR="00770F32" w:rsidRPr="007248DE" w:rsidRDefault="00770F32" w:rsidP="00BB27D7">
      <w:pPr>
        <w:pStyle w:val="Heading1"/>
        <w:pBdr>
          <w:bottom w:val="single" w:sz="12" w:space="1" w:color="auto"/>
        </w:pBdr>
        <w:spacing w:before="240" w:line="276" w:lineRule="auto"/>
        <w:jc w:val="center"/>
        <w:rPr>
          <w:b/>
          <w:sz w:val="28"/>
          <w:lang w:val="pt-BR"/>
        </w:rPr>
      </w:pPr>
      <w:bookmarkStart w:id="0" w:name="_Toc132813076"/>
      <w:bookmarkStart w:id="1" w:name="_Toc133313240"/>
      <w:r w:rsidRPr="007248DE">
        <w:rPr>
          <w:b/>
          <w:sz w:val="28"/>
          <w:lang w:val="pt-BR"/>
        </w:rPr>
        <w:t>S T O P A N S K A  B A N K A  AD – S K O P J E</w:t>
      </w:r>
      <w:bookmarkEnd w:id="0"/>
      <w:bookmarkEnd w:id="1"/>
    </w:p>
    <w:p w14:paraId="44C91522" w14:textId="77777777" w:rsidR="00770F32" w:rsidRPr="00B76236" w:rsidRDefault="00770F32" w:rsidP="00BB27D7">
      <w:pPr>
        <w:spacing w:before="240"/>
        <w:jc w:val="both"/>
        <w:rPr>
          <w:lang w:val="mk-MK"/>
        </w:rPr>
      </w:pPr>
    </w:p>
    <w:p w14:paraId="713C8434" w14:textId="77777777" w:rsidR="00770F32" w:rsidRDefault="00770F32" w:rsidP="00BB27D7">
      <w:pPr>
        <w:spacing w:before="240"/>
        <w:jc w:val="both"/>
        <w:rPr>
          <w:lang w:val="pt-BR"/>
        </w:rPr>
      </w:pPr>
    </w:p>
    <w:p w14:paraId="39A8AA57" w14:textId="77777777" w:rsidR="00770F32" w:rsidRDefault="00770F32" w:rsidP="00BB27D7">
      <w:pPr>
        <w:spacing w:before="240"/>
        <w:jc w:val="both"/>
        <w:rPr>
          <w:lang w:val="pt-BR"/>
        </w:rPr>
      </w:pPr>
    </w:p>
    <w:p w14:paraId="169B915E" w14:textId="77777777" w:rsidR="00770F32" w:rsidRDefault="00770F32" w:rsidP="00BB27D7">
      <w:pPr>
        <w:spacing w:before="240"/>
        <w:jc w:val="both"/>
        <w:rPr>
          <w:lang w:val="pt-BR"/>
        </w:rPr>
      </w:pPr>
    </w:p>
    <w:p w14:paraId="69247ABE" w14:textId="77777777" w:rsidR="00770F32" w:rsidRDefault="00770F32" w:rsidP="00BB27D7">
      <w:pPr>
        <w:pStyle w:val="Heading5"/>
        <w:tabs>
          <w:tab w:val="center" w:pos="8080"/>
        </w:tabs>
        <w:spacing w:before="240"/>
        <w:jc w:val="both"/>
        <w:rPr>
          <w:lang w:val="pt-BR"/>
        </w:rPr>
      </w:pPr>
    </w:p>
    <w:p w14:paraId="3785C2AF" w14:textId="77777777" w:rsidR="00770F32" w:rsidRDefault="00770F32" w:rsidP="00BB27D7">
      <w:pPr>
        <w:spacing w:before="240"/>
        <w:jc w:val="both"/>
        <w:rPr>
          <w:lang w:val="pt-BR"/>
        </w:rPr>
      </w:pPr>
    </w:p>
    <w:p w14:paraId="218A907D" w14:textId="77777777" w:rsidR="00770F32" w:rsidRDefault="00770F32" w:rsidP="00BB27D7">
      <w:pPr>
        <w:spacing w:before="240"/>
        <w:jc w:val="both"/>
        <w:rPr>
          <w:lang w:val="pt-BR"/>
        </w:rPr>
      </w:pPr>
    </w:p>
    <w:p w14:paraId="5BD5C7E0" w14:textId="77777777" w:rsidR="00770F32" w:rsidRDefault="00770F32" w:rsidP="00BB27D7">
      <w:pPr>
        <w:spacing w:before="240"/>
        <w:jc w:val="both"/>
        <w:rPr>
          <w:lang w:val="pt-BR"/>
        </w:rPr>
      </w:pPr>
    </w:p>
    <w:p w14:paraId="3361CC9E" w14:textId="77777777" w:rsidR="00770F32" w:rsidRDefault="00770F32" w:rsidP="00BB27D7">
      <w:pPr>
        <w:spacing w:before="240"/>
        <w:jc w:val="both"/>
        <w:rPr>
          <w:lang w:val="pt-BR"/>
        </w:rPr>
      </w:pPr>
    </w:p>
    <w:p w14:paraId="49F3A6FC" w14:textId="77777777" w:rsidR="00770F32" w:rsidRPr="00986D0E" w:rsidRDefault="00770F32" w:rsidP="00BB27D7">
      <w:pPr>
        <w:pStyle w:val="Heading4"/>
        <w:spacing w:before="240"/>
        <w:jc w:val="center"/>
        <w:rPr>
          <w:rFonts w:ascii="Times New Roman" w:hAnsi="Times New Roman" w:cs="Times New Roman"/>
          <w:i w:val="0"/>
          <w:color w:val="auto"/>
          <w:sz w:val="32"/>
          <w:lang w:val="en-GB"/>
        </w:rPr>
      </w:pPr>
      <w:r w:rsidRPr="00986D0E">
        <w:rPr>
          <w:rFonts w:ascii="Times New Roman" w:hAnsi="Times New Roman" w:cs="Times New Roman"/>
          <w:i w:val="0"/>
          <w:color w:val="auto"/>
          <w:sz w:val="32"/>
          <w:lang w:val="en-GB"/>
        </w:rPr>
        <w:t>ANNUAL REPORT</w:t>
      </w:r>
    </w:p>
    <w:p w14:paraId="2359E65E" w14:textId="34A4F391" w:rsidR="00770F32" w:rsidRPr="00770F32" w:rsidRDefault="00770F32" w:rsidP="00BB27D7">
      <w:pPr>
        <w:pStyle w:val="Heading4"/>
        <w:spacing w:before="240"/>
        <w:jc w:val="center"/>
        <w:rPr>
          <w:rFonts w:ascii="Times New Roman" w:hAnsi="Times New Roman" w:cs="Times New Roman"/>
          <w:i w:val="0"/>
          <w:color w:val="auto"/>
          <w:sz w:val="32"/>
        </w:rPr>
      </w:pPr>
      <w:r w:rsidRPr="00770F32">
        <w:rPr>
          <w:rFonts w:ascii="Times New Roman" w:hAnsi="Times New Roman" w:cs="Times New Roman"/>
          <w:i w:val="0"/>
          <w:color w:val="auto"/>
          <w:sz w:val="32"/>
        </w:rPr>
        <w:t>20</w:t>
      </w:r>
      <w:r w:rsidR="00B7401E">
        <w:rPr>
          <w:rFonts w:ascii="Times New Roman" w:hAnsi="Times New Roman" w:cs="Times New Roman"/>
          <w:i w:val="0"/>
          <w:color w:val="auto"/>
          <w:sz w:val="32"/>
        </w:rPr>
        <w:t>2</w:t>
      </w:r>
      <w:r w:rsidR="009277DB">
        <w:rPr>
          <w:rFonts w:ascii="Times New Roman" w:hAnsi="Times New Roman" w:cs="Times New Roman"/>
          <w:i w:val="0"/>
          <w:color w:val="auto"/>
          <w:sz w:val="32"/>
          <w:lang w:val="mk-MK"/>
        </w:rPr>
        <w:t>2</w:t>
      </w:r>
    </w:p>
    <w:p w14:paraId="4AE76F4D" w14:textId="77777777" w:rsidR="00770F32" w:rsidRPr="00770F32" w:rsidRDefault="00770F32" w:rsidP="00BB27D7">
      <w:pPr>
        <w:spacing w:before="240"/>
        <w:jc w:val="both"/>
        <w:rPr>
          <w:rFonts w:ascii="Times New Roman" w:hAnsi="Times New Roman"/>
          <w:sz w:val="24"/>
          <w:szCs w:val="24"/>
        </w:rPr>
      </w:pPr>
    </w:p>
    <w:p w14:paraId="2BA5BDEE" w14:textId="77777777" w:rsidR="00770F32" w:rsidRPr="007248DE" w:rsidRDefault="00770F32" w:rsidP="00BB27D7">
      <w:pPr>
        <w:spacing w:before="240"/>
        <w:jc w:val="both"/>
        <w:rPr>
          <w:sz w:val="24"/>
          <w:szCs w:val="24"/>
        </w:rPr>
      </w:pPr>
    </w:p>
    <w:p w14:paraId="10742EF4" w14:textId="77777777" w:rsidR="00770F32" w:rsidRPr="007248DE" w:rsidRDefault="00770F32" w:rsidP="00BB27D7">
      <w:pPr>
        <w:spacing w:before="240"/>
        <w:jc w:val="both"/>
        <w:rPr>
          <w:sz w:val="24"/>
          <w:szCs w:val="24"/>
        </w:rPr>
      </w:pPr>
    </w:p>
    <w:p w14:paraId="5439F1CC" w14:textId="77777777" w:rsidR="00770F32" w:rsidRDefault="00770F32" w:rsidP="00BB27D7">
      <w:pPr>
        <w:spacing w:before="240"/>
        <w:jc w:val="both"/>
        <w:rPr>
          <w:sz w:val="24"/>
          <w:szCs w:val="24"/>
        </w:rPr>
      </w:pPr>
    </w:p>
    <w:p w14:paraId="4DFE10ED" w14:textId="77777777" w:rsidR="004A7A39" w:rsidRDefault="004A7A39" w:rsidP="00BB27D7">
      <w:pPr>
        <w:spacing w:before="240"/>
        <w:jc w:val="both"/>
        <w:rPr>
          <w:sz w:val="24"/>
          <w:szCs w:val="24"/>
        </w:rPr>
      </w:pPr>
    </w:p>
    <w:p w14:paraId="26DC2A91" w14:textId="77777777" w:rsidR="004A7A39" w:rsidRDefault="004A7A39" w:rsidP="00BB27D7">
      <w:pPr>
        <w:spacing w:before="240"/>
        <w:jc w:val="both"/>
        <w:rPr>
          <w:sz w:val="24"/>
          <w:szCs w:val="24"/>
        </w:rPr>
      </w:pPr>
    </w:p>
    <w:p w14:paraId="6759C7AD" w14:textId="77777777" w:rsidR="00672EB3" w:rsidRDefault="00672EB3" w:rsidP="00BB27D7">
      <w:pPr>
        <w:spacing w:before="240"/>
        <w:jc w:val="both"/>
        <w:rPr>
          <w:sz w:val="24"/>
          <w:szCs w:val="24"/>
        </w:rPr>
      </w:pPr>
    </w:p>
    <w:p w14:paraId="7A4E313A" w14:textId="77777777" w:rsidR="00702F05" w:rsidRPr="007248DE" w:rsidRDefault="00702F05" w:rsidP="00BB27D7">
      <w:pPr>
        <w:pBdr>
          <w:bottom w:val="single" w:sz="12" w:space="1" w:color="auto"/>
        </w:pBdr>
        <w:spacing w:before="240"/>
        <w:jc w:val="both"/>
        <w:rPr>
          <w:sz w:val="24"/>
          <w:szCs w:val="24"/>
        </w:rPr>
      </w:pPr>
    </w:p>
    <w:p w14:paraId="24C3882A" w14:textId="3720D406" w:rsidR="00770F32" w:rsidRPr="00770F32" w:rsidRDefault="00770F32" w:rsidP="00BB27D7">
      <w:pPr>
        <w:pStyle w:val="Heading4"/>
        <w:spacing w:before="240"/>
        <w:jc w:val="center"/>
        <w:rPr>
          <w:rFonts w:ascii="Times New Roman" w:hAnsi="Times New Roman" w:cs="Times New Roman"/>
          <w:i w:val="0"/>
          <w:color w:val="auto"/>
          <w:sz w:val="24"/>
          <w:szCs w:val="24"/>
          <w:lang w:val="en-GB"/>
        </w:rPr>
      </w:pPr>
      <w:r w:rsidRPr="008A2446">
        <w:rPr>
          <w:rFonts w:ascii="Times New Roman" w:hAnsi="Times New Roman" w:cs="Times New Roman"/>
          <w:i w:val="0"/>
          <w:color w:val="auto"/>
          <w:sz w:val="24"/>
          <w:szCs w:val="24"/>
          <w:lang w:val="en-GB"/>
        </w:rPr>
        <w:t xml:space="preserve">Skopje, </w:t>
      </w:r>
      <w:r w:rsidR="006E3C5E" w:rsidRPr="008A2446">
        <w:rPr>
          <w:rFonts w:ascii="Times New Roman" w:hAnsi="Times New Roman" w:cs="Times New Roman"/>
          <w:i w:val="0"/>
          <w:color w:val="auto"/>
          <w:sz w:val="24"/>
          <w:szCs w:val="24"/>
          <w:lang w:val="en-GB"/>
        </w:rPr>
        <w:t xml:space="preserve">April </w:t>
      </w:r>
      <w:r w:rsidR="007D5F5B" w:rsidRPr="008A2446">
        <w:rPr>
          <w:rFonts w:ascii="Times New Roman" w:hAnsi="Times New Roman" w:cs="Times New Roman"/>
          <w:i w:val="0"/>
          <w:color w:val="auto"/>
          <w:sz w:val="24"/>
          <w:szCs w:val="24"/>
          <w:lang w:val="en-GB"/>
        </w:rPr>
        <w:t>202</w:t>
      </w:r>
      <w:r w:rsidR="009277DB" w:rsidRPr="008A2446">
        <w:rPr>
          <w:rFonts w:ascii="Times New Roman" w:hAnsi="Times New Roman" w:cs="Times New Roman"/>
          <w:i w:val="0"/>
          <w:color w:val="auto"/>
          <w:sz w:val="24"/>
          <w:szCs w:val="24"/>
          <w:lang w:val="mk-MK"/>
        </w:rPr>
        <w:t>3</w:t>
      </w:r>
    </w:p>
    <w:p w14:paraId="7C4B841A" w14:textId="77777777" w:rsidR="006F64B1" w:rsidRDefault="006F64B1" w:rsidP="00BB27D7">
      <w:pPr>
        <w:pStyle w:val="BodyText"/>
        <w:spacing w:line="276" w:lineRule="auto"/>
        <w:rPr>
          <w:rFonts w:asciiTheme="minorHAnsi" w:hAnsiTheme="minorHAnsi" w:cstheme="minorHAnsi"/>
          <w:b/>
          <w:sz w:val="28"/>
        </w:rPr>
        <w:sectPr w:rsidR="006F64B1" w:rsidSect="0024475B">
          <w:footerReference w:type="default" r:id="rId8"/>
          <w:footerReference w:type="first" r:id="rId9"/>
          <w:pgSz w:w="12240" w:h="15840" w:code="1"/>
          <w:pgMar w:top="1440" w:right="1440" w:bottom="1440" w:left="1531" w:header="720" w:footer="720" w:gutter="0"/>
          <w:pgNumType w:start="1"/>
          <w:cols w:space="720"/>
          <w:titlePg/>
          <w:docGrid w:linePitch="360"/>
        </w:sectPr>
      </w:pPr>
    </w:p>
    <w:p w14:paraId="7817D945" w14:textId="74D41068" w:rsidR="00D74997" w:rsidRDefault="00B37EC3" w:rsidP="00BB27D7">
      <w:pPr>
        <w:rPr>
          <w:rFonts w:ascii="Times New Roman" w:hAnsi="Times New Roman"/>
          <w:b/>
          <w:sz w:val="28"/>
          <w:szCs w:val="28"/>
        </w:rPr>
      </w:pPr>
      <w:r w:rsidRPr="00196F45">
        <w:rPr>
          <w:rFonts w:ascii="Times New Roman" w:hAnsi="Times New Roman"/>
          <w:b/>
          <w:sz w:val="28"/>
          <w:szCs w:val="28"/>
        </w:rPr>
        <w:lastRenderedPageBreak/>
        <w:t>Table of contents:</w:t>
      </w:r>
    </w:p>
    <w:p w14:paraId="06864F95" w14:textId="77777777" w:rsidR="00BB27D7" w:rsidRDefault="00BB27D7" w:rsidP="00BB27D7">
      <w:pPr>
        <w:rPr>
          <w:rFonts w:ascii="Times New Roman" w:hAnsi="Times New Roman"/>
          <w:b/>
          <w:sz w:val="28"/>
          <w:szCs w:val="28"/>
        </w:rPr>
      </w:pPr>
    </w:p>
    <w:sdt>
      <w:sdtPr>
        <w:rPr>
          <w:rFonts w:ascii="Calibri" w:eastAsia="Calibri" w:hAnsi="Calibri"/>
          <w:b w:val="0"/>
          <w:bCs w:val="0"/>
          <w:iCs w:val="0"/>
          <w:noProof w:val="0"/>
          <w:sz w:val="22"/>
          <w:szCs w:val="22"/>
          <w:lang w:val="en-US"/>
        </w:rPr>
        <w:id w:val="804430524"/>
        <w:docPartObj>
          <w:docPartGallery w:val="Table of Contents"/>
          <w:docPartUnique/>
        </w:docPartObj>
      </w:sdtPr>
      <w:sdtContent>
        <w:p w14:paraId="01873C31" w14:textId="1662C540" w:rsidR="003636A6" w:rsidRDefault="007B638A" w:rsidP="00BB27D7">
          <w:pPr>
            <w:pStyle w:val="TOC1"/>
            <w:spacing w:line="276" w:lineRule="auto"/>
            <w:rPr>
              <w:rFonts w:asciiTheme="minorHAnsi" w:hAnsiTheme="minorHAnsi" w:cstheme="minorBidi"/>
              <w:b w:val="0"/>
              <w:sz w:val="22"/>
              <w:szCs w:val="22"/>
            </w:rPr>
          </w:pPr>
          <w:r>
            <w:rPr>
              <w:rFonts w:cstheme="majorBidi"/>
              <w:b w:val="0"/>
              <w:bCs w:val="0"/>
              <w:noProof w:val="0"/>
              <w:color w:val="365F91" w:themeColor="accent1" w:themeShade="BF"/>
            </w:rPr>
            <w:fldChar w:fldCharType="begin"/>
          </w:r>
          <w:r w:rsidR="00CD795A">
            <w:instrText xml:space="preserve"> TOC \o "1-3" \h \z \u </w:instrText>
          </w:r>
          <w:r>
            <w:rPr>
              <w:rFonts w:cstheme="majorBidi"/>
              <w:b w:val="0"/>
              <w:bCs w:val="0"/>
              <w:noProof w:val="0"/>
              <w:color w:val="365F91" w:themeColor="accent1" w:themeShade="BF"/>
            </w:rPr>
            <w:fldChar w:fldCharType="separate"/>
          </w:r>
          <w:hyperlink w:anchor="_Toc133313241" w:history="1">
            <w:r w:rsidR="003636A6" w:rsidRPr="001F32F5">
              <w:rPr>
                <w:rStyle w:val="Hyperlink"/>
              </w:rPr>
              <w:t>Review of 202</w:t>
            </w:r>
            <w:r w:rsidR="003636A6" w:rsidRPr="001F32F5">
              <w:rPr>
                <w:rStyle w:val="Hyperlink"/>
                <w:lang w:val="mk-MK"/>
              </w:rPr>
              <w:t>2</w:t>
            </w:r>
            <w:r w:rsidR="003636A6" w:rsidRPr="001F32F5">
              <w:rPr>
                <w:rStyle w:val="Hyperlink"/>
              </w:rPr>
              <w:t xml:space="preserve"> Activities</w:t>
            </w:r>
            <w:r w:rsidR="003636A6">
              <w:rPr>
                <w:webHidden/>
              </w:rPr>
              <w:tab/>
            </w:r>
            <w:r w:rsidR="003636A6">
              <w:rPr>
                <w:webHidden/>
              </w:rPr>
              <w:fldChar w:fldCharType="begin"/>
            </w:r>
            <w:r w:rsidR="003636A6">
              <w:rPr>
                <w:webHidden/>
              </w:rPr>
              <w:instrText xml:space="preserve"> PAGEREF _Toc133313241 \h </w:instrText>
            </w:r>
            <w:r w:rsidR="003636A6">
              <w:rPr>
                <w:webHidden/>
              </w:rPr>
            </w:r>
            <w:r w:rsidR="003636A6">
              <w:rPr>
                <w:webHidden/>
              </w:rPr>
              <w:fldChar w:fldCharType="separate"/>
            </w:r>
            <w:r w:rsidR="005D34A7">
              <w:rPr>
                <w:webHidden/>
              </w:rPr>
              <w:t>2</w:t>
            </w:r>
            <w:r w:rsidR="003636A6">
              <w:rPr>
                <w:webHidden/>
              </w:rPr>
              <w:fldChar w:fldCharType="end"/>
            </w:r>
          </w:hyperlink>
        </w:p>
        <w:p w14:paraId="3C1CDCD2" w14:textId="7503BE25" w:rsidR="003636A6" w:rsidRDefault="001F382F" w:rsidP="00BB27D7">
          <w:pPr>
            <w:pStyle w:val="TOC2"/>
            <w:spacing w:line="276" w:lineRule="auto"/>
            <w:rPr>
              <w:rFonts w:asciiTheme="minorHAnsi" w:hAnsiTheme="minorHAnsi" w:cstheme="minorBidi"/>
              <w:b w:val="0"/>
              <w:noProof/>
              <w:sz w:val="22"/>
              <w:szCs w:val="22"/>
            </w:rPr>
          </w:pPr>
          <w:hyperlink w:anchor="_Toc133313242" w:history="1">
            <w:r w:rsidR="003636A6" w:rsidRPr="001F32F5">
              <w:rPr>
                <w:rStyle w:val="Hyperlink"/>
                <w:noProof/>
              </w:rPr>
              <w:t>Financial Highlights</w:t>
            </w:r>
            <w:r w:rsidR="003636A6">
              <w:rPr>
                <w:noProof/>
                <w:webHidden/>
              </w:rPr>
              <w:tab/>
            </w:r>
            <w:r w:rsidR="003636A6">
              <w:rPr>
                <w:noProof/>
                <w:webHidden/>
              </w:rPr>
              <w:fldChar w:fldCharType="begin"/>
            </w:r>
            <w:r w:rsidR="003636A6">
              <w:rPr>
                <w:noProof/>
                <w:webHidden/>
              </w:rPr>
              <w:instrText xml:space="preserve"> PAGEREF _Toc133313242 \h </w:instrText>
            </w:r>
            <w:r w:rsidR="003636A6">
              <w:rPr>
                <w:noProof/>
                <w:webHidden/>
              </w:rPr>
            </w:r>
            <w:r w:rsidR="003636A6">
              <w:rPr>
                <w:noProof/>
                <w:webHidden/>
              </w:rPr>
              <w:fldChar w:fldCharType="separate"/>
            </w:r>
            <w:r w:rsidR="005D34A7">
              <w:rPr>
                <w:noProof/>
                <w:webHidden/>
              </w:rPr>
              <w:t>4</w:t>
            </w:r>
            <w:r w:rsidR="003636A6">
              <w:rPr>
                <w:noProof/>
                <w:webHidden/>
              </w:rPr>
              <w:fldChar w:fldCharType="end"/>
            </w:r>
          </w:hyperlink>
        </w:p>
        <w:p w14:paraId="3A5046E6" w14:textId="1339610A" w:rsidR="003636A6" w:rsidRDefault="001F382F" w:rsidP="00BB27D7">
          <w:pPr>
            <w:pStyle w:val="TOC2"/>
            <w:spacing w:line="276" w:lineRule="auto"/>
            <w:rPr>
              <w:rFonts w:asciiTheme="minorHAnsi" w:hAnsiTheme="minorHAnsi" w:cstheme="minorBidi"/>
              <w:b w:val="0"/>
              <w:noProof/>
              <w:sz w:val="22"/>
              <w:szCs w:val="22"/>
            </w:rPr>
          </w:pPr>
          <w:hyperlink w:anchor="_Toc133313243" w:history="1">
            <w:r w:rsidR="003636A6" w:rsidRPr="001F32F5">
              <w:rPr>
                <w:rStyle w:val="Hyperlink"/>
                <w:noProof/>
              </w:rPr>
              <w:t>Economic Environment</w:t>
            </w:r>
            <w:r w:rsidR="003636A6">
              <w:rPr>
                <w:noProof/>
                <w:webHidden/>
              </w:rPr>
              <w:tab/>
            </w:r>
            <w:r w:rsidR="003636A6">
              <w:rPr>
                <w:noProof/>
                <w:webHidden/>
              </w:rPr>
              <w:fldChar w:fldCharType="begin"/>
            </w:r>
            <w:r w:rsidR="003636A6">
              <w:rPr>
                <w:noProof/>
                <w:webHidden/>
              </w:rPr>
              <w:instrText xml:space="preserve"> PAGEREF _Toc133313243 \h </w:instrText>
            </w:r>
            <w:r w:rsidR="003636A6">
              <w:rPr>
                <w:noProof/>
                <w:webHidden/>
              </w:rPr>
            </w:r>
            <w:r w:rsidR="003636A6">
              <w:rPr>
                <w:noProof/>
                <w:webHidden/>
              </w:rPr>
              <w:fldChar w:fldCharType="separate"/>
            </w:r>
            <w:r w:rsidR="005D34A7">
              <w:rPr>
                <w:noProof/>
                <w:webHidden/>
              </w:rPr>
              <w:t>5</w:t>
            </w:r>
            <w:r w:rsidR="003636A6">
              <w:rPr>
                <w:noProof/>
                <w:webHidden/>
              </w:rPr>
              <w:fldChar w:fldCharType="end"/>
            </w:r>
          </w:hyperlink>
        </w:p>
        <w:p w14:paraId="34BCA5FE" w14:textId="6266A673" w:rsidR="003636A6" w:rsidRDefault="001F382F" w:rsidP="00BB27D7">
          <w:pPr>
            <w:pStyle w:val="TOC2"/>
            <w:spacing w:line="276" w:lineRule="auto"/>
            <w:rPr>
              <w:rFonts w:asciiTheme="minorHAnsi" w:hAnsiTheme="minorHAnsi" w:cstheme="minorBidi"/>
              <w:b w:val="0"/>
              <w:noProof/>
              <w:sz w:val="22"/>
              <w:szCs w:val="22"/>
            </w:rPr>
          </w:pPr>
          <w:hyperlink w:anchor="_Toc133313244" w:history="1">
            <w:r w:rsidR="003636A6" w:rsidRPr="001F32F5">
              <w:rPr>
                <w:rStyle w:val="Hyperlink"/>
                <w:noProof/>
              </w:rPr>
              <w:t>Basic Macroeconomic Indicators</w:t>
            </w:r>
            <w:r w:rsidR="003636A6">
              <w:rPr>
                <w:noProof/>
                <w:webHidden/>
              </w:rPr>
              <w:tab/>
            </w:r>
            <w:r w:rsidR="003636A6">
              <w:rPr>
                <w:noProof/>
                <w:webHidden/>
              </w:rPr>
              <w:fldChar w:fldCharType="begin"/>
            </w:r>
            <w:r w:rsidR="003636A6">
              <w:rPr>
                <w:noProof/>
                <w:webHidden/>
              </w:rPr>
              <w:instrText xml:space="preserve"> PAGEREF _Toc133313244 \h </w:instrText>
            </w:r>
            <w:r w:rsidR="003636A6">
              <w:rPr>
                <w:noProof/>
                <w:webHidden/>
              </w:rPr>
            </w:r>
            <w:r w:rsidR="003636A6">
              <w:rPr>
                <w:noProof/>
                <w:webHidden/>
              </w:rPr>
              <w:fldChar w:fldCharType="separate"/>
            </w:r>
            <w:r w:rsidR="005D34A7">
              <w:rPr>
                <w:noProof/>
                <w:webHidden/>
              </w:rPr>
              <w:t>7</w:t>
            </w:r>
            <w:r w:rsidR="003636A6">
              <w:rPr>
                <w:noProof/>
                <w:webHidden/>
              </w:rPr>
              <w:fldChar w:fldCharType="end"/>
            </w:r>
          </w:hyperlink>
        </w:p>
        <w:p w14:paraId="4438E334" w14:textId="52F74351" w:rsidR="003636A6" w:rsidRDefault="001F382F" w:rsidP="00BB27D7">
          <w:pPr>
            <w:pStyle w:val="TOC2"/>
            <w:spacing w:line="276" w:lineRule="auto"/>
            <w:rPr>
              <w:rFonts w:asciiTheme="minorHAnsi" w:hAnsiTheme="minorHAnsi" w:cstheme="minorBidi"/>
              <w:b w:val="0"/>
              <w:noProof/>
              <w:sz w:val="22"/>
              <w:szCs w:val="22"/>
            </w:rPr>
          </w:pPr>
          <w:hyperlink w:anchor="_Toc133313245" w:history="1">
            <w:r w:rsidR="003636A6" w:rsidRPr="001F32F5">
              <w:rPr>
                <w:rStyle w:val="Hyperlink"/>
                <w:noProof/>
              </w:rPr>
              <w:t>Banking sector &amp; SB</w:t>
            </w:r>
            <w:r w:rsidR="003636A6">
              <w:rPr>
                <w:noProof/>
                <w:webHidden/>
              </w:rPr>
              <w:tab/>
            </w:r>
            <w:r w:rsidR="003636A6">
              <w:rPr>
                <w:noProof/>
                <w:webHidden/>
              </w:rPr>
              <w:fldChar w:fldCharType="begin"/>
            </w:r>
            <w:r w:rsidR="003636A6">
              <w:rPr>
                <w:noProof/>
                <w:webHidden/>
              </w:rPr>
              <w:instrText xml:space="preserve"> PAGEREF _Toc133313245 \h </w:instrText>
            </w:r>
            <w:r w:rsidR="003636A6">
              <w:rPr>
                <w:noProof/>
                <w:webHidden/>
              </w:rPr>
            </w:r>
            <w:r w:rsidR="003636A6">
              <w:rPr>
                <w:noProof/>
                <w:webHidden/>
              </w:rPr>
              <w:fldChar w:fldCharType="separate"/>
            </w:r>
            <w:r w:rsidR="005D34A7">
              <w:rPr>
                <w:noProof/>
                <w:webHidden/>
              </w:rPr>
              <w:t>8</w:t>
            </w:r>
            <w:r w:rsidR="003636A6">
              <w:rPr>
                <w:noProof/>
                <w:webHidden/>
              </w:rPr>
              <w:fldChar w:fldCharType="end"/>
            </w:r>
          </w:hyperlink>
        </w:p>
        <w:p w14:paraId="55712B3D" w14:textId="58B20B16" w:rsidR="003636A6" w:rsidRDefault="001F382F" w:rsidP="00BB27D7">
          <w:pPr>
            <w:pStyle w:val="TOC2"/>
            <w:spacing w:line="276" w:lineRule="auto"/>
            <w:rPr>
              <w:rFonts w:asciiTheme="minorHAnsi" w:hAnsiTheme="minorHAnsi" w:cstheme="minorBidi"/>
              <w:b w:val="0"/>
              <w:noProof/>
              <w:sz w:val="22"/>
              <w:szCs w:val="22"/>
            </w:rPr>
          </w:pPr>
          <w:hyperlink w:anchor="_Toc133313246" w:history="1">
            <w:r w:rsidR="003636A6" w:rsidRPr="001F32F5">
              <w:rPr>
                <w:rStyle w:val="Hyperlink"/>
                <w:noProof/>
              </w:rPr>
              <w:t>Financial Performance</w:t>
            </w:r>
            <w:r w:rsidR="003636A6">
              <w:rPr>
                <w:noProof/>
                <w:webHidden/>
              </w:rPr>
              <w:tab/>
            </w:r>
            <w:r w:rsidR="003636A6">
              <w:rPr>
                <w:noProof/>
                <w:webHidden/>
              </w:rPr>
              <w:fldChar w:fldCharType="begin"/>
            </w:r>
            <w:r w:rsidR="003636A6">
              <w:rPr>
                <w:noProof/>
                <w:webHidden/>
              </w:rPr>
              <w:instrText xml:space="preserve"> PAGEREF _Toc133313246 \h </w:instrText>
            </w:r>
            <w:r w:rsidR="003636A6">
              <w:rPr>
                <w:noProof/>
                <w:webHidden/>
              </w:rPr>
            </w:r>
            <w:r w:rsidR="003636A6">
              <w:rPr>
                <w:noProof/>
                <w:webHidden/>
              </w:rPr>
              <w:fldChar w:fldCharType="separate"/>
            </w:r>
            <w:r w:rsidR="005D34A7">
              <w:rPr>
                <w:noProof/>
                <w:webHidden/>
              </w:rPr>
              <w:t>9</w:t>
            </w:r>
            <w:r w:rsidR="003636A6">
              <w:rPr>
                <w:noProof/>
                <w:webHidden/>
              </w:rPr>
              <w:fldChar w:fldCharType="end"/>
            </w:r>
          </w:hyperlink>
        </w:p>
        <w:p w14:paraId="7194ABD5" w14:textId="224EFB96" w:rsidR="003636A6" w:rsidRDefault="001F382F" w:rsidP="00BB27D7">
          <w:pPr>
            <w:pStyle w:val="TOC2"/>
            <w:spacing w:line="276" w:lineRule="auto"/>
            <w:rPr>
              <w:rFonts w:asciiTheme="minorHAnsi" w:hAnsiTheme="minorHAnsi" w:cstheme="minorBidi"/>
              <w:b w:val="0"/>
              <w:noProof/>
              <w:sz w:val="22"/>
              <w:szCs w:val="22"/>
            </w:rPr>
          </w:pPr>
          <w:hyperlink w:anchor="_Toc133313247" w:history="1">
            <w:r w:rsidR="003636A6" w:rsidRPr="001F32F5">
              <w:rPr>
                <w:rStyle w:val="Hyperlink"/>
                <w:noProof/>
              </w:rPr>
              <w:t>Assets and Liabilities</w:t>
            </w:r>
            <w:r w:rsidR="003636A6">
              <w:rPr>
                <w:noProof/>
                <w:webHidden/>
              </w:rPr>
              <w:tab/>
            </w:r>
            <w:r w:rsidR="003636A6">
              <w:rPr>
                <w:noProof/>
                <w:webHidden/>
              </w:rPr>
              <w:fldChar w:fldCharType="begin"/>
            </w:r>
            <w:r w:rsidR="003636A6">
              <w:rPr>
                <w:noProof/>
                <w:webHidden/>
              </w:rPr>
              <w:instrText xml:space="preserve"> PAGEREF _Toc133313247 \h </w:instrText>
            </w:r>
            <w:r w:rsidR="003636A6">
              <w:rPr>
                <w:noProof/>
                <w:webHidden/>
              </w:rPr>
            </w:r>
            <w:r w:rsidR="003636A6">
              <w:rPr>
                <w:noProof/>
                <w:webHidden/>
              </w:rPr>
              <w:fldChar w:fldCharType="separate"/>
            </w:r>
            <w:r w:rsidR="005D34A7">
              <w:rPr>
                <w:noProof/>
                <w:webHidden/>
              </w:rPr>
              <w:t>11</w:t>
            </w:r>
            <w:r w:rsidR="003636A6">
              <w:rPr>
                <w:noProof/>
                <w:webHidden/>
              </w:rPr>
              <w:fldChar w:fldCharType="end"/>
            </w:r>
          </w:hyperlink>
        </w:p>
        <w:p w14:paraId="6F910110" w14:textId="34DF5D6C" w:rsidR="003636A6" w:rsidRDefault="001F382F" w:rsidP="00BB27D7">
          <w:pPr>
            <w:pStyle w:val="TOC2"/>
            <w:spacing w:line="276" w:lineRule="auto"/>
            <w:rPr>
              <w:rFonts w:asciiTheme="minorHAnsi" w:hAnsiTheme="minorHAnsi" w:cstheme="minorBidi"/>
              <w:b w:val="0"/>
              <w:noProof/>
              <w:sz w:val="22"/>
              <w:szCs w:val="22"/>
            </w:rPr>
          </w:pPr>
          <w:hyperlink w:anchor="_Toc133313248" w:history="1">
            <w:r w:rsidR="003636A6" w:rsidRPr="001F32F5">
              <w:rPr>
                <w:rStyle w:val="Hyperlink"/>
                <w:noProof/>
              </w:rPr>
              <w:t>Retail Banking</w:t>
            </w:r>
            <w:r w:rsidR="003636A6">
              <w:rPr>
                <w:noProof/>
                <w:webHidden/>
              </w:rPr>
              <w:tab/>
            </w:r>
            <w:r w:rsidR="003636A6">
              <w:rPr>
                <w:noProof/>
                <w:webHidden/>
              </w:rPr>
              <w:fldChar w:fldCharType="begin"/>
            </w:r>
            <w:r w:rsidR="003636A6">
              <w:rPr>
                <w:noProof/>
                <w:webHidden/>
              </w:rPr>
              <w:instrText xml:space="preserve"> PAGEREF _Toc133313248 \h </w:instrText>
            </w:r>
            <w:r w:rsidR="003636A6">
              <w:rPr>
                <w:noProof/>
                <w:webHidden/>
              </w:rPr>
            </w:r>
            <w:r w:rsidR="003636A6">
              <w:rPr>
                <w:noProof/>
                <w:webHidden/>
              </w:rPr>
              <w:fldChar w:fldCharType="separate"/>
            </w:r>
            <w:r w:rsidR="005D34A7">
              <w:rPr>
                <w:noProof/>
                <w:webHidden/>
              </w:rPr>
              <w:t>12</w:t>
            </w:r>
            <w:r w:rsidR="003636A6">
              <w:rPr>
                <w:noProof/>
                <w:webHidden/>
              </w:rPr>
              <w:fldChar w:fldCharType="end"/>
            </w:r>
          </w:hyperlink>
        </w:p>
        <w:p w14:paraId="28E2B83A" w14:textId="0E7FDCAB" w:rsidR="003636A6" w:rsidRDefault="001F382F" w:rsidP="00BB27D7">
          <w:pPr>
            <w:pStyle w:val="TOC2"/>
            <w:spacing w:line="276" w:lineRule="auto"/>
            <w:rPr>
              <w:rFonts w:asciiTheme="minorHAnsi" w:hAnsiTheme="minorHAnsi" w:cstheme="minorBidi"/>
              <w:b w:val="0"/>
              <w:noProof/>
              <w:sz w:val="22"/>
              <w:szCs w:val="22"/>
            </w:rPr>
          </w:pPr>
          <w:hyperlink w:anchor="_Toc133313249" w:history="1">
            <w:r w:rsidR="003636A6" w:rsidRPr="001F32F5">
              <w:rPr>
                <w:rStyle w:val="Hyperlink"/>
                <w:noProof/>
              </w:rPr>
              <w:t>Corporate Banking</w:t>
            </w:r>
            <w:r w:rsidR="003636A6">
              <w:rPr>
                <w:noProof/>
                <w:webHidden/>
              </w:rPr>
              <w:tab/>
            </w:r>
            <w:r w:rsidR="003636A6">
              <w:rPr>
                <w:noProof/>
                <w:webHidden/>
              </w:rPr>
              <w:fldChar w:fldCharType="begin"/>
            </w:r>
            <w:r w:rsidR="003636A6">
              <w:rPr>
                <w:noProof/>
                <w:webHidden/>
              </w:rPr>
              <w:instrText xml:space="preserve"> PAGEREF _Toc133313249 \h </w:instrText>
            </w:r>
            <w:r w:rsidR="003636A6">
              <w:rPr>
                <w:noProof/>
                <w:webHidden/>
              </w:rPr>
            </w:r>
            <w:r w:rsidR="003636A6">
              <w:rPr>
                <w:noProof/>
                <w:webHidden/>
              </w:rPr>
              <w:fldChar w:fldCharType="separate"/>
            </w:r>
            <w:r w:rsidR="005D34A7">
              <w:rPr>
                <w:noProof/>
                <w:webHidden/>
              </w:rPr>
              <w:t>15</w:t>
            </w:r>
            <w:r w:rsidR="003636A6">
              <w:rPr>
                <w:noProof/>
                <w:webHidden/>
              </w:rPr>
              <w:fldChar w:fldCharType="end"/>
            </w:r>
          </w:hyperlink>
        </w:p>
        <w:p w14:paraId="1CC254D3" w14:textId="15DB0F1E" w:rsidR="003636A6" w:rsidRDefault="001F382F" w:rsidP="00BB27D7">
          <w:pPr>
            <w:pStyle w:val="TOC2"/>
            <w:spacing w:line="276" w:lineRule="auto"/>
            <w:rPr>
              <w:rFonts w:asciiTheme="minorHAnsi" w:hAnsiTheme="minorHAnsi" w:cstheme="minorBidi"/>
              <w:b w:val="0"/>
              <w:noProof/>
              <w:sz w:val="22"/>
              <w:szCs w:val="22"/>
            </w:rPr>
          </w:pPr>
          <w:hyperlink w:anchor="_Toc133313250" w:history="1">
            <w:r w:rsidR="003636A6" w:rsidRPr="001F32F5">
              <w:rPr>
                <w:rStyle w:val="Hyperlink"/>
                <w:noProof/>
              </w:rPr>
              <w:t>Risk Management</w:t>
            </w:r>
            <w:r w:rsidR="003636A6">
              <w:rPr>
                <w:noProof/>
                <w:webHidden/>
              </w:rPr>
              <w:tab/>
            </w:r>
            <w:r w:rsidR="003636A6">
              <w:rPr>
                <w:noProof/>
                <w:webHidden/>
              </w:rPr>
              <w:fldChar w:fldCharType="begin"/>
            </w:r>
            <w:r w:rsidR="003636A6">
              <w:rPr>
                <w:noProof/>
                <w:webHidden/>
              </w:rPr>
              <w:instrText xml:space="preserve"> PAGEREF _Toc133313250 \h </w:instrText>
            </w:r>
            <w:r w:rsidR="003636A6">
              <w:rPr>
                <w:noProof/>
                <w:webHidden/>
              </w:rPr>
            </w:r>
            <w:r w:rsidR="003636A6">
              <w:rPr>
                <w:noProof/>
                <w:webHidden/>
              </w:rPr>
              <w:fldChar w:fldCharType="separate"/>
            </w:r>
            <w:r w:rsidR="005D34A7">
              <w:rPr>
                <w:noProof/>
                <w:webHidden/>
              </w:rPr>
              <w:t>16</w:t>
            </w:r>
            <w:r w:rsidR="003636A6">
              <w:rPr>
                <w:noProof/>
                <w:webHidden/>
              </w:rPr>
              <w:fldChar w:fldCharType="end"/>
            </w:r>
          </w:hyperlink>
        </w:p>
        <w:p w14:paraId="663CEEA1" w14:textId="125C5F9A" w:rsidR="003636A6" w:rsidRDefault="001F382F" w:rsidP="00BB27D7">
          <w:pPr>
            <w:pStyle w:val="TOC2"/>
            <w:spacing w:line="276" w:lineRule="auto"/>
            <w:rPr>
              <w:rFonts w:asciiTheme="minorHAnsi" w:hAnsiTheme="minorHAnsi" w:cstheme="minorBidi"/>
              <w:b w:val="0"/>
              <w:noProof/>
              <w:sz w:val="22"/>
              <w:szCs w:val="22"/>
            </w:rPr>
          </w:pPr>
          <w:hyperlink w:anchor="_Toc133313251" w:history="1">
            <w:r w:rsidR="003636A6" w:rsidRPr="001F32F5">
              <w:rPr>
                <w:rStyle w:val="Hyperlink"/>
                <w:i/>
                <w:iCs/>
                <w:noProof/>
              </w:rPr>
              <w:t>Credit Risk Management</w:t>
            </w:r>
            <w:r w:rsidR="003636A6">
              <w:rPr>
                <w:noProof/>
                <w:webHidden/>
              </w:rPr>
              <w:tab/>
            </w:r>
            <w:r w:rsidR="003636A6">
              <w:rPr>
                <w:noProof/>
                <w:webHidden/>
              </w:rPr>
              <w:fldChar w:fldCharType="begin"/>
            </w:r>
            <w:r w:rsidR="003636A6">
              <w:rPr>
                <w:noProof/>
                <w:webHidden/>
              </w:rPr>
              <w:instrText xml:space="preserve"> PAGEREF _Toc133313251 \h </w:instrText>
            </w:r>
            <w:r w:rsidR="003636A6">
              <w:rPr>
                <w:noProof/>
                <w:webHidden/>
              </w:rPr>
            </w:r>
            <w:r w:rsidR="003636A6">
              <w:rPr>
                <w:noProof/>
                <w:webHidden/>
              </w:rPr>
              <w:fldChar w:fldCharType="separate"/>
            </w:r>
            <w:r w:rsidR="005D34A7">
              <w:rPr>
                <w:noProof/>
                <w:webHidden/>
              </w:rPr>
              <w:t>22</w:t>
            </w:r>
            <w:r w:rsidR="003636A6">
              <w:rPr>
                <w:noProof/>
                <w:webHidden/>
              </w:rPr>
              <w:fldChar w:fldCharType="end"/>
            </w:r>
          </w:hyperlink>
        </w:p>
        <w:p w14:paraId="4A9B775F" w14:textId="4494DFCD" w:rsidR="003636A6" w:rsidRDefault="001F382F" w:rsidP="00BB27D7">
          <w:pPr>
            <w:pStyle w:val="TOC2"/>
            <w:spacing w:line="276" w:lineRule="auto"/>
            <w:rPr>
              <w:rFonts w:asciiTheme="minorHAnsi" w:hAnsiTheme="minorHAnsi" w:cstheme="minorBidi"/>
              <w:b w:val="0"/>
              <w:noProof/>
              <w:sz w:val="22"/>
              <w:szCs w:val="22"/>
            </w:rPr>
          </w:pPr>
          <w:hyperlink w:anchor="_Toc133313252" w:history="1">
            <w:r w:rsidR="003636A6" w:rsidRPr="001F32F5">
              <w:rPr>
                <w:rStyle w:val="Hyperlink"/>
                <w:i/>
                <w:iCs/>
                <w:noProof/>
              </w:rPr>
              <w:t>Liquidity Risk Management</w:t>
            </w:r>
            <w:r w:rsidR="003636A6">
              <w:rPr>
                <w:noProof/>
                <w:webHidden/>
              </w:rPr>
              <w:tab/>
            </w:r>
            <w:r w:rsidR="003636A6">
              <w:rPr>
                <w:noProof/>
                <w:webHidden/>
              </w:rPr>
              <w:fldChar w:fldCharType="begin"/>
            </w:r>
            <w:r w:rsidR="003636A6">
              <w:rPr>
                <w:noProof/>
                <w:webHidden/>
              </w:rPr>
              <w:instrText xml:space="preserve"> PAGEREF _Toc133313252 \h </w:instrText>
            </w:r>
            <w:r w:rsidR="003636A6">
              <w:rPr>
                <w:noProof/>
                <w:webHidden/>
              </w:rPr>
            </w:r>
            <w:r w:rsidR="003636A6">
              <w:rPr>
                <w:noProof/>
                <w:webHidden/>
              </w:rPr>
              <w:fldChar w:fldCharType="separate"/>
            </w:r>
            <w:r w:rsidR="005D34A7">
              <w:rPr>
                <w:noProof/>
                <w:webHidden/>
              </w:rPr>
              <w:t>24</w:t>
            </w:r>
            <w:r w:rsidR="003636A6">
              <w:rPr>
                <w:noProof/>
                <w:webHidden/>
              </w:rPr>
              <w:fldChar w:fldCharType="end"/>
            </w:r>
          </w:hyperlink>
        </w:p>
        <w:p w14:paraId="493F4C08" w14:textId="16805452" w:rsidR="003636A6" w:rsidRDefault="001F382F" w:rsidP="00BB27D7">
          <w:pPr>
            <w:pStyle w:val="TOC2"/>
            <w:spacing w:line="276" w:lineRule="auto"/>
            <w:rPr>
              <w:rFonts w:asciiTheme="minorHAnsi" w:hAnsiTheme="minorHAnsi" w:cstheme="minorBidi"/>
              <w:b w:val="0"/>
              <w:noProof/>
              <w:sz w:val="22"/>
              <w:szCs w:val="22"/>
            </w:rPr>
          </w:pPr>
          <w:hyperlink w:anchor="_Toc133313253" w:history="1">
            <w:r w:rsidR="003636A6" w:rsidRPr="001F32F5">
              <w:rPr>
                <w:rStyle w:val="Hyperlink"/>
                <w:i/>
                <w:iCs/>
                <w:noProof/>
              </w:rPr>
              <w:t>Interest Rate Risk Management</w:t>
            </w:r>
            <w:r w:rsidR="003636A6">
              <w:rPr>
                <w:noProof/>
                <w:webHidden/>
              </w:rPr>
              <w:tab/>
            </w:r>
            <w:r w:rsidR="003636A6">
              <w:rPr>
                <w:noProof/>
                <w:webHidden/>
              </w:rPr>
              <w:fldChar w:fldCharType="begin"/>
            </w:r>
            <w:r w:rsidR="003636A6">
              <w:rPr>
                <w:noProof/>
                <w:webHidden/>
              </w:rPr>
              <w:instrText xml:space="preserve"> PAGEREF _Toc133313253 \h </w:instrText>
            </w:r>
            <w:r w:rsidR="003636A6">
              <w:rPr>
                <w:noProof/>
                <w:webHidden/>
              </w:rPr>
            </w:r>
            <w:r w:rsidR="003636A6">
              <w:rPr>
                <w:noProof/>
                <w:webHidden/>
              </w:rPr>
              <w:fldChar w:fldCharType="separate"/>
            </w:r>
            <w:r w:rsidR="005D34A7">
              <w:rPr>
                <w:noProof/>
                <w:webHidden/>
              </w:rPr>
              <w:t>26</w:t>
            </w:r>
            <w:r w:rsidR="003636A6">
              <w:rPr>
                <w:noProof/>
                <w:webHidden/>
              </w:rPr>
              <w:fldChar w:fldCharType="end"/>
            </w:r>
          </w:hyperlink>
        </w:p>
        <w:p w14:paraId="1C54A48D" w14:textId="3EBB1126" w:rsidR="003636A6" w:rsidRDefault="001F382F" w:rsidP="00BB27D7">
          <w:pPr>
            <w:pStyle w:val="TOC2"/>
            <w:spacing w:line="276" w:lineRule="auto"/>
            <w:rPr>
              <w:rFonts w:asciiTheme="minorHAnsi" w:hAnsiTheme="minorHAnsi" w:cstheme="minorBidi"/>
              <w:b w:val="0"/>
              <w:noProof/>
              <w:sz w:val="22"/>
              <w:szCs w:val="22"/>
            </w:rPr>
          </w:pPr>
          <w:hyperlink w:anchor="_Toc133313254" w:history="1">
            <w:r w:rsidR="003636A6" w:rsidRPr="001F32F5">
              <w:rPr>
                <w:rStyle w:val="Hyperlink"/>
                <w:i/>
                <w:iCs/>
                <w:noProof/>
              </w:rPr>
              <w:t>Foreign Exchange Risk Management</w:t>
            </w:r>
            <w:r w:rsidR="003636A6">
              <w:rPr>
                <w:noProof/>
                <w:webHidden/>
              </w:rPr>
              <w:tab/>
            </w:r>
            <w:r w:rsidR="003636A6">
              <w:rPr>
                <w:noProof/>
                <w:webHidden/>
              </w:rPr>
              <w:fldChar w:fldCharType="begin"/>
            </w:r>
            <w:r w:rsidR="003636A6">
              <w:rPr>
                <w:noProof/>
                <w:webHidden/>
              </w:rPr>
              <w:instrText xml:space="preserve"> PAGEREF _Toc133313254 \h </w:instrText>
            </w:r>
            <w:r w:rsidR="003636A6">
              <w:rPr>
                <w:noProof/>
                <w:webHidden/>
              </w:rPr>
            </w:r>
            <w:r w:rsidR="003636A6">
              <w:rPr>
                <w:noProof/>
                <w:webHidden/>
              </w:rPr>
              <w:fldChar w:fldCharType="separate"/>
            </w:r>
            <w:r w:rsidR="005D34A7">
              <w:rPr>
                <w:noProof/>
                <w:webHidden/>
              </w:rPr>
              <w:t>27</w:t>
            </w:r>
            <w:r w:rsidR="003636A6">
              <w:rPr>
                <w:noProof/>
                <w:webHidden/>
              </w:rPr>
              <w:fldChar w:fldCharType="end"/>
            </w:r>
          </w:hyperlink>
        </w:p>
        <w:p w14:paraId="7639804C" w14:textId="3DEE583C" w:rsidR="003636A6" w:rsidRDefault="001F382F" w:rsidP="00BB27D7">
          <w:pPr>
            <w:pStyle w:val="TOC2"/>
            <w:spacing w:line="276" w:lineRule="auto"/>
            <w:rPr>
              <w:rFonts w:asciiTheme="minorHAnsi" w:hAnsiTheme="minorHAnsi" w:cstheme="minorBidi"/>
              <w:b w:val="0"/>
              <w:noProof/>
              <w:sz w:val="22"/>
              <w:szCs w:val="22"/>
            </w:rPr>
          </w:pPr>
          <w:hyperlink w:anchor="_Toc133313255" w:history="1">
            <w:r w:rsidR="003636A6" w:rsidRPr="001F32F5">
              <w:rPr>
                <w:rStyle w:val="Hyperlink"/>
                <w:i/>
                <w:iCs/>
                <w:noProof/>
              </w:rPr>
              <w:t>Operational Risk Management</w:t>
            </w:r>
            <w:r w:rsidR="003636A6">
              <w:rPr>
                <w:noProof/>
                <w:webHidden/>
              </w:rPr>
              <w:tab/>
            </w:r>
            <w:r w:rsidR="003636A6">
              <w:rPr>
                <w:noProof/>
                <w:webHidden/>
              </w:rPr>
              <w:fldChar w:fldCharType="begin"/>
            </w:r>
            <w:r w:rsidR="003636A6">
              <w:rPr>
                <w:noProof/>
                <w:webHidden/>
              </w:rPr>
              <w:instrText xml:space="preserve"> PAGEREF _Toc133313255 \h </w:instrText>
            </w:r>
            <w:r w:rsidR="003636A6">
              <w:rPr>
                <w:noProof/>
                <w:webHidden/>
              </w:rPr>
            </w:r>
            <w:r w:rsidR="003636A6">
              <w:rPr>
                <w:noProof/>
                <w:webHidden/>
              </w:rPr>
              <w:fldChar w:fldCharType="separate"/>
            </w:r>
            <w:r w:rsidR="005D34A7">
              <w:rPr>
                <w:noProof/>
                <w:webHidden/>
              </w:rPr>
              <w:t>27</w:t>
            </w:r>
            <w:r w:rsidR="003636A6">
              <w:rPr>
                <w:noProof/>
                <w:webHidden/>
              </w:rPr>
              <w:fldChar w:fldCharType="end"/>
            </w:r>
          </w:hyperlink>
        </w:p>
        <w:p w14:paraId="16FBE3F7" w14:textId="6C6D50AA" w:rsidR="003636A6" w:rsidRDefault="001F382F" w:rsidP="00BB27D7">
          <w:pPr>
            <w:pStyle w:val="TOC2"/>
            <w:spacing w:line="276" w:lineRule="auto"/>
            <w:rPr>
              <w:rFonts w:asciiTheme="minorHAnsi" w:hAnsiTheme="minorHAnsi" w:cstheme="minorBidi"/>
              <w:b w:val="0"/>
              <w:noProof/>
              <w:sz w:val="22"/>
              <w:szCs w:val="22"/>
            </w:rPr>
          </w:pPr>
          <w:hyperlink w:anchor="_Toc133313256" w:history="1">
            <w:r w:rsidR="003636A6" w:rsidRPr="001F32F5">
              <w:rPr>
                <w:rStyle w:val="Hyperlink"/>
                <w:i/>
                <w:iCs/>
                <w:noProof/>
              </w:rPr>
              <w:t>Capital Adequacy, Internal Capital Adequacy Assessment Process and Stress Test</w:t>
            </w:r>
            <w:r w:rsidR="003636A6">
              <w:rPr>
                <w:noProof/>
                <w:webHidden/>
              </w:rPr>
              <w:tab/>
            </w:r>
            <w:r w:rsidR="003636A6">
              <w:rPr>
                <w:noProof/>
                <w:webHidden/>
              </w:rPr>
              <w:fldChar w:fldCharType="begin"/>
            </w:r>
            <w:r w:rsidR="003636A6">
              <w:rPr>
                <w:noProof/>
                <w:webHidden/>
              </w:rPr>
              <w:instrText xml:space="preserve"> PAGEREF _Toc133313256 \h </w:instrText>
            </w:r>
            <w:r w:rsidR="003636A6">
              <w:rPr>
                <w:noProof/>
                <w:webHidden/>
              </w:rPr>
            </w:r>
            <w:r w:rsidR="003636A6">
              <w:rPr>
                <w:noProof/>
                <w:webHidden/>
              </w:rPr>
              <w:fldChar w:fldCharType="separate"/>
            </w:r>
            <w:r w:rsidR="005D34A7">
              <w:rPr>
                <w:noProof/>
                <w:webHidden/>
              </w:rPr>
              <w:t>29</w:t>
            </w:r>
            <w:r w:rsidR="003636A6">
              <w:rPr>
                <w:noProof/>
                <w:webHidden/>
              </w:rPr>
              <w:fldChar w:fldCharType="end"/>
            </w:r>
          </w:hyperlink>
        </w:p>
        <w:p w14:paraId="5865340D" w14:textId="3176119A" w:rsidR="003636A6" w:rsidRDefault="001F382F" w:rsidP="00BB27D7">
          <w:pPr>
            <w:pStyle w:val="TOC2"/>
            <w:spacing w:line="276" w:lineRule="auto"/>
            <w:rPr>
              <w:rFonts w:asciiTheme="minorHAnsi" w:hAnsiTheme="minorHAnsi" w:cstheme="minorBidi"/>
              <w:b w:val="0"/>
              <w:noProof/>
              <w:sz w:val="22"/>
              <w:szCs w:val="22"/>
            </w:rPr>
          </w:pPr>
          <w:hyperlink w:anchor="_Toc133313257" w:history="1">
            <w:r w:rsidR="003636A6" w:rsidRPr="001F32F5">
              <w:rPr>
                <w:rStyle w:val="Hyperlink"/>
                <w:noProof/>
              </w:rPr>
              <w:t>Compliance, Anti-Money Laundering and Combat Terrorist Financing activities</w:t>
            </w:r>
            <w:r w:rsidR="003636A6">
              <w:rPr>
                <w:noProof/>
                <w:webHidden/>
              </w:rPr>
              <w:tab/>
            </w:r>
            <w:r w:rsidR="003636A6">
              <w:rPr>
                <w:noProof/>
                <w:webHidden/>
              </w:rPr>
              <w:fldChar w:fldCharType="begin"/>
            </w:r>
            <w:r w:rsidR="003636A6">
              <w:rPr>
                <w:noProof/>
                <w:webHidden/>
              </w:rPr>
              <w:instrText xml:space="preserve"> PAGEREF _Toc133313257 \h </w:instrText>
            </w:r>
            <w:r w:rsidR="003636A6">
              <w:rPr>
                <w:noProof/>
                <w:webHidden/>
              </w:rPr>
            </w:r>
            <w:r w:rsidR="003636A6">
              <w:rPr>
                <w:noProof/>
                <w:webHidden/>
              </w:rPr>
              <w:fldChar w:fldCharType="separate"/>
            </w:r>
            <w:r w:rsidR="005D34A7">
              <w:rPr>
                <w:noProof/>
                <w:webHidden/>
              </w:rPr>
              <w:t>29</w:t>
            </w:r>
            <w:r w:rsidR="003636A6">
              <w:rPr>
                <w:noProof/>
                <w:webHidden/>
              </w:rPr>
              <w:fldChar w:fldCharType="end"/>
            </w:r>
          </w:hyperlink>
        </w:p>
        <w:p w14:paraId="3D8AAED7" w14:textId="79B51910" w:rsidR="003636A6" w:rsidRDefault="001F382F" w:rsidP="00BB27D7">
          <w:pPr>
            <w:pStyle w:val="TOC2"/>
            <w:spacing w:line="276" w:lineRule="auto"/>
            <w:rPr>
              <w:rFonts w:asciiTheme="minorHAnsi" w:hAnsiTheme="minorHAnsi" w:cstheme="minorBidi"/>
              <w:b w:val="0"/>
              <w:noProof/>
              <w:sz w:val="22"/>
              <w:szCs w:val="22"/>
            </w:rPr>
          </w:pPr>
          <w:hyperlink w:anchor="_Toc133313258" w:history="1">
            <w:r w:rsidR="003636A6" w:rsidRPr="001F32F5">
              <w:rPr>
                <w:rStyle w:val="Hyperlink"/>
                <w:noProof/>
              </w:rPr>
              <w:t>Personal Data Protection</w:t>
            </w:r>
            <w:r w:rsidR="003636A6">
              <w:rPr>
                <w:noProof/>
                <w:webHidden/>
              </w:rPr>
              <w:tab/>
            </w:r>
            <w:r w:rsidR="003636A6">
              <w:rPr>
                <w:noProof/>
                <w:webHidden/>
              </w:rPr>
              <w:fldChar w:fldCharType="begin"/>
            </w:r>
            <w:r w:rsidR="003636A6">
              <w:rPr>
                <w:noProof/>
                <w:webHidden/>
              </w:rPr>
              <w:instrText xml:space="preserve"> PAGEREF _Toc133313258 \h </w:instrText>
            </w:r>
            <w:r w:rsidR="003636A6">
              <w:rPr>
                <w:noProof/>
                <w:webHidden/>
              </w:rPr>
            </w:r>
            <w:r w:rsidR="003636A6">
              <w:rPr>
                <w:noProof/>
                <w:webHidden/>
              </w:rPr>
              <w:fldChar w:fldCharType="separate"/>
            </w:r>
            <w:r w:rsidR="005D34A7">
              <w:rPr>
                <w:noProof/>
                <w:webHidden/>
              </w:rPr>
              <w:t>30</w:t>
            </w:r>
            <w:r w:rsidR="003636A6">
              <w:rPr>
                <w:noProof/>
                <w:webHidden/>
              </w:rPr>
              <w:fldChar w:fldCharType="end"/>
            </w:r>
          </w:hyperlink>
        </w:p>
        <w:p w14:paraId="22BE264E" w14:textId="1FF99673" w:rsidR="00CD795A" w:rsidRDefault="001F382F" w:rsidP="00BB27D7">
          <w:pPr>
            <w:tabs>
              <w:tab w:val="right" w:pos="9269"/>
            </w:tabs>
          </w:pPr>
          <w:hyperlink w:anchor="_Toc133313259" w:history="1">
            <w:r w:rsidR="00CC3D4F" w:rsidRPr="00CC3D4F">
              <w:rPr>
                <w:rStyle w:val="Hyperlink"/>
                <w:rFonts w:ascii="Times New Roman" w:hAnsi="Times New Roman"/>
                <w:b/>
                <w:noProof/>
                <w:lang w:eastAsia="en-GB"/>
              </w:rPr>
              <w:t>CORPORATE GOVERNANCE REPORT 2022</w:t>
            </w:r>
            <w:r w:rsidR="00CC3D4F">
              <w:rPr>
                <w:rStyle w:val="Hyperlink"/>
                <w:rFonts w:ascii="Times New Roman" w:hAnsi="Times New Roman"/>
                <w:b/>
                <w:noProof/>
                <w:lang w:eastAsia="en-GB"/>
              </w:rPr>
              <w:t>……………………………………………………..</w:t>
            </w:r>
            <w:r w:rsidR="003636A6" w:rsidRPr="00CC3D4F">
              <w:rPr>
                <w:rFonts w:ascii="Times New Roman" w:hAnsi="Times New Roman"/>
                <w:b/>
                <w:noProof/>
                <w:webHidden/>
              </w:rPr>
              <w:tab/>
            </w:r>
            <w:r w:rsidR="003636A6" w:rsidRPr="00CC3D4F">
              <w:rPr>
                <w:rFonts w:ascii="Times New Roman" w:eastAsiaTheme="minorEastAsia" w:hAnsi="Times New Roman"/>
                <w:b/>
                <w:bCs/>
                <w:iCs/>
                <w:noProof/>
                <w:webHidden/>
                <w:sz w:val="24"/>
                <w:szCs w:val="24"/>
                <w:lang w:val="pt-BR"/>
              </w:rPr>
              <w:fldChar w:fldCharType="begin"/>
            </w:r>
            <w:r w:rsidR="003636A6" w:rsidRPr="00CC3D4F">
              <w:rPr>
                <w:rFonts w:ascii="Times New Roman" w:hAnsi="Times New Roman"/>
                <w:b/>
                <w:noProof/>
                <w:webHidden/>
              </w:rPr>
              <w:instrText xml:space="preserve"> PAGEREF _Toc133313259 \h </w:instrText>
            </w:r>
            <w:r w:rsidR="003636A6" w:rsidRPr="00CC3D4F">
              <w:rPr>
                <w:rFonts w:ascii="Times New Roman" w:eastAsiaTheme="minorEastAsia" w:hAnsi="Times New Roman"/>
                <w:b/>
                <w:bCs/>
                <w:iCs/>
                <w:noProof/>
                <w:webHidden/>
                <w:sz w:val="24"/>
                <w:szCs w:val="24"/>
                <w:lang w:val="pt-BR"/>
              </w:rPr>
            </w:r>
            <w:r w:rsidR="003636A6" w:rsidRPr="00CC3D4F">
              <w:rPr>
                <w:rFonts w:ascii="Times New Roman" w:eastAsiaTheme="minorEastAsia" w:hAnsi="Times New Roman"/>
                <w:b/>
                <w:bCs/>
                <w:iCs/>
                <w:noProof/>
                <w:webHidden/>
                <w:sz w:val="24"/>
                <w:szCs w:val="24"/>
                <w:lang w:val="pt-BR"/>
              </w:rPr>
              <w:fldChar w:fldCharType="separate"/>
            </w:r>
            <w:r w:rsidR="005D34A7">
              <w:rPr>
                <w:rFonts w:ascii="Times New Roman" w:hAnsi="Times New Roman"/>
                <w:b/>
                <w:noProof/>
                <w:webHidden/>
              </w:rPr>
              <w:t>31</w:t>
            </w:r>
            <w:r w:rsidR="003636A6" w:rsidRPr="00CC3D4F">
              <w:rPr>
                <w:rFonts w:ascii="Times New Roman" w:eastAsiaTheme="minorEastAsia" w:hAnsi="Times New Roman"/>
                <w:b/>
                <w:bCs/>
                <w:iCs/>
                <w:noProof/>
                <w:webHidden/>
                <w:sz w:val="24"/>
                <w:szCs w:val="24"/>
                <w:lang w:val="pt-BR"/>
              </w:rPr>
              <w:fldChar w:fldCharType="end"/>
            </w:r>
          </w:hyperlink>
          <w:r w:rsidR="007B638A">
            <w:rPr>
              <w:b/>
              <w:bCs/>
              <w:noProof/>
            </w:rPr>
            <w:fldChar w:fldCharType="end"/>
          </w:r>
        </w:p>
      </w:sdtContent>
    </w:sdt>
    <w:p w14:paraId="73D04CA2" w14:textId="77777777" w:rsidR="00CD795A" w:rsidRDefault="00CD795A" w:rsidP="00BB27D7">
      <w:pPr>
        <w:rPr>
          <w:rFonts w:ascii="Times New Roman" w:hAnsi="Times New Roman"/>
          <w:b/>
          <w:sz w:val="28"/>
          <w:szCs w:val="28"/>
        </w:rPr>
      </w:pPr>
    </w:p>
    <w:p w14:paraId="1918DBF0" w14:textId="77777777" w:rsidR="00B8355F" w:rsidRDefault="00B8355F" w:rsidP="00BB27D7">
      <w:pPr>
        <w:pStyle w:val="BodyText"/>
        <w:spacing w:line="276" w:lineRule="auto"/>
        <w:jc w:val="center"/>
      </w:pPr>
    </w:p>
    <w:p w14:paraId="69BA4E0B" w14:textId="77777777" w:rsidR="00B8355F" w:rsidRDefault="00B8355F" w:rsidP="00BB27D7">
      <w:pPr>
        <w:pStyle w:val="BodyText"/>
        <w:spacing w:line="276" w:lineRule="auto"/>
        <w:jc w:val="center"/>
      </w:pPr>
    </w:p>
    <w:p w14:paraId="2B50DD41" w14:textId="77777777" w:rsidR="00B8355F" w:rsidRDefault="00B8355F" w:rsidP="00BB27D7">
      <w:pPr>
        <w:pStyle w:val="BodyText"/>
        <w:spacing w:line="276" w:lineRule="auto"/>
        <w:jc w:val="center"/>
      </w:pPr>
    </w:p>
    <w:p w14:paraId="5844D79C" w14:textId="77777777" w:rsidR="00B8355F" w:rsidRDefault="00B8355F" w:rsidP="00BB27D7">
      <w:pPr>
        <w:pStyle w:val="BodyText"/>
        <w:spacing w:line="276" w:lineRule="auto"/>
        <w:jc w:val="center"/>
      </w:pPr>
    </w:p>
    <w:p w14:paraId="64106312" w14:textId="77777777" w:rsidR="00B8355F" w:rsidRDefault="00B8355F" w:rsidP="00BB27D7">
      <w:pPr>
        <w:pStyle w:val="BodyText"/>
        <w:spacing w:line="276" w:lineRule="auto"/>
        <w:jc w:val="center"/>
      </w:pPr>
    </w:p>
    <w:p w14:paraId="63B59CDA" w14:textId="77777777" w:rsidR="00BA48AD" w:rsidRDefault="00BA48AD" w:rsidP="00BB27D7">
      <w:pPr>
        <w:pStyle w:val="BodyText"/>
        <w:spacing w:line="276" w:lineRule="auto"/>
        <w:jc w:val="center"/>
      </w:pPr>
    </w:p>
    <w:p w14:paraId="494F45F0" w14:textId="77777777" w:rsidR="00B8355F" w:rsidRDefault="00DF15DE" w:rsidP="00BB27D7">
      <w:pPr>
        <w:pStyle w:val="BodyText"/>
        <w:spacing w:line="276" w:lineRule="auto"/>
      </w:pPr>
      <w:r>
        <w:rPr>
          <w:noProof/>
          <w:lang w:val="en-US"/>
        </w:rPr>
        <mc:AlternateContent>
          <mc:Choice Requires="wps">
            <w:drawing>
              <wp:anchor distT="0" distB="0" distL="114300" distR="114300" simplePos="0" relativeHeight="251886080" behindDoc="0" locked="0" layoutInCell="1" allowOverlap="1" wp14:anchorId="53A2656C" wp14:editId="1819B1E9">
                <wp:simplePos x="0" y="0"/>
                <wp:positionH relativeFrom="column">
                  <wp:posOffset>5263515</wp:posOffset>
                </wp:positionH>
                <wp:positionV relativeFrom="paragraph">
                  <wp:posOffset>226695</wp:posOffset>
                </wp:positionV>
                <wp:extent cx="1054735" cy="323850"/>
                <wp:effectExtent l="0" t="0" r="12065" b="1905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735" cy="32385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47D2B7CC" w14:textId="77777777" w:rsidR="001F382F" w:rsidRDefault="001F38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A2656C" id="_x0000_t202" coordsize="21600,21600" o:spt="202" path="m,l,21600r21600,l21600,xe">
                <v:stroke joinstyle="miter"/>
                <v:path gradientshapeok="t" o:connecttype="rect"/>
              </v:shapetype>
              <v:shape id="Text Box 3" o:spid="_x0000_s1026" type="#_x0000_t202" style="position:absolute;margin-left:414.45pt;margin-top:17.85pt;width:83.05pt;height:25.5pt;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" fillcolor="white [3212]" strokecolor="white [3212]">
                <v:textbox>
                  <w:txbxContent>
                    <w:p w14:paraId="47D2B7CC" w14:textId="77777777" w:rsidR="001F382F" w:rsidRDefault="001F382F"/>
                  </w:txbxContent>
                </v:textbox>
              </v:shape>
            </w:pict>
          </mc:Fallback>
        </mc:AlternateContent>
      </w:r>
    </w:p>
    <w:p w14:paraId="013AF3DD" w14:textId="77777777" w:rsidR="005209A5" w:rsidRDefault="005209A5" w:rsidP="00BB27D7">
      <w:pPr>
        <w:spacing w:after="0"/>
        <w:rPr>
          <w:rFonts w:ascii="Times New Roman" w:eastAsia="Times New Roman" w:hAnsi="Times New Roman"/>
          <w:b/>
          <w:bCs/>
          <w:sz w:val="28"/>
          <w:szCs w:val="28"/>
        </w:rPr>
      </w:pPr>
      <w:r>
        <w:rPr>
          <w:sz w:val="28"/>
          <w:szCs w:val="28"/>
        </w:rPr>
        <w:br w:type="page"/>
      </w:r>
    </w:p>
    <w:p w14:paraId="1AD20304" w14:textId="070ECA2A" w:rsidR="00BF259F" w:rsidRPr="00BF259F" w:rsidRDefault="00BF259F" w:rsidP="00BF259F">
      <w:pPr>
        <w:jc w:val="both"/>
        <w:rPr>
          <w:rFonts w:ascii="Times New Roman" w:hAnsi="Times New Roman"/>
          <w:sz w:val="24"/>
          <w:lang w:val="mk-MK"/>
        </w:rPr>
      </w:pPr>
      <w:bookmarkStart w:id="2" w:name="_Toc133313241"/>
      <w:r w:rsidRPr="00BF259F">
        <w:rPr>
          <w:rFonts w:ascii="Times New Roman" w:hAnsi="Times New Roman"/>
          <w:sz w:val="24"/>
          <w:lang w:val="mk-MK"/>
        </w:rPr>
        <w:lastRenderedPageBreak/>
        <w:t xml:space="preserve">Pursuant to Article 352 of the Law on </w:t>
      </w:r>
      <w:r>
        <w:rPr>
          <w:rFonts w:ascii="Times New Roman" w:hAnsi="Times New Roman"/>
          <w:sz w:val="24"/>
        </w:rPr>
        <w:t>Trade Companies</w:t>
      </w:r>
      <w:r w:rsidRPr="00BF259F">
        <w:rPr>
          <w:rFonts w:ascii="Times New Roman" w:hAnsi="Times New Roman"/>
          <w:sz w:val="24"/>
          <w:lang w:val="mk-MK"/>
        </w:rPr>
        <w:t xml:space="preserve">, the members of the </w:t>
      </w:r>
      <w:r>
        <w:rPr>
          <w:rFonts w:ascii="Times New Roman" w:hAnsi="Times New Roman"/>
          <w:sz w:val="24"/>
        </w:rPr>
        <w:t>Board of Directors</w:t>
      </w:r>
      <w:r w:rsidRPr="00BF259F">
        <w:rPr>
          <w:rFonts w:ascii="Times New Roman" w:hAnsi="Times New Roman"/>
          <w:sz w:val="24"/>
          <w:lang w:val="mk-MK"/>
        </w:rPr>
        <w:t xml:space="preserve"> of Stopanska banka AD - Skopje (hereinafter: "SB" and/or "the Bank") are </w:t>
      </w:r>
      <w:r>
        <w:rPr>
          <w:rFonts w:ascii="Times New Roman" w:hAnsi="Times New Roman"/>
          <w:sz w:val="24"/>
        </w:rPr>
        <w:t>submitting</w:t>
      </w:r>
      <w:r w:rsidRPr="00BF259F">
        <w:rPr>
          <w:rFonts w:ascii="Times New Roman" w:hAnsi="Times New Roman"/>
          <w:sz w:val="24"/>
          <w:lang w:val="mk-MK"/>
        </w:rPr>
        <w:t xml:space="preserve"> the attached Annual Report on the operations of Stopanska banka AD - Skopje f</w:t>
      </w:r>
      <w:r>
        <w:rPr>
          <w:rFonts w:ascii="Times New Roman" w:hAnsi="Times New Roman"/>
          <w:sz w:val="24"/>
          <w:lang w:val="mk-MK"/>
        </w:rPr>
        <w:t>or the year 2022</w:t>
      </w:r>
      <w:r w:rsidRPr="00BF259F">
        <w:rPr>
          <w:rFonts w:ascii="Times New Roman" w:hAnsi="Times New Roman"/>
          <w:sz w:val="24"/>
          <w:lang w:val="mk-MK"/>
        </w:rPr>
        <w:t>. The report is submitted to the Supervisory Board, which reviews it, decides on it ("prior adoption") and prepares a written opinion and submits them to the Assembly of Shareholders for consideration and approval.</w:t>
      </w:r>
    </w:p>
    <w:p w14:paraId="0E439366" w14:textId="3147E6F9" w:rsidR="00BF259F" w:rsidRDefault="00BF259F" w:rsidP="00BF259F">
      <w:pPr>
        <w:jc w:val="both"/>
        <w:rPr>
          <w:rFonts w:ascii="Times New Roman" w:hAnsi="Times New Roman"/>
          <w:sz w:val="24"/>
          <w:lang w:val="mk-MK"/>
        </w:rPr>
      </w:pPr>
      <w:r w:rsidRPr="00BF259F">
        <w:rPr>
          <w:rFonts w:ascii="Times New Roman" w:hAnsi="Times New Roman"/>
          <w:sz w:val="24"/>
          <w:lang w:val="mk-MK"/>
        </w:rPr>
        <w:t xml:space="preserve">Pursuant to Article 384, paragraph 7 of the Law on </w:t>
      </w:r>
      <w:r>
        <w:rPr>
          <w:rFonts w:ascii="Times New Roman" w:hAnsi="Times New Roman"/>
          <w:sz w:val="24"/>
        </w:rPr>
        <w:t>Trade Companies</w:t>
      </w:r>
      <w:r w:rsidRPr="00BF259F">
        <w:rPr>
          <w:rFonts w:ascii="Times New Roman" w:hAnsi="Times New Roman"/>
          <w:sz w:val="24"/>
          <w:lang w:val="mk-MK"/>
        </w:rPr>
        <w:t>, the Annual Report objectively presents and explains the main factors and circumstances that had an impact on the Bank's operations, as well as all other mandatory elements that are important to the investing public and all other stakeholders.</w:t>
      </w:r>
      <w:r>
        <w:rPr>
          <w:rFonts w:ascii="Times New Roman" w:hAnsi="Times New Roman"/>
          <w:sz w:val="24"/>
          <w:lang w:val="mk-MK"/>
        </w:rPr>
        <w:t xml:space="preserve">  </w:t>
      </w:r>
    </w:p>
    <w:p w14:paraId="3F856BBC" w14:textId="77777777" w:rsidR="00BF259F" w:rsidRDefault="00BF259F" w:rsidP="00BF259F">
      <w:pPr>
        <w:ind w:left="5812"/>
        <w:jc w:val="both"/>
        <w:rPr>
          <w:rFonts w:ascii="Times New Roman" w:hAnsi="Times New Roman"/>
          <w:b/>
          <w:sz w:val="24"/>
          <w:szCs w:val="24"/>
          <w:lang w:eastAsia="mk-MK"/>
        </w:rPr>
      </w:pPr>
    </w:p>
    <w:p w14:paraId="47417865" w14:textId="7714661D" w:rsidR="00BF259F" w:rsidRPr="00BF259F" w:rsidRDefault="005D34A7" w:rsidP="00BF259F">
      <w:pPr>
        <w:ind w:left="2160" w:firstLine="720"/>
        <w:jc w:val="center"/>
        <w:rPr>
          <w:rFonts w:ascii="Times New Roman" w:hAnsi="Times New Roman"/>
          <w:b/>
          <w:sz w:val="24"/>
          <w:szCs w:val="24"/>
          <w:lang w:eastAsia="mk-MK"/>
        </w:rPr>
      </w:pPr>
      <w:r>
        <w:rPr>
          <w:rFonts w:ascii="Times New Roman" w:hAnsi="Times New Roman"/>
          <w:b/>
          <w:sz w:val="24"/>
          <w:szCs w:val="24"/>
          <w:lang w:eastAsia="mk-MK"/>
        </w:rPr>
        <w:t xml:space="preserve">            </w:t>
      </w:r>
      <w:bookmarkStart w:id="3" w:name="_GoBack"/>
      <w:bookmarkEnd w:id="3"/>
      <w:r w:rsidR="00BF259F">
        <w:rPr>
          <w:rFonts w:ascii="Times New Roman" w:hAnsi="Times New Roman"/>
          <w:b/>
          <w:sz w:val="24"/>
          <w:szCs w:val="24"/>
          <w:lang w:eastAsia="mk-MK"/>
        </w:rPr>
        <w:t>STOPANSKA BANKA AD - SKOPJE</w:t>
      </w:r>
    </w:p>
    <w:p w14:paraId="24551310" w14:textId="5D19D271" w:rsidR="00BF259F" w:rsidRPr="009A1E6F" w:rsidRDefault="00BF259F" w:rsidP="00BF259F">
      <w:pPr>
        <w:ind w:left="5040"/>
        <w:rPr>
          <w:rFonts w:ascii="Times New Roman" w:hAnsi="Times New Roman"/>
          <w:b/>
          <w:sz w:val="24"/>
          <w:szCs w:val="24"/>
          <w:lang w:eastAsia="mk-MK"/>
        </w:rPr>
      </w:pPr>
      <w:r w:rsidRPr="009A1E6F">
        <w:rPr>
          <w:rFonts w:ascii="Times New Roman" w:hAnsi="Times New Roman"/>
          <w:b/>
          <w:sz w:val="24"/>
          <w:szCs w:val="24"/>
          <w:lang w:eastAsia="mk-MK"/>
        </w:rPr>
        <w:t>BOARD OF DIRECTORS</w:t>
      </w:r>
    </w:p>
    <w:p w14:paraId="6EC90A53" w14:textId="77777777" w:rsidR="00BF259F" w:rsidRPr="009A1E6F" w:rsidRDefault="00BF259F" w:rsidP="00BF259F">
      <w:pPr>
        <w:spacing w:after="0"/>
        <w:ind w:left="5040"/>
        <w:rPr>
          <w:rFonts w:ascii="Times New Roman" w:hAnsi="Times New Roman"/>
          <w:sz w:val="24"/>
          <w:szCs w:val="24"/>
          <w:lang w:eastAsia="mk-MK"/>
        </w:rPr>
      </w:pPr>
      <w:r w:rsidRPr="009A1E6F">
        <w:rPr>
          <w:rFonts w:ascii="Times New Roman" w:hAnsi="Times New Roman"/>
          <w:sz w:val="24"/>
          <w:szCs w:val="24"/>
          <w:lang w:eastAsia="mk-MK"/>
        </w:rPr>
        <w:t>_______________________</w:t>
      </w:r>
    </w:p>
    <w:p w14:paraId="319E173A" w14:textId="77777777" w:rsidR="00BF259F" w:rsidRPr="009A1E6F" w:rsidRDefault="00BF259F" w:rsidP="00BF259F">
      <w:pPr>
        <w:spacing w:after="0"/>
        <w:ind w:left="5040"/>
        <w:rPr>
          <w:rFonts w:ascii="Times New Roman" w:hAnsi="Times New Roman"/>
          <w:sz w:val="24"/>
          <w:szCs w:val="24"/>
          <w:lang w:eastAsia="mk-MK"/>
        </w:rPr>
      </w:pPr>
      <w:r w:rsidRPr="009A1E6F">
        <w:rPr>
          <w:rFonts w:ascii="Times New Roman" w:hAnsi="Times New Roman"/>
          <w:sz w:val="24"/>
          <w:szCs w:val="24"/>
          <w:lang w:eastAsia="mk-MK"/>
        </w:rPr>
        <w:t>Diomidis Nikoletopoulos</w:t>
      </w:r>
    </w:p>
    <w:p w14:paraId="18EDD654" w14:textId="77777777" w:rsidR="00BF259F" w:rsidRPr="009A1E6F" w:rsidRDefault="00BF259F" w:rsidP="00BF259F">
      <w:pPr>
        <w:spacing w:after="0"/>
        <w:ind w:left="5040"/>
        <w:rPr>
          <w:rFonts w:ascii="Times New Roman" w:hAnsi="Times New Roman"/>
          <w:sz w:val="24"/>
          <w:szCs w:val="24"/>
          <w:lang w:eastAsia="mk-MK"/>
        </w:rPr>
      </w:pPr>
      <w:r w:rsidRPr="009A1E6F">
        <w:rPr>
          <w:rFonts w:ascii="Times New Roman" w:hAnsi="Times New Roman"/>
          <w:sz w:val="24"/>
          <w:szCs w:val="24"/>
          <w:lang w:eastAsia="mk-MK"/>
        </w:rPr>
        <w:t>Chief Executive Officer</w:t>
      </w:r>
    </w:p>
    <w:p w14:paraId="77440837" w14:textId="77777777" w:rsidR="00BF259F" w:rsidRPr="009A1E6F" w:rsidRDefault="00BF259F" w:rsidP="00BF259F">
      <w:pPr>
        <w:spacing w:after="0"/>
        <w:ind w:left="5040"/>
        <w:rPr>
          <w:rFonts w:ascii="Times New Roman" w:hAnsi="Times New Roman"/>
          <w:b/>
          <w:sz w:val="24"/>
          <w:szCs w:val="24"/>
          <w:lang w:val="mk-MK" w:eastAsia="mk-MK"/>
        </w:rPr>
      </w:pPr>
    </w:p>
    <w:p w14:paraId="07FC0C90" w14:textId="77777777" w:rsidR="00BF259F" w:rsidRPr="009A1E6F" w:rsidRDefault="00BF259F" w:rsidP="00BF259F">
      <w:pPr>
        <w:spacing w:after="0"/>
        <w:ind w:left="5040"/>
        <w:rPr>
          <w:rFonts w:ascii="Times New Roman" w:hAnsi="Times New Roman"/>
          <w:b/>
          <w:sz w:val="24"/>
          <w:szCs w:val="24"/>
          <w:lang w:val="mk-MK" w:eastAsia="mk-MK"/>
        </w:rPr>
      </w:pPr>
      <w:r w:rsidRPr="009A1E6F">
        <w:rPr>
          <w:rFonts w:ascii="Times New Roman" w:hAnsi="Times New Roman"/>
          <w:noProof/>
          <w:sz w:val="24"/>
          <w:szCs w:val="24"/>
        </w:rPr>
        <mc:AlternateContent>
          <mc:Choice Requires="wps">
            <w:drawing>
              <wp:anchor distT="0" distB="0" distL="114300" distR="114300" simplePos="0" relativeHeight="251958784" behindDoc="0" locked="0" layoutInCell="1" allowOverlap="1" wp14:anchorId="7C8C6BD8" wp14:editId="79C5D328">
                <wp:simplePos x="0" y="0"/>
                <wp:positionH relativeFrom="column">
                  <wp:posOffset>3227699</wp:posOffset>
                </wp:positionH>
                <wp:positionV relativeFrom="paragraph">
                  <wp:posOffset>165735</wp:posOffset>
                </wp:positionV>
                <wp:extent cx="1704975" cy="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E3D2ED" id="Straight Connector 13" o:spid="_x0000_s1026" style="position:absolute;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15pt,13.05pt" to="388.4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" strokecolor="windowText" strokeweight=".5pt">
                <v:stroke joinstyle="miter"/>
              </v:line>
            </w:pict>
          </mc:Fallback>
        </mc:AlternateContent>
      </w:r>
    </w:p>
    <w:p w14:paraId="6B7A970C" w14:textId="77777777" w:rsidR="00BF259F" w:rsidRPr="009A1E6F" w:rsidRDefault="00BF259F" w:rsidP="00BF259F">
      <w:pPr>
        <w:spacing w:after="0"/>
        <w:ind w:left="5040"/>
        <w:rPr>
          <w:rFonts w:ascii="Times New Roman" w:hAnsi="Times New Roman"/>
          <w:sz w:val="24"/>
          <w:szCs w:val="24"/>
          <w:lang w:val="mk-MK" w:eastAsia="mk-MK"/>
        </w:rPr>
      </w:pPr>
      <w:r w:rsidRPr="009A1E6F">
        <w:rPr>
          <w:rFonts w:ascii="Times New Roman" w:hAnsi="Times New Roman"/>
          <w:sz w:val="24"/>
          <w:szCs w:val="24"/>
          <w:lang w:val="mk-MK" w:eastAsia="mk-MK"/>
        </w:rPr>
        <w:t>Toni Stojanovski</w:t>
      </w:r>
    </w:p>
    <w:p w14:paraId="5901A40A" w14:textId="77777777" w:rsidR="00BF259F" w:rsidRPr="009A1E6F" w:rsidRDefault="00BF259F" w:rsidP="00BF259F">
      <w:pPr>
        <w:spacing w:after="0"/>
        <w:ind w:left="5040"/>
        <w:rPr>
          <w:rFonts w:ascii="Times New Roman" w:hAnsi="Times New Roman"/>
          <w:sz w:val="24"/>
          <w:szCs w:val="24"/>
          <w:lang w:eastAsia="mk-MK"/>
        </w:rPr>
      </w:pPr>
      <w:r w:rsidRPr="009A1E6F">
        <w:rPr>
          <w:rFonts w:ascii="Times New Roman" w:hAnsi="Times New Roman"/>
          <w:sz w:val="24"/>
          <w:szCs w:val="24"/>
          <w:lang w:eastAsia="mk-MK"/>
        </w:rPr>
        <w:t>Chief Corporate Officer</w:t>
      </w:r>
    </w:p>
    <w:p w14:paraId="2EFEF710" w14:textId="77777777" w:rsidR="00BF259F" w:rsidRDefault="00BF259F" w:rsidP="00BF259F">
      <w:pPr>
        <w:spacing w:after="0"/>
        <w:ind w:left="5040"/>
        <w:rPr>
          <w:rFonts w:ascii="Times New Roman" w:hAnsi="Times New Roman"/>
          <w:b/>
          <w:sz w:val="24"/>
          <w:szCs w:val="24"/>
          <w:lang w:val="mk-MK" w:eastAsia="mk-MK"/>
        </w:rPr>
      </w:pPr>
    </w:p>
    <w:p w14:paraId="0658FC14" w14:textId="77777777" w:rsidR="00BF259F" w:rsidRPr="009A1E6F" w:rsidRDefault="00BF259F" w:rsidP="00BF259F">
      <w:pPr>
        <w:spacing w:after="0"/>
        <w:ind w:left="5040"/>
        <w:rPr>
          <w:rFonts w:ascii="Times New Roman" w:hAnsi="Times New Roman"/>
          <w:b/>
          <w:sz w:val="24"/>
          <w:szCs w:val="24"/>
          <w:lang w:val="mk-MK" w:eastAsia="mk-MK"/>
        </w:rPr>
      </w:pPr>
      <w:r w:rsidRPr="009A1E6F">
        <w:rPr>
          <w:rFonts w:ascii="Times New Roman" w:hAnsi="Times New Roman"/>
          <w:noProof/>
          <w:sz w:val="24"/>
          <w:szCs w:val="24"/>
        </w:rPr>
        <mc:AlternateContent>
          <mc:Choice Requires="wps">
            <w:drawing>
              <wp:anchor distT="0" distB="0" distL="114300" distR="114300" simplePos="0" relativeHeight="251959808" behindDoc="0" locked="0" layoutInCell="1" allowOverlap="1" wp14:anchorId="7F87503B" wp14:editId="7A3FD829">
                <wp:simplePos x="0" y="0"/>
                <wp:positionH relativeFrom="column">
                  <wp:posOffset>3227699</wp:posOffset>
                </wp:positionH>
                <wp:positionV relativeFrom="paragraph">
                  <wp:posOffset>169545</wp:posOffset>
                </wp:positionV>
                <wp:extent cx="1762125" cy="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E5BB99" id="Straight Connector 14" o:spid="_x0000_s1026" style="position:absolute;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15pt,13.35pt" to="392.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" strokecolor="windowText" strokeweight=".5pt">
                <v:stroke joinstyle="miter"/>
              </v:line>
            </w:pict>
          </mc:Fallback>
        </mc:AlternateContent>
      </w:r>
    </w:p>
    <w:p w14:paraId="1ECB47E3" w14:textId="77777777" w:rsidR="00BF259F" w:rsidRPr="009A1E6F" w:rsidRDefault="00BF259F" w:rsidP="00BF259F">
      <w:pPr>
        <w:spacing w:after="0"/>
        <w:ind w:left="5040"/>
        <w:rPr>
          <w:rFonts w:ascii="Times New Roman" w:hAnsi="Times New Roman"/>
          <w:sz w:val="24"/>
          <w:szCs w:val="24"/>
          <w:lang w:eastAsia="mk-MK"/>
        </w:rPr>
      </w:pPr>
      <w:r w:rsidRPr="009A1E6F">
        <w:rPr>
          <w:rFonts w:ascii="Times New Roman" w:hAnsi="Times New Roman"/>
          <w:sz w:val="24"/>
          <w:szCs w:val="24"/>
          <w:lang w:eastAsia="mk-MK"/>
        </w:rPr>
        <w:t>Milica Chaparovska-Jovanovska</w:t>
      </w:r>
    </w:p>
    <w:p w14:paraId="779180EA" w14:textId="77777777" w:rsidR="00BF259F" w:rsidRDefault="00BF259F" w:rsidP="00BF259F">
      <w:pPr>
        <w:spacing w:after="0"/>
        <w:ind w:left="5040"/>
        <w:rPr>
          <w:rFonts w:ascii="Times New Roman" w:hAnsi="Times New Roman"/>
          <w:sz w:val="24"/>
          <w:szCs w:val="24"/>
          <w:lang w:eastAsia="mk-MK"/>
        </w:rPr>
      </w:pPr>
      <w:r w:rsidRPr="009A1E6F">
        <w:rPr>
          <w:rFonts w:ascii="Times New Roman" w:hAnsi="Times New Roman"/>
          <w:sz w:val="24"/>
          <w:szCs w:val="24"/>
          <w:lang w:eastAsia="mk-MK"/>
        </w:rPr>
        <w:t>Chief Retail Officer</w:t>
      </w:r>
    </w:p>
    <w:p w14:paraId="240B8CB7" w14:textId="77777777" w:rsidR="00BF259F" w:rsidRPr="009A1E6F" w:rsidRDefault="00BF259F" w:rsidP="00BF259F">
      <w:pPr>
        <w:spacing w:after="0"/>
        <w:ind w:left="5040"/>
        <w:rPr>
          <w:rFonts w:ascii="Times New Roman" w:hAnsi="Times New Roman"/>
          <w:sz w:val="24"/>
          <w:szCs w:val="24"/>
          <w:lang w:eastAsia="mk-MK"/>
        </w:rPr>
      </w:pPr>
    </w:p>
    <w:p w14:paraId="6A221E1F" w14:textId="3B6B9B74" w:rsidR="00BF259F" w:rsidRPr="009A1E6F" w:rsidRDefault="00BF259F" w:rsidP="00BF259F">
      <w:pPr>
        <w:spacing w:after="0"/>
        <w:ind w:left="5040"/>
        <w:rPr>
          <w:rFonts w:ascii="Times New Roman" w:hAnsi="Times New Roman"/>
          <w:b/>
          <w:sz w:val="24"/>
          <w:szCs w:val="24"/>
          <w:lang w:eastAsia="mk-MK"/>
        </w:rPr>
      </w:pPr>
      <w:r w:rsidRPr="009A1E6F">
        <w:rPr>
          <w:rFonts w:ascii="Times New Roman" w:hAnsi="Times New Roman"/>
          <w:noProof/>
          <w:sz w:val="24"/>
          <w:szCs w:val="24"/>
        </w:rPr>
        <mc:AlternateContent>
          <mc:Choice Requires="wps">
            <w:drawing>
              <wp:anchor distT="0" distB="0" distL="114300" distR="114300" simplePos="0" relativeHeight="251960832" behindDoc="0" locked="0" layoutInCell="1" allowOverlap="1" wp14:anchorId="652CE27A" wp14:editId="418844B7">
                <wp:simplePos x="0" y="0"/>
                <wp:positionH relativeFrom="column">
                  <wp:posOffset>3174432</wp:posOffset>
                </wp:positionH>
                <wp:positionV relativeFrom="paragraph">
                  <wp:posOffset>144780</wp:posOffset>
                </wp:positionV>
                <wp:extent cx="170497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E7D3B2" id="Straight Connector 15" o:spid="_x0000_s1026" style="position:absolute;z-index:2519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95pt,11.4pt" to="384.2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" strokecolor="windowText" strokeweight=".5pt">
                <v:stroke joinstyle="miter"/>
              </v:line>
            </w:pict>
          </mc:Fallback>
        </mc:AlternateContent>
      </w:r>
    </w:p>
    <w:p w14:paraId="39EA7CB4" w14:textId="77777777" w:rsidR="00BF259F" w:rsidRPr="009A1E6F" w:rsidRDefault="00BF259F" w:rsidP="00BF259F">
      <w:pPr>
        <w:spacing w:after="0"/>
        <w:ind w:left="5040"/>
        <w:rPr>
          <w:rFonts w:ascii="Times New Roman" w:hAnsi="Times New Roman"/>
          <w:sz w:val="24"/>
          <w:szCs w:val="24"/>
          <w:lang w:eastAsia="mk-MK"/>
        </w:rPr>
      </w:pPr>
      <w:r w:rsidRPr="009A1E6F">
        <w:rPr>
          <w:rFonts w:ascii="Times New Roman" w:hAnsi="Times New Roman"/>
          <w:sz w:val="24"/>
          <w:szCs w:val="24"/>
          <w:lang w:eastAsia="mk-MK"/>
        </w:rPr>
        <w:t>Bojan Stojanoski</w:t>
      </w:r>
    </w:p>
    <w:p w14:paraId="73BEDF60" w14:textId="77777777" w:rsidR="00BF259F" w:rsidRPr="009A1E6F" w:rsidRDefault="00BF259F" w:rsidP="00BF259F">
      <w:pPr>
        <w:spacing w:after="0"/>
        <w:ind w:left="5040"/>
        <w:rPr>
          <w:rFonts w:ascii="Times New Roman" w:hAnsi="Times New Roman"/>
          <w:sz w:val="24"/>
          <w:szCs w:val="24"/>
        </w:rPr>
      </w:pPr>
      <w:r w:rsidRPr="009A1E6F">
        <w:rPr>
          <w:rFonts w:ascii="Times New Roman" w:hAnsi="Times New Roman"/>
          <w:sz w:val="24"/>
          <w:szCs w:val="24"/>
        </w:rPr>
        <w:t>Chief Risk Officer</w:t>
      </w:r>
    </w:p>
    <w:p w14:paraId="291EB26D" w14:textId="7925D7BA" w:rsidR="00BF259F" w:rsidRDefault="00BF259F" w:rsidP="00BB27D7">
      <w:pPr>
        <w:pStyle w:val="Heading2"/>
        <w:spacing w:before="240" w:line="276" w:lineRule="auto"/>
        <w:jc w:val="both"/>
        <w:rPr>
          <w:sz w:val="28"/>
          <w:szCs w:val="28"/>
        </w:rPr>
      </w:pPr>
    </w:p>
    <w:p w14:paraId="3BD1FAC6" w14:textId="1CA2BA79" w:rsidR="00BF259F" w:rsidRDefault="00BF259F" w:rsidP="00BF259F"/>
    <w:p w14:paraId="29D88050" w14:textId="4C252256" w:rsidR="00BF259F" w:rsidRDefault="00BF259F" w:rsidP="00BF259F"/>
    <w:p w14:paraId="47A326D1" w14:textId="1304046E" w:rsidR="00BF259F" w:rsidRDefault="00BF259F" w:rsidP="00BF259F"/>
    <w:p w14:paraId="1C2AB63F" w14:textId="77777777" w:rsidR="00BF259F" w:rsidRDefault="00BF259F" w:rsidP="00BF259F"/>
    <w:p w14:paraId="019897B3" w14:textId="6E110FD0" w:rsidR="00BF259F" w:rsidRDefault="00BF259F" w:rsidP="00BF259F"/>
    <w:p w14:paraId="4DAA196F" w14:textId="68A96D01" w:rsidR="00C60EDB" w:rsidRPr="00C60EDB" w:rsidRDefault="00B7401E" w:rsidP="00BB27D7">
      <w:pPr>
        <w:pStyle w:val="Heading2"/>
        <w:spacing w:before="240" w:line="276" w:lineRule="auto"/>
        <w:jc w:val="both"/>
        <w:rPr>
          <w:sz w:val="28"/>
          <w:szCs w:val="28"/>
        </w:rPr>
      </w:pPr>
      <w:r w:rsidRPr="00F20BC3">
        <w:rPr>
          <w:sz w:val="28"/>
          <w:szCs w:val="28"/>
        </w:rPr>
        <w:lastRenderedPageBreak/>
        <w:t>Review of 202</w:t>
      </w:r>
      <w:r w:rsidR="00625C6C" w:rsidRPr="00932791">
        <w:rPr>
          <w:sz w:val="28"/>
          <w:szCs w:val="28"/>
          <w:lang w:val="mk-MK"/>
        </w:rPr>
        <w:t>2</w:t>
      </w:r>
      <w:r w:rsidR="00C60EDB" w:rsidRPr="00F20BC3">
        <w:rPr>
          <w:sz w:val="28"/>
          <w:szCs w:val="28"/>
        </w:rPr>
        <w:t xml:space="preserve"> Activities</w:t>
      </w:r>
      <w:bookmarkEnd w:id="2"/>
    </w:p>
    <w:p w14:paraId="119EA15A" w14:textId="77777777" w:rsidR="00C60EDB" w:rsidRDefault="00C60EDB" w:rsidP="00BB27D7">
      <w:pPr>
        <w:spacing w:after="120"/>
        <w:jc w:val="both"/>
        <w:rPr>
          <w:rFonts w:ascii="Times New Roman" w:hAnsi="Times New Roman"/>
          <w:iCs/>
          <w:sz w:val="24"/>
          <w:szCs w:val="24"/>
          <w:shd w:val="clear" w:color="auto" w:fill="FFFFFF"/>
        </w:rPr>
      </w:pPr>
    </w:p>
    <w:p w14:paraId="0DA0B976" w14:textId="45650A36" w:rsidR="00625C6C" w:rsidRDefault="00625C6C" w:rsidP="00BB27D7">
      <w:pPr>
        <w:jc w:val="both"/>
        <w:rPr>
          <w:rFonts w:ascii="Times New Roman" w:hAnsi="Times New Roman"/>
          <w:sz w:val="24"/>
          <w:szCs w:val="24"/>
        </w:rPr>
      </w:pPr>
      <w:r>
        <w:rPr>
          <w:rFonts w:ascii="Times New Roman" w:hAnsi="Times New Roman"/>
          <w:sz w:val="24"/>
          <w:szCs w:val="24"/>
        </w:rPr>
        <w:t xml:space="preserve">Last year </w:t>
      </w:r>
      <w:r w:rsidR="00B96564">
        <w:rPr>
          <w:rFonts w:ascii="Times New Roman" w:hAnsi="Times New Roman"/>
          <w:sz w:val="24"/>
          <w:szCs w:val="24"/>
        </w:rPr>
        <w:t>was</w:t>
      </w:r>
      <w:r>
        <w:rPr>
          <w:rFonts w:ascii="Times New Roman" w:hAnsi="Times New Roman"/>
          <w:sz w:val="24"/>
          <w:szCs w:val="24"/>
        </w:rPr>
        <w:t xml:space="preserve"> marked with continuation of the u</w:t>
      </w:r>
      <w:r w:rsidRPr="001863A6">
        <w:rPr>
          <w:rFonts w:ascii="Times New Roman" w:hAnsi="Times New Roman"/>
          <w:sz w:val="24"/>
          <w:szCs w:val="24"/>
        </w:rPr>
        <w:t>ncertainty</w:t>
      </w:r>
      <w:r w:rsidR="0001694D">
        <w:rPr>
          <w:rFonts w:ascii="Times New Roman" w:hAnsi="Times New Roman"/>
          <w:sz w:val="24"/>
          <w:szCs w:val="24"/>
        </w:rPr>
        <w:t xml:space="preserve"> on global level</w:t>
      </w:r>
      <w:r>
        <w:rPr>
          <w:rFonts w:ascii="Times New Roman" w:hAnsi="Times New Roman"/>
          <w:sz w:val="24"/>
          <w:szCs w:val="24"/>
        </w:rPr>
        <w:t xml:space="preserve">, </w:t>
      </w:r>
      <w:r w:rsidR="00B96564">
        <w:rPr>
          <w:rFonts w:ascii="Times New Roman" w:hAnsi="Times New Roman"/>
          <w:sz w:val="24"/>
          <w:szCs w:val="24"/>
        </w:rPr>
        <w:t xml:space="preserve">which </w:t>
      </w:r>
      <w:r>
        <w:rPr>
          <w:rFonts w:ascii="Times New Roman" w:hAnsi="Times New Roman"/>
          <w:sz w:val="24"/>
          <w:szCs w:val="24"/>
        </w:rPr>
        <w:t>apart</w:t>
      </w:r>
      <w:r w:rsidR="00B96564">
        <w:rPr>
          <w:rFonts w:ascii="Times New Roman" w:hAnsi="Times New Roman"/>
          <w:sz w:val="24"/>
          <w:szCs w:val="24"/>
        </w:rPr>
        <w:t xml:space="preserve"> </w:t>
      </w:r>
      <w:r w:rsidR="00822C11">
        <w:rPr>
          <w:rFonts w:ascii="Times New Roman" w:hAnsi="Times New Roman"/>
          <w:sz w:val="24"/>
          <w:szCs w:val="24"/>
        </w:rPr>
        <w:t xml:space="preserve">from </w:t>
      </w:r>
      <w:r>
        <w:rPr>
          <w:rFonts w:ascii="Times New Roman" w:hAnsi="Times New Roman"/>
          <w:sz w:val="24"/>
          <w:szCs w:val="24"/>
        </w:rPr>
        <w:t>the post-</w:t>
      </w:r>
      <w:r w:rsidR="002E7507">
        <w:rPr>
          <w:rFonts w:ascii="Times New Roman" w:hAnsi="Times New Roman"/>
          <w:sz w:val="24"/>
          <w:szCs w:val="24"/>
        </w:rPr>
        <w:t>Covid</w:t>
      </w:r>
      <w:r>
        <w:rPr>
          <w:rFonts w:ascii="Times New Roman" w:hAnsi="Times New Roman"/>
          <w:sz w:val="24"/>
          <w:szCs w:val="24"/>
        </w:rPr>
        <w:t xml:space="preserve"> effects</w:t>
      </w:r>
      <w:r w:rsidR="00B96564">
        <w:rPr>
          <w:rFonts w:ascii="Times New Roman" w:hAnsi="Times New Roman"/>
          <w:sz w:val="24"/>
          <w:szCs w:val="24"/>
        </w:rPr>
        <w:t xml:space="preserve"> </w:t>
      </w:r>
      <w:proofErr w:type="gramStart"/>
      <w:r w:rsidR="00822C11">
        <w:rPr>
          <w:rFonts w:ascii="Times New Roman" w:hAnsi="Times New Roman"/>
          <w:sz w:val="24"/>
          <w:szCs w:val="24"/>
        </w:rPr>
        <w:t>was</w:t>
      </w:r>
      <w:r w:rsidR="00B96564">
        <w:rPr>
          <w:rFonts w:ascii="Times New Roman" w:hAnsi="Times New Roman"/>
          <w:sz w:val="24"/>
          <w:szCs w:val="24"/>
        </w:rPr>
        <w:t xml:space="preserve"> </w:t>
      </w:r>
      <w:r w:rsidR="00B96564" w:rsidRPr="00B96564">
        <w:rPr>
          <w:rFonts w:ascii="Times New Roman" w:hAnsi="Times New Roman"/>
          <w:sz w:val="24"/>
          <w:szCs w:val="24"/>
        </w:rPr>
        <w:t>supplemented</w:t>
      </w:r>
      <w:proofErr w:type="gramEnd"/>
      <w:r w:rsidR="00B96564">
        <w:rPr>
          <w:rFonts w:ascii="Times New Roman" w:hAnsi="Times New Roman"/>
          <w:sz w:val="24"/>
          <w:szCs w:val="24"/>
        </w:rPr>
        <w:t xml:space="preserve"> by</w:t>
      </w:r>
      <w:r w:rsidRPr="001863A6">
        <w:rPr>
          <w:rFonts w:ascii="Times New Roman" w:hAnsi="Times New Roman"/>
          <w:sz w:val="24"/>
          <w:szCs w:val="24"/>
        </w:rPr>
        <w:t xml:space="preserve"> the </w:t>
      </w:r>
      <w:r w:rsidR="008A2446">
        <w:rPr>
          <w:rFonts w:ascii="Times New Roman" w:hAnsi="Times New Roman"/>
          <w:sz w:val="24"/>
          <w:szCs w:val="24"/>
        </w:rPr>
        <w:t>start of</w:t>
      </w:r>
      <w:r w:rsidR="008A2446" w:rsidRPr="001863A6">
        <w:rPr>
          <w:rFonts w:ascii="Times New Roman" w:hAnsi="Times New Roman"/>
          <w:sz w:val="24"/>
          <w:szCs w:val="24"/>
        </w:rPr>
        <w:t xml:space="preserve"> </w:t>
      </w:r>
      <w:r w:rsidR="008A2446" w:rsidRPr="00FE4A51">
        <w:rPr>
          <w:rFonts w:ascii="Times New Roman" w:hAnsi="Times New Roman"/>
          <w:sz w:val="24"/>
          <w:szCs w:val="24"/>
        </w:rPr>
        <w:t>Russia-Ukraine crisis</w:t>
      </w:r>
      <w:r w:rsidR="008A2446">
        <w:rPr>
          <w:rFonts w:ascii="Times New Roman" w:hAnsi="Times New Roman"/>
          <w:sz w:val="24"/>
          <w:szCs w:val="24"/>
        </w:rPr>
        <w:t xml:space="preserve">, causing </w:t>
      </w:r>
      <w:r w:rsidRPr="001863A6">
        <w:rPr>
          <w:rFonts w:ascii="Times New Roman" w:hAnsi="Times New Roman"/>
          <w:sz w:val="24"/>
          <w:szCs w:val="24"/>
        </w:rPr>
        <w:t>growth of</w:t>
      </w:r>
      <w:r>
        <w:rPr>
          <w:rFonts w:ascii="Times New Roman" w:hAnsi="Times New Roman"/>
          <w:sz w:val="24"/>
          <w:szCs w:val="24"/>
        </w:rPr>
        <w:t xml:space="preserve"> </w:t>
      </w:r>
      <w:r w:rsidRPr="001863A6">
        <w:rPr>
          <w:rFonts w:ascii="Times New Roman" w:hAnsi="Times New Roman"/>
          <w:sz w:val="24"/>
          <w:szCs w:val="24"/>
        </w:rPr>
        <w:t xml:space="preserve">inflation </w:t>
      </w:r>
      <w:r w:rsidR="006C38B5">
        <w:rPr>
          <w:rFonts w:ascii="Times New Roman" w:hAnsi="Times New Roman"/>
          <w:sz w:val="24"/>
          <w:szCs w:val="24"/>
        </w:rPr>
        <w:t>and</w:t>
      </w:r>
      <w:r w:rsidRPr="001863A6">
        <w:rPr>
          <w:rFonts w:ascii="Times New Roman" w:hAnsi="Times New Roman"/>
          <w:sz w:val="24"/>
          <w:szCs w:val="24"/>
        </w:rPr>
        <w:t xml:space="preserve"> </w:t>
      </w:r>
      <w:r>
        <w:rPr>
          <w:rFonts w:ascii="Times New Roman" w:hAnsi="Times New Roman"/>
          <w:sz w:val="24"/>
          <w:szCs w:val="24"/>
        </w:rPr>
        <w:t>increa</w:t>
      </w:r>
      <w:r w:rsidR="00B96564">
        <w:rPr>
          <w:rFonts w:ascii="Times New Roman" w:hAnsi="Times New Roman"/>
          <w:sz w:val="24"/>
          <w:szCs w:val="24"/>
        </w:rPr>
        <w:t xml:space="preserve">se of </w:t>
      </w:r>
      <w:r w:rsidR="00394E98">
        <w:rPr>
          <w:rFonts w:ascii="Times New Roman" w:hAnsi="Times New Roman"/>
          <w:sz w:val="24"/>
          <w:szCs w:val="24"/>
        </w:rPr>
        <w:t xml:space="preserve">the </w:t>
      </w:r>
      <w:r>
        <w:rPr>
          <w:rFonts w:ascii="Times New Roman" w:hAnsi="Times New Roman"/>
          <w:sz w:val="24"/>
          <w:szCs w:val="24"/>
        </w:rPr>
        <w:t>prices of</w:t>
      </w:r>
      <w:r w:rsidRPr="001863A6">
        <w:rPr>
          <w:rFonts w:ascii="Times New Roman" w:hAnsi="Times New Roman"/>
          <w:sz w:val="24"/>
          <w:szCs w:val="24"/>
        </w:rPr>
        <w:t xml:space="preserve"> food</w:t>
      </w:r>
      <w:r w:rsidR="006C38B5">
        <w:rPr>
          <w:rFonts w:ascii="Times New Roman" w:hAnsi="Times New Roman"/>
          <w:sz w:val="24"/>
          <w:szCs w:val="24"/>
        </w:rPr>
        <w:t>,</w:t>
      </w:r>
      <w:r w:rsidRPr="001863A6">
        <w:rPr>
          <w:rFonts w:ascii="Times New Roman" w:hAnsi="Times New Roman"/>
          <w:sz w:val="24"/>
          <w:szCs w:val="24"/>
        </w:rPr>
        <w:t xml:space="preserve"> energy</w:t>
      </w:r>
      <w:r w:rsidR="006C38B5">
        <w:rPr>
          <w:rFonts w:ascii="Times New Roman" w:hAnsi="Times New Roman"/>
          <w:sz w:val="24"/>
          <w:szCs w:val="24"/>
        </w:rPr>
        <w:t xml:space="preserve"> and production inputs</w:t>
      </w:r>
      <w:r w:rsidR="00B96564">
        <w:rPr>
          <w:rFonts w:ascii="Times New Roman" w:hAnsi="Times New Roman"/>
          <w:sz w:val="24"/>
          <w:szCs w:val="24"/>
        </w:rPr>
        <w:t>.</w:t>
      </w:r>
      <w:r>
        <w:rPr>
          <w:rFonts w:ascii="Times New Roman" w:hAnsi="Times New Roman"/>
          <w:sz w:val="24"/>
          <w:szCs w:val="24"/>
        </w:rPr>
        <w:t xml:space="preserve"> </w:t>
      </w:r>
      <w:r w:rsidR="00B96564">
        <w:rPr>
          <w:rFonts w:ascii="Times New Roman" w:hAnsi="Times New Roman"/>
          <w:sz w:val="24"/>
          <w:szCs w:val="24"/>
        </w:rPr>
        <w:t>All</w:t>
      </w:r>
      <w:r>
        <w:rPr>
          <w:rFonts w:ascii="Times New Roman" w:hAnsi="Times New Roman"/>
          <w:sz w:val="24"/>
          <w:szCs w:val="24"/>
        </w:rPr>
        <w:t xml:space="preserve"> of t</w:t>
      </w:r>
      <w:r w:rsidR="00B96564">
        <w:rPr>
          <w:rFonts w:ascii="Times New Roman" w:hAnsi="Times New Roman"/>
          <w:sz w:val="24"/>
          <w:szCs w:val="24"/>
        </w:rPr>
        <w:t xml:space="preserve">hose factors </w:t>
      </w:r>
      <w:r w:rsidR="00822C11">
        <w:rPr>
          <w:rFonts w:ascii="Times New Roman" w:hAnsi="Times New Roman"/>
          <w:sz w:val="24"/>
          <w:szCs w:val="24"/>
        </w:rPr>
        <w:t xml:space="preserve">have </w:t>
      </w:r>
      <w:r w:rsidRPr="00FE4A51">
        <w:rPr>
          <w:rFonts w:ascii="Times New Roman" w:hAnsi="Times New Roman"/>
          <w:sz w:val="24"/>
          <w:szCs w:val="24"/>
        </w:rPr>
        <w:t>worsen</w:t>
      </w:r>
      <w:r w:rsidR="00B96564">
        <w:rPr>
          <w:rFonts w:ascii="Times New Roman" w:hAnsi="Times New Roman"/>
          <w:sz w:val="24"/>
          <w:szCs w:val="24"/>
        </w:rPr>
        <w:t>ed</w:t>
      </w:r>
      <w:r w:rsidRPr="00FE4A51">
        <w:rPr>
          <w:rFonts w:ascii="Times New Roman" w:hAnsi="Times New Roman"/>
          <w:sz w:val="24"/>
          <w:szCs w:val="24"/>
        </w:rPr>
        <w:t xml:space="preserve"> the </w:t>
      </w:r>
      <w:r w:rsidR="00FE4A51" w:rsidRPr="00932791">
        <w:rPr>
          <w:rFonts w:ascii="Times New Roman" w:hAnsi="Times New Roman"/>
          <w:sz w:val="24"/>
          <w:szCs w:val="24"/>
        </w:rPr>
        <w:t>prospects</w:t>
      </w:r>
      <w:r w:rsidRPr="00FE4A51">
        <w:rPr>
          <w:rFonts w:ascii="Times New Roman" w:hAnsi="Times New Roman"/>
          <w:sz w:val="24"/>
          <w:szCs w:val="24"/>
        </w:rPr>
        <w:t xml:space="preserve"> </w:t>
      </w:r>
      <w:r w:rsidR="00B96564">
        <w:rPr>
          <w:rFonts w:ascii="Times New Roman" w:hAnsi="Times New Roman"/>
          <w:sz w:val="24"/>
          <w:szCs w:val="24"/>
        </w:rPr>
        <w:t>of</w:t>
      </w:r>
      <w:r w:rsidRPr="001863A6">
        <w:rPr>
          <w:rFonts w:ascii="Times New Roman" w:hAnsi="Times New Roman"/>
          <w:sz w:val="24"/>
          <w:szCs w:val="24"/>
        </w:rPr>
        <w:t xml:space="preserve"> global econo</w:t>
      </w:r>
      <w:r>
        <w:rPr>
          <w:rFonts w:ascii="Times New Roman" w:hAnsi="Times New Roman"/>
          <w:sz w:val="24"/>
          <w:szCs w:val="24"/>
        </w:rPr>
        <w:t>mic growth during the past year</w:t>
      </w:r>
      <w:r w:rsidRPr="001863A6">
        <w:rPr>
          <w:rFonts w:ascii="Times New Roman" w:hAnsi="Times New Roman"/>
          <w:sz w:val="24"/>
          <w:szCs w:val="24"/>
        </w:rPr>
        <w:t xml:space="preserve">. Faced with global inflation, which has reached a multi-decade maximum, central banks around the world have </w:t>
      </w:r>
      <w:r w:rsidR="00822C11">
        <w:rPr>
          <w:rFonts w:ascii="Times New Roman" w:hAnsi="Times New Roman"/>
          <w:sz w:val="24"/>
          <w:szCs w:val="24"/>
        </w:rPr>
        <w:t xml:space="preserve">been </w:t>
      </w:r>
      <w:r w:rsidRPr="001863A6">
        <w:rPr>
          <w:rFonts w:ascii="Times New Roman" w:hAnsi="Times New Roman"/>
          <w:sz w:val="24"/>
          <w:szCs w:val="24"/>
        </w:rPr>
        <w:t>focus</w:t>
      </w:r>
      <w:r w:rsidR="00822C11">
        <w:rPr>
          <w:rFonts w:ascii="Times New Roman" w:hAnsi="Times New Roman"/>
          <w:sz w:val="24"/>
          <w:szCs w:val="24"/>
        </w:rPr>
        <w:t>ing</w:t>
      </w:r>
      <w:r w:rsidRPr="001863A6">
        <w:rPr>
          <w:rFonts w:ascii="Times New Roman" w:hAnsi="Times New Roman"/>
          <w:sz w:val="24"/>
          <w:szCs w:val="24"/>
        </w:rPr>
        <w:t xml:space="preserve"> on tightening </w:t>
      </w:r>
      <w:r w:rsidR="00B96564">
        <w:rPr>
          <w:rFonts w:ascii="Times New Roman" w:hAnsi="Times New Roman"/>
          <w:sz w:val="24"/>
          <w:szCs w:val="24"/>
        </w:rPr>
        <w:t xml:space="preserve">the </w:t>
      </w:r>
      <w:r w:rsidRPr="001863A6">
        <w:rPr>
          <w:rFonts w:ascii="Times New Roman" w:hAnsi="Times New Roman"/>
          <w:sz w:val="24"/>
          <w:szCs w:val="24"/>
        </w:rPr>
        <w:t>monetary policy</w:t>
      </w:r>
      <w:r w:rsidR="00B96564">
        <w:rPr>
          <w:rFonts w:ascii="Times New Roman" w:hAnsi="Times New Roman"/>
          <w:sz w:val="24"/>
          <w:szCs w:val="24"/>
        </w:rPr>
        <w:t>.</w:t>
      </w:r>
      <w:r>
        <w:rPr>
          <w:rFonts w:ascii="Times New Roman" w:hAnsi="Times New Roman"/>
          <w:sz w:val="24"/>
          <w:szCs w:val="24"/>
          <w:lang w:val="mk-MK"/>
        </w:rPr>
        <w:t xml:space="preserve"> </w:t>
      </w:r>
      <w:r w:rsidR="0001694D">
        <w:rPr>
          <w:rFonts w:ascii="Times New Roman" w:hAnsi="Times New Roman"/>
          <w:sz w:val="24"/>
          <w:szCs w:val="24"/>
        </w:rPr>
        <w:t>The</w:t>
      </w:r>
      <w:r w:rsidRPr="001863A6">
        <w:rPr>
          <w:rFonts w:ascii="Times New Roman" w:hAnsi="Times New Roman"/>
          <w:sz w:val="24"/>
          <w:szCs w:val="24"/>
        </w:rPr>
        <w:t xml:space="preserve"> </w:t>
      </w:r>
      <w:r w:rsidR="00B96564">
        <w:rPr>
          <w:rFonts w:ascii="Times New Roman" w:hAnsi="Times New Roman"/>
          <w:sz w:val="24"/>
          <w:szCs w:val="24"/>
        </w:rPr>
        <w:t xml:space="preserve">focus </w:t>
      </w:r>
      <w:r w:rsidR="0001694D">
        <w:rPr>
          <w:rFonts w:ascii="Times New Roman" w:hAnsi="Times New Roman"/>
          <w:sz w:val="24"/>
          <w:szCs w:val="24"/>
        </w:rPr>
        <w:t xml:space="preserve">was </w:t>
      </w:r>
      <w:r w:rsidRPr="001863A6">
        <w:rPr>
          <w:rFonts w:ascii="Times New Roman" w:hAnsi="Times New Roman"/>
          <w:sz w:val="24"/>
          <w:szCs w:val="24"/>
        </w:rPr>
        <w:t xml:space="preserve">on increasing </w:t>
      </w:r>
      <w:r w:rsidR="00B96564">
        <w:rPr>
          <w:rFonts w:ascii="Times New Roman" w:hAnsi="Times New Roman"/>
          <w:sz w:val="24"/>
          <w:szCs w:val="24"/>
        </w:rPr>
        <w:t xml:space="preserve">the </w:t>
      </w:r>
      <w:r w:rsidRPr="001863A6">
        <w:rPr>
          <w:rFonts w:ascii="Times New Roman" w:hAnsi="Times New Roman"/>
          <w:sz w:val="24"/>
          <w:szCs w:val="24"/>
        </w:rPr>
        <w:t xml:space="preserve">interest rates, which tightens </w:t>
      </w:r>
      <w:r w:rsidR="00B96564">
        <w:rPr>
          <w:rFonts w:ascii="Times New Roman" w:hAnsi="Times New Roman"/>
          <w:sz w:val="24"/>
          <w:szCs w:val="24"/>
        </w:rPr>
        <w:t xml:space="preserve">the </w:t>
      </w:r>
      <w:r w:rsidRPr="001863A6">
        <w:rPr>
          <w:rFonts w:ascii="Times New Roman" w:hAnsi="Times New Roman"/>
          <w:sz w:val="24"/>
          <w:szCs w:val="24"/>
        </w:rPr>
        <w:t xml:space="preserve">financial conditions and increases </w:t>
      </w:r>
      <w:r w:rsidR="00B96564">
        <w:rPr>
          <w:rFonts w:ascii="Times New Roman" w:hAnsi="Times New Roman"/>
          <w:sz w:val="24"/>
          <w:szCs w:val="24"/>
        </w:rPr>
        <w:t xml:space="preserve">the </w:t>
      </w:r>
      <w:r w:rsidRPr="001863A6">
        <w:rPr>
          <w:rFonts w:ascii="Times New Roman" w:hAnsi="Times New Roman"/>
          <w:sz w:val="24"/>
          <w:szCs w:val="24"/>
        </w:rPr>
        <w:t>cost</w:t>
      </w:r>
      <w:r w:rsidR="00B96564">
        <w:rPr>
          <w:rFonts w:ascii="Times New Roman" w:hAnsi="Times New Roman"/>
          <w:sz w:val="24"/>
          <w:szCs w:val="24"/>
        </w:rPr>
        <w:t xml:space="preserve"> of funding</w:t>
      </w:r>
      <w:r w:rsidRPr="001863A6">
        <w:rPr>
          <w:rFonts w:ascii="Times New Roman" w:hAnsi="Times New Roman"/>
          <w:sz w:val="24"/>
          <w:szCs w:val="24"/>
        </w:rPr>
        <w:t xml:space="preserve">. </w:t>
      </w:r>
      <w:r w:rsidR="006C38B5">
        <w:rPr>
          <w:rFonts w:ascii="Times New Roman" w:hAnsi="Times New Roman"/>
          <w:sz w:val="24"/>
          <w:szCs w:val="24"/>
        </w:rPr>
        <w:t>Even in these conditions, b</w:t>
      </w:r>
      <w:r>
        <w:rPr>
          <w:rFonts w:ascii="Times New Roman" w:hAnsi="Times New Roman"/>
          <w:sz w:val="24"/>
          <w:szCs w:val="24"/>
        </w:rPr>
        <w:t xml:space="preserve">anking sector showed high level of capacity </w:t>
      </w:r>
      <w:r w:rsidR="00B96564">
        <w:rPr>
          <w:rFonts w:ascii="Times New Roman" w:hAnsi="Times New Roman"/>
          <w:sz w:val="24"/>
          <w:szCs w:val="24"/>
        </w:rPr>
        <w:t>in</w:t>
      </w:r>
      <w:r>
        <w:rPr>
          <w:rFonts w:ascii="Times New Roman" w:hAnsi="Times New Roman"/>
          <w:sz w:val="24"/>
          <w:szCs w:val="24"/>
        </w:rPr>
        <w:t xml:space="preserve"> dealing with the crisis, undertaking measures and activities for amortiz</w:t>
      </w:r>
      <w:r w:rsidR="00B96564">
        <w:rPr>
          <w:rFonts w:ascii="Times New Roman" w:hAnsi="Times New Roman"/>
          <w:sz w:val="24"/>
          <w:szCs w:val="24"/>
        </w:rPr>
        <w:t>ation of</w:t>
      </w:r>
      <w:r>
        <w:rPr>
          <w:rFonts w:ascii="Times New Roman" w:hAnsi="Times New Roman"/>
          <w:sz w:val="24"/>
          <w:szCs w:val="24"/>
        </w:rPr>
        <w:t xml:space="preserve"> the shocks, thus supporting the clients and securing the business continuity in the new environment. However, the new operating conditions imposed increased costs for operation and adjustment of the business model of all economic entities, including the banks.</w:t>
      </w:r>
    </w:p>
    <w:p w14:paraId="69F7AD72" w14:textId="15682183" w:rsidR="00625C6C" w:rsidRDefault="00625C6C" w:rsidP="00BB27D7">
      <w:pPr>
        <w:jc w:val="both"/>
        <w:rPr>
          <w:rFonts w:ascii="Times New Roman" w:hAnsi="Times New Roman"/>
          <w:sz w:val="24"/>
          <w:szCs w:val="24"/>
        </w:rPr>
      </w:pPr>
      <w:r w:rsidRPr="001863A6">
        <w:rPr>
          <w:rFonts w:ascii="Times New Roman" w:hAnsi="Times New Roman"/>
          <w:sz w:val="24"/>
          <w:szCs w:val="24"/>
        </w:rPr>
        <w:t xml:space="preserve">In general, domestic economic activity </w:t>
      </w:r>
      <w:r w:rsidR="00394E98">
        <w:rPr>
          <w:rFonts w:ascii="Times New Roman" w:hAnsi="Times New Roman"/>
          <w:sz w:val="24"/>
          <w:szCs w:val="24"/>
        </w:rPr>
        <w:t xml:space="preserve">was and remains </w:t>
      </w:r>
      <w:r w:rsidRPr="001863A6">
        <w:rPr>
          <w:rFonts w:ascii="Times New Roman" w:hAnsi="Times New Roman"/>
          <w:sz w:val="24"/>
          <w:szCs w:val="24"/>
        </w:rPr>
        <w:t xml:space="preserve">in line with </w:t>
      </w:r>
      <w:r>
        <w:rPr>
          <w:rFonts w:ascii="Times New Roman" w:hAnsi="Times New Roman"/>
          <w:sz w:val="24"/>
          <w:szCs w:val="24"/>
        </w:rPr>
        <w:t>the projections</w:t>
      </w:r>
      <w:r w:rsidRPr="001863A6">
        <w:rPr>
          <w:rFonts w:ascii="Times New Roman" w:hAnsi="Times New Roman"/>
          <w:sz w:val="24"/>
          <w:szCs w:val="24"/>
        </w:rPr>
        <w:t xml:space="preserve"> and expectations for a further slowdown in growth</w:t>
      </w:r>
      <w:r w:rsidR="00B96564">
        <w:rPr>
          <w:rFonts w:ascii="Times New Roman" w:hAnsi="Times New Roman"/>
          <w:sz w:val="24"/>
          <w:szCs w:val="24"/>
        </w:rPr>
        <w:t>, mainly</w:t>
      </w:r>
      <w:r w:rsidRPr="001863A6">
        <w:rPr>
          <w:rFonts w:ascii="Times New Roman" w:hAnsi="Times New Roman"/>
          <w:sz w:val="24"/>
          <w:szCs w:val="24"/>
        </w:rPr>
        <w:t xml:space="preserve"> </w:t>
      </w:r>
      <w:r>
        <w:rPr>
          <w:rFonts w:ascii="Times New Roman" w:hAnsi="Times New Roman"/>
          <w:sz w:val="24"/>
          <w:szCs w:val="24"/>
        </w:rPr>
        <w:t xml:space="preserve">related </w:t>
      </w:r>
      <w:r w:rsidR="00B96564">
        <w:rPr>
          <w:rFonts w:ascii="Times New Roman" w:hAnsi="Times New Roman"/>
          <w:sz w:val="24"/>
          <w:szCs w:val="24"/>
        </w:rPr>
        <w:t>to</w:t>
      </w:r>
      <w:r w:rsidRPr="001863A6">
        <w:rPr>
          <w:rFonts w:ascii="Times New Roman" w:hAnsi="Times New Roman"/>
          <w:sz w:val="24"/>
          <w:szCs w:val="24"/>
        </w:rPr>
        <w:t xml:space="preserve"> energy crisis, supply constraints and</w:t>
      </w:r>
      <w:r w:rsidR="00FE4A51">
        <w:rPr>
          <w:rFonts w:ascii="Times New Roman" w:hAnsi="Times New Roman"/>
          <w:sz w:val="24"/>
          <w:szCs w:val="24"/>
        </w:rPr>
        <w:t xml:space="preserve"> increased</w:t>
      </w:r>
      <w:r w:rsidRPr="001863A6">
        <w:rPr>
          <w:rFonts w:ascii="Times New Roman" w:hAnsi="Times New Roman"/>
          <w:sz w:val="24"/>
          <w:szCs w:val="24"/>
        </w:rPr>
        <w:t xml:space="preserve"> cost</w:t>
      </w:r>
      <w:r w:rsidR="005D4ABF">
        <w:rPr>
          <w:rFonts w:ascii="Times New Roman" w:hAnsi="Times New Roman"/>
          <w:sz w:val="24"/>
          <w:szCs w:val="24"/>
        </w:rPr>
        <w:t>s</w:t>
      </w:r>
      <w:r w:rsidRPr="001863A6">
        <w:rPr>
          <w:rFonts w:ascii="Times New Roman" w:hAnsi="Times New Roman"/>
          <w:sz w:val="24"/>
          <w:szCs w:val="24"/>
        </w:rPr>
        <w:t xml:space="preserve"> of </w:t>
      </w:r>
      <w:r w:rsidRPr="00F20BC3">
        <w:rPr>
          <w:rFonts w:ascii="Times New Roman" w:hAnsi="Times New Roman"/>
          <w:sz w:val="24"/>
          <w:szCs w:val="24"/>
        </w:rPr>
        <w:t xml:space="preserve">living, which has imposed a tightening of financial conditions globally. </w:t>
      </w:r>
      <w:r w:rsidR="00394E98">
        <w:rPr>
          <w:rFonts w:ascii="Times New Roman" w:hAnsi="Times New Roman"/>
          <w:sz w:val="24"/>
          <w:szCs w:val="24"/>
        </w:rPr>
        <w:t>Even in these conditions</w:t>
      </w:r>
      <w:r w:rsidR="0001694D">
        <w:rPr>
          <w:rFonts w:ascii="Times New Roman" w:hAnsi="Times New Roman"/>
          <w:sz w:val="24"/>
          <w:szCs w:val="24"/>
        </w:rPr>
        <w:t xml:space="preserve"> on global level</w:t>
      </w:r>
      <w:r w:rsidR="00394E98">
        <w:rPr>
          <w:rFonts w:ascii="Times New Roman" w:hAnsi="Times New Roman"/>
          <w:sz w:val="24"/>
          <w:szCs w:val="24"/>
        </w:rPr>
        <w:t>, c</w:t>
      </w:r>
      <w:r w:rsidRPr="00F20BC3">
        <w:rPr>
          <w:rFonts w:ascii="Times New Roman" w:hAnsi="Times New Roman"/>
          <w:sz w:val="24"/>
          <w:szCs w:val="24"/>
        </w:rPr>
        <w:t xml:space="preserve">redit support of domestic economy </w:t>
      </w:r>
      <w:r w:rsidR="00B96564" w:rsidRPr="00F20BC3">
        <w:rPr>
          <w:rFonts w:ascii="Times New Roman" w:hAnsi="Times New Roman"/>
          <w:sz w:val="24"/>
          <w:szCs w:val="24"/>
        </w:rPr>
        <w:t xml:space="preserve">continued </w:t>
      </w:r>
      <w:r w:rsidRPr="00F20BC3">
        <w:rPr>
          <w:rFonts w:ascii="Times New Roman" w:hAnsi="Times New Roman"/>
          <w:sz w:val="24"/>
          <w:szCs w:val="24"/>
        </w:rPr>
        <w:t xml:space="preserve">by the </w:t>
      </w:r>
      <w:proofErr w:type="gramStart"/>
      <w:r w:rsidRPr="00F20BC3">
        <w:rPr>
          <w:rFonts w:ascii="Times New Roman" w:hAnsi="Times New Roman"/>
          <w:sz w:val="24"/>
          <w:szCs w:val="24"/>
        </w:rPr>
        <w:t>commercial</w:t>
      </w:r>
      <w:proofErr w:type="gramEnd"/>
      <w:r w:rsidRPr="00F20BC3">
        <w:rPr>
          <w:rFonts w:ascii="Times New Roman" w:hAnsi="Times New Roman"/>
          <w:sz w:val="24"/>
          <w:szCs w:val="24"/>
        </w:rPr>
        <w:t xml:space="preserve"> banks, which accelerated in the last quarter of 2022, as a characteristic trend for the end of the year. The external position of the econom</w:t>
      </w:r>
      <w:r w:rsidR="0082033E">
        <w:rPr>
          <w:rFonts w:ascii="Times New Roman" w:hAnsi="Times New Roman"/>
          <w:sz w:val="24"/>
          <w:szCs w:val="24"/>
        </w:rPr>
        <w:t xml:space="preserve">y is </w:t>
      </w:r>
      <w:r w:rsidRPr="00F20BC3">
        <w:rPr>
          <w:rFonts w:ascii="Times New Roman" w:hAnsi="Times New Roman"/>
          <w:sz w:val="24"/>
          <w:szCs w:val="24"/>
        </w:rPr>
        <w:t>allow</w:t>
      </w:r>
      <w:r w:rsidR="0082033E">
        <w:rPr>
          <w:rFonts w:ascii="Times New Roman" w:hAnsi="Times New Roman"/>
          <w:sz w:val="24"/>
          <w:szCs w:val="24"/>
        </w:rPr>
        <w:t>ing</w:t>
      </w:r>
      <w:r w:rsidRPr="00F20BC3">
        <w:rPr>
          <w:rFonts w:ascii="Times New Roman" w:hAnsi="Times New Roman"/>
          <w:sz w:val="24"/>
          <w:szCs w:val="24"/>
        </w:rPr>
        <w:t xml:space="preserve"> foreign exchange reserves to maintain properly in the safe zone</w:t>
      </w:r>
      <w:r w:rsidR="00394E98">
        <w:rPr>
          <w:rFonts w:ascii="Times New Roman" w:hAnsi="Times New Roman"/>
          <w:sz w:val="24"/>
          <w:szCs w:val="24"/>
        </w:rPr>
        <w:t xml:space="preserve"> throughout the whole year</w:t>
      </w:r>
      <w:r w:rsidRPr="00F20BC3">
        <w:rPr>
          <w:rFonts w:ascii="Times New Roman" w:hAnsi="Times New Roman"/>
          <w:sz w:val="24"/>
          <w:szCs w:val="24"/>
        </w:rPr>
        <w:t xml:space="preserve">. However, uncertainty and risks for global and domestic economy in short and medium term remain high, and </w:t>
      </w:r>
      <w:r w:rsidR="00CD4F99" w:rsidRPr="00F20BC3">
        <w:rPr>
          <w:rFonts w:ascii="Times New Roman" w:hAnsi="Times New Roman"/>
          <w:sz w:val="24"/>
          <w:szCs w:val="24"/>
        </w:rPr>
        <w:t>Russia</w:t>
      </w:r>
      <w:r w:rsidR="00CD4F99">
        <w:rPr>
          <w:rFonts w:ascii="Times New Roman" w:hAnsi="Times New Roman"/>
          <w:sz w:val="24"/>
          <w:szCs w:val="24"/>
        </w:rPr>
        <w:t xml:space="preserve"> -</w:t>
      </w:r>
      <w:r w:rsidRPr="001863A6">
        <w:rPr>
          <w:rFonts w:ascii="Times New Roman" w:hAnsi="Times New Roman"/>
          <w:sz w:val="24"/>
          <w:szCs w:val="24"/>
        </w:rPr>
        <w:t xml:space="preserve"> Ukraine </w:t>
      </w:r>
      <w:r w:rsidR="00CD4F99">
        <w:rPr>
          <w:rFonts w:ascii="Times New Roman" w:hAnsi="Times New Roman"/>
          <w:sz w:val="24"/>
          <w:szCs w:val="24"/>
        </w:rPr>
        <w:t xml:space="preserve">crisis </w:t>
      </w:r>
      <w:r w:rsidRPr="001863A6">
        <w:rPr>
          <w:rFonts w:ascii="Times New Roman" w:hAnsi="Times New Roman"/>
          <w:sz w:val="24"/>
          <w:szCs w:val="24"/>
        </w:rPr>
        <w:t xml:space="preserve">remains </w:t>
      </w:r>
      <w:r w:rsidR="0082033E">
        <w:rPr>
          <w:rFonts w:ascii="Times New Roman" w:hAnsi="Times New Roman"/>
          <w:sz w:val="24"/>
          <w:szCs w:val="24"/>
        </w:rPr>
        <w:t>as a</w:t>
      </w:r>
      <w:r w:rsidRPr="001863A6">
        <w:rPr>
          <w:rFonts w:ascii="Times New Roman" w:hAnsi="Times New Roman"/>
          <w:sz w:val="24"/>
          <w:szCs w:val="24"/>
        </w:rPr>
        <w:t xml:space="preserve"> major source of disruption, particularly in energy and food markets.</w:t>
      </w:r>
    </w:p>
    <w:p w14:paraId="5DC5D67D" w14:textId="0661AA81" w:rsidR="00625C6C" w:rsidRDefault="00625C6C" w:rsidP="00BB27D7">
      <w:pPr>
        <w:jc w:val="both"/>
        <w:rPr>
          <w:rFonts w:ascii="Times New Roman" w:hAnsi="Times New Roman"/>
          <w:sz w:val="24"/>
          <w:szCs w:val="24"/>
        </w:rPr>
      </w:pPr>
      <w:r>
        <w:rPr>
          <w:rFonts w:ascii="Times New Roman" w:hAnsi="Times New Roman"/>
          <w:sz w:val="24"/>
          <w:szCs w:val="24"/>
        </w:rPr>
        <w:t xml:space="preserve">In </w:t>
      </w:r>
      <w:r w:rsidR="005D4ABF">
        <w:rPr>
          <w:rFonts w:ascii="Times New Roman" w:hAnsi="Times New Roman"/>
          <w:sz w:val="24"/>
          <w:szCs w:val="24"/>
        </w:rPr>
        <w:t>such business environment</w:t>
      </w:r>
      <w:r>
        <w:rPr>
          <w:rFonts w:ascii="Times New Roman" w:hAnsi="Times New Roman"/>
          <w:sz w:val="24"/>
          <w:szCs w:val="24"/>
        </w:rPr>
        <w:t xml:space="preserve">, the Bank management and all employees were actively engaged in providing the business continuity of the whole Bank’s infrastructure, clients’ needs, economy and society as </w:t>
      </w:r>
      <w:r w:rsidR="0082033E">
        <w:rPr>
          <w:rFonts w:ascii="Times New Roman" w:hAnsi="Times New Roman"/>
          <w:sz w:val="24"/>
          <w:szCs w:val="24"/>
        </w:rPr>
        <w:t>a</w:t>
      </w:r>
      <w:r>
        <w:rPr>
          <w:rFonts w:ascii="Times New Roman" w:hAnsi="Times New Roman"/>
          <w:sz w:val="24"/>
          <w:szCs w:val="24"/>
        </w:rPr>
        <w:t xml:space="preserve"> whole. The main focus was put in the improvement of the digital infrastructure, which in the given period is more than necessary </w:t>
      </w:r>
      <w:r w:rsidR="0082033E">
        <w:rPr>
          <w:rFonts w:ascii="Times New Roman" w:hAnsi="Times New Roman"/>
          <w:sz w:val="24"/>
          <w:szCs w:val="24"/>
        </w:rPr>
        <w:t xml:space="preserve">as a </w:t>
      </w:r>
      <w:r>
        <w:rPr>
          <w:rFonts w:ascii="Times New Roman" w:hAnsi="Times New Roman"/>
          <w:sz w:val="24"/>
          <w:szCs w:val="24"/>
        </w:rPr>
        <w:t>way of communication, and not just now but for future perspective</w:t>
      </w:r>
      <w:r w:rsidR="0082033E">
        <w:rPr>
          <w:rFonts w:ascii="Times New Roman" w:hAnsi="Times New Roman"/>
          <w:sz w:val="24"/>
          <w:szCs w:val="24"/>
        </w:rPr>
        <w:t>s</w:t>
      </w:r>
      <w:r>
        <w:rPr>
          <w:rFonts w:ascii="Times New Roman" w:hAnsi="Times New Roman"/>
          <w:sz w:val="24"/>
          <w:szCs w:val="24"/>
        </w:rPr>
        <w:t xml:space="preserve"> as well. The Bank remains committed and closely connected with its clients, always trying to predict and asses their needs by offering reasonable and sustainable solutions and financial advices. The Bank continues to monitor the development of the crisis and undertake whatever measures needed.</w:t>
      </w:r>
    </w:p>
    <w:p w14:paraId="09C25EB8" w14:textId="743AA96A" w:rsidR="00625C6C" w:rsidRDefault="00625C6C" w:rsidP="00BB27D7">
      <w:pPr>
        <w:spacing w:before="240"/>
        <w:jc w:val="both"/>
        <w:rPr>
          <w:rFonts w:ascii="Times New Roman" w:hAnsi="Times New Roman"/>
          <w:iCs/>
          <w:sz w:val="24"/>
          <w:szCs w:val="24"/>
          <w:shd w:val="clear" w:color="auto" w:fill="FFFFFF"/>
        </w:rPr>
      </w:pPr>
      <w:r>
        <w:rPr>
          <w:rFonts w:ascii="Times New Roman" w:hAnsi="Times New Roman"/>
          <w:sz w:val="24"/>
          <w:szCs w:val="24"/>
        </w:rPr>
        <w:t xml:space="preserve">As one of </w:t>
      </w:r>
      <w:r w:rsidR="00822C11">
        <w:rPr>
          <w:rFonts w:ascii="Times New Roman" w:hAnsi="Times New Roman"/>
          <w:sz w:val="24"/>
          <w:szCs w:val="24"/>
        </w:rPr>
        <w:t xml:space="preserve">the </w:t>
      </w:r>
      <w:r>
        <w:rPr>
          <w:rFonts w:ascii="Times New Roman" w:hAnsi="Times New Roman"/>
          <w:sz w:val="24"/>
          <w:szCs w:val="24"/>
        </w:rPr>
        <w:t xml:space="preserve">systemically important banks, Stopanska Banka continued with </w:t>
      </w:r>
      <w:r w:rsidR="0082033E">
        <w:rPr>
          <w:rFonts w:ascii="Times New Roman" w:hAnsi="Times New Roman"/>
          <w:sz w:val="24"/>
          <w:szCs w:val="24"/>
        </w:rPr>
        <w:t xml:space="preserve">its </w:t>
      </w:r>
      <w:r>
        <w:rPr>
          <w:rFonts w:ascii="Times New Roman" w:hAnsi="Times New Roman"/>
          <w:sz w:val="24"/>
          <w:szCs w:val="24"/>
        </w:rPr>
        <w:t xml:space="preserve">successful results in 2022, similar as </w:t>
      </w:r>
      <w:r w:rsidR="00822C11">
        <w:rPr>
          <w:rFonts w:ascii="Times New Roman" w:hAnsi="Times New Roman"/>
          <w:sz w:val="24"/>
          <w:szCs w:val="24"/>
        </w:rPr>
        <w:t xml:space="preserve">in </w:t>
      </w:r>
      <w:r>
        <w:rPr>
          <w:rFonts w:ascii="Times New Roman" w:hAnsi="Times New Roman"/>
          <w:sz w:val="24"/>
          <w:szCs w:val="24"/>
        </w:rPr>
        <w:t xml:space="preserve">the previous </w:t>
      </w:r>
      <w:proofErr w:type="spellStart"/>
      <w:r>
        <w:rPr>
          <w:rFonts w:ascii="Times New Roman" w:hAnsi="Times New Roman"/>
          <w:sz w:val="24"/>
          <w:szCs w:val="24"/>
        </w:rPr>
        <w:t>year</w:t>
      </w:r>
      <w:r w:rsidR="00394E98">
        <w:rPr>
          <w:rFonts w:ascii="Times New Roman" w:hAnsi="Times New Roman"/>
          <w:sz w:val="24"/>
          <w:szCs w:val="24"/>
        </w:rPr>
        <w:t>s</w:t>
      </w:r>
      <w:proofErr w:type="spellEnd"/>
      <w:r>
        <w:rPr>
          <w:rFonts w:ascii="Times New Roman" w:hAnsi="Times New Roman"/>
          <w:sz w:val="24"/>
          <w:szCs w:val="24"/>
        </w:rPr>
        <w:t xml:space="preserve"> i.e. the profit before tax </w:t>
      </w:r>
      <w:r w:rsidR="00394E98">
        <w:rPr>
          <w:rFonts w:ascii="Times New Roman" w:hAnsi="Times New Roman"/>
          <w:sz w:val="24"/>
          <w:szCs w:val="24"/>
        </w:rPr>
        <w:t xml:space="preserve">reached </w:t>
      </w:r>
      <w:r w:rsidR="000D33D1">
        <w:rPr>
          <w:rFonts w:ascii="Times New Roman" w:hAnsi="Times New Roman"/>
          <w:sz w:val="24"/>
          <w:szCs w:val="24"/>
        </w:rPr>
        <w:t>EUR 42.6</w:t>
      </w:r>
      <w:r>
        <w:rPr>
          <w:rFonts w:ascii="Times New Roman" w:hAnsi="Times New Roman"/>
          <w:sz w:val="24"/>
          <w:szCs w:val="24"/>
        </w:rPr>
        <w:t xml:space="preserve"> </w:t>
      </w:r>
      <w:proofErr w:type="gramStart"/>
      <w:r>
        <w:rPr>
          <w:rFonts w:ascii="Times New Roman" w:hAnsi="Times New Roman"/>
          <w:sz w:val="24"/>
          <w:szCs w:val="24"/>
        </w:rPr>
        <w:t>million</w:t>
      </w:r>
      <w:proofErr w:type="gramEnd"/>
      <w:r w:rsidR="0001694D">
        <w:rPr>
          <w:rFonts w:ascii="Times New Roman" w:hAnsi="Times New Roman"/>
          <w:sz w:val="24"/>
          <w:szCs w:val="24"/>
        </w:rPr>
        <w:t>, where</w:t>
      </w:r>
      <w:r>
        <w:rPr>
          <w:rFonts w:ascii="Times New Roman" w:hAnsi="Times New Roman"/>
          <w:sz w:val="24"/>
          <w:szCs w:val="24"/>
        </w:rPr>
        <w:t xml:space="preserve"> </w:t>
      </w:r>
      <w:r w:rsidR="0001694D">
        <w:rPr>
          <w:rFonts w:ascii="Times New Roman" w:hAnsi="Times New Roman"/>
          <w:sz w:val="24"/>
          <w:szCs w:val="24"/>
        </w:rPr>
        <w:t>t</w:t>
      </w:r>
      <w:r>
        <w:rPr>
          <w:rFonts w:ascii="Times New Roman" w:hAnsi="Times New Roman"/>
          <w:sz w:val="24"/>
          <w:szCs w:val="24"/>
        </w:rPr>
        <w:t>he total assets of the Bank noted 8% increment</w:t>
      </w:r>
      <w:r w:rsidR="00CD4F99">
        <w:rPr>
          <w:rFonts w:ascii="Times New Roman" w:hAnsi="Times New Roman"/>
          <w:sz w:val="24"/>
          <w:szCs w:val="24"/>
        </w:rPr>
        <w:t>,</w:t>
      </w:r>
      <w:r>
        <w:rPr>
          <w:rFonts w:ascii="Times New Roman" w:hAnsi="Times New Roman"/>
          <w:sz w:val="24"/>
          <w:szCs w:val="24"/>
        </w:rPr>
        <w:t xml:space="preserve"> </w:t>
      </w:r>
      <w:r w:rsidR="00CD4F99">
        <w:rPr>
          <w:rFonts w:ascii="Times New Roman" w:hAnsi="Times New Roman"/>
          <w:sz w:val="24"/>
          <w:szCs w:val="24"/>
        </w:rPr>
        <w:t>amounting</w:t>
      </w:r>
      <w:r>
        <w:rPr>
          <w:rFonts w:ascii="Times New Roman" w:hAnsi="Times New Roman"/>
          <w:sz w:val="24"/>
          <w:szCs w:val="24"/>
        </w:rPr>
        <w:t xml:space="preserve"> </w:t>
      </w:r>
      <w:r w:rsidR="000D33D1">
        <w:rPr>
          <w:rFonts w:ascii="Times New Roman" w:hAnsi="Times New Roman"/>
          <w:sz w:val="24"/>
          <w:szCs w:val="24"/>
        </w:rPr>
        <w:t>EUR 1,996.7</w:t>
      </w:r>
      <w:r w:rsidR="00AB2E20">
        <w:rPr>
          <w:rFonts w:ascii="Times New Roman" w:hAnsi="Times New Roman"/>
          <w:sz w:val="24"/>
          <w:szCs w:val="24"/>
        </w:rPr>
        <w:t xml:space="preserve"> </w:t>
      </w:r>
      <w:r>
        <w:rPr>
          <w:rFonts w:ascii="Times New Roman" w:hAnsi="Times New Roman"/>
          <w:sz w:val="24"/>
          <w:szCs w:val="24"/>
        </w:rPr>
        <w:t>millio</w:t>
      </w:r>
      <w:r w:rsidR="003A6D08">
        <w:rPr>
          <w:rFonts w:ascii="Times New Roman" w:hAnsi="Times New Roman"/>
          <w:sz w:val="24"/>
          <w:szCs w:val="24"/>
        </w:rPr>
        <w:t>n</w:t>
      </w:r>
      <w:r>
        <w:rPr>
          <w:rFonts w:ascii="Times New Roman" w:hAnsi="Times New Roman"/>
          <w:sz w:val="24"/>
          <w:szCs w:val="24"/>
        </w:rPr>
        <w:t xml:space="preserve">. With total capital and reserves of </w:t>
      </w:r>
      <w:r w:rsidR="000D33D1">
        <w:rPr>
          <w:rFonts w:ascii="Times New Roman" w:hAnsi="Times New Roman"/>
          <w:sz w:val="24"/>
          <w:szCs w:val="24"/>
        </w:rPr>
        <w:t xml:space="preserve">EUR </w:t>
      </w:r>
      <w:r w:rsidR="00CC3D4F">
        <w:rPr>
          <w:rFonts w:ascii="Times New Roman" w:hAnsi="Times New Roman"/>
          <w:sz w:val="24"/>
          <w:szCs w:val="24"/>
        </w:rPr>
        <w:t xml:space="preserve">361.0 </w:t>
      </w:r>
      <w:proofErr w:type="gramStart"/>
      <w:r>
        <w:rPr>
          <w:rFonts w:ascii="Times New Roman" w:hAnsi="Times New Roman"/>
          <w:sz w:val="24"/>
          <w:szCs w:val="24"/>
        </w:rPr>
        <w:t>million</w:t>
      </w:r>
      <w:proofErr w:type="gramEnd"/>
      <w:r>
        <w:rPr>
          <w:rFonts w:ascii="Times New Roman" w:hAnsi="Times New Roman"/>
          <w:sz w:val="24"/>
          <w:szCs w:val="24"/>
        </w:rPr>
        <w:t xml:space="preserve">, Stopanska Banka remains </w:t>
      </w:r>
      <w:r w:rsidR="00C767A7">
        <w:rPr>
          <w:rFonts w:ascii="Times New Roman" w:hAnsi="Times New Roman"/>
          <w:sz w:val="24"/>
          <w:szCs w:val="24"/>
        </w:rPr>
        <w:t xml:space="preserve">among </w:t>
      </w:r>
      <w:r>
        <w:rPr>
          <w:rFonts w:ascii="Times New Roman" w:hAnsi="Times New Roman"/>
          <w:sz w:val="24"/>
          <w:szCs w:val="24"/>
        </w:rPr>
        <w:t>the high</w:t>
      </w:r>
      <w:r w:rsidR="00C767A7">
        <w:rPr>
          <w:rFonts w:ascii="Times New Roman" w:hAnsi="Times New Roman"/>
          <w:sz w:val="24"/>
          <w:szCs w:val="24"/>
        </w:rPr>
        <w:t>ly</w:t>
      </w:r>
      <w:r>
        <w:rPr>
          <w:rFonts w:ascii="Times New Roman" w:hAnsi="Times New Roman"/>
          <w:sz w:val="24"/>
          <w:szCs w:val="24"/>
        </w:rPr>
        <w:t xml:space="preserve"> capitalized bank</w:t>
      </w:r>
      <w:r w:rsidR="00C767A7">
        <w:rPr>
          <w:rFonts w:ascii="Times New Roman" w:hAnsi="Times New Roman"/>
          <w:sz w:val="24"/>
          <w:szCs w:val="24"/>
        </w:rPr>
        <w:t>s</w:t>
      </w:r>
      <w:r>
        <w:rPr>
          <w:rFonts w:ascii="Times New Roman" w:hAnsi="Times New Roman"/>
          <w:sz w:val="24"/>
          <w:szCs w:val="24"/>
        </w:rPr>
        <w:t xml:space="preserve"> with capital adequacy ratio of 16</w:t>
      </w:r>
      <w:r w:rsidR="00C21E8D">
        <w:rPr>
          <w:rFonts w:ascii="Times New Roman" w:hAnsi="Times New Roman"/>
          <w:sz w:val="24"/>
          <w:szCs w:val="24"/>
        </w:rPr>
        <w:t>.</w:t>
      </w:r>
      <w:r>
        <w:rPr>
          <w:rFonts w:ascii="Times New Roman" w:hAnsi="Times New Roman"/>
          <w:sz w:val="24"/>
          <w:szCs w:val="24"/>
        </w:rPr>
        <w:t>6%.</w:t>
      </w:r>
    </w:p>
    <w:p w14:paraId="00B85C24" w14:textId="77777777" w:rsidR="00625C6C" w:rsidRDefault="00625C6C" w:rsidP="00BB27D7">
      <w:pPr>
        <w:spacing w:before="240"/>
        <w:jc w:val="both"/>
        <w:rPr>
          <w:rFonts w:ascii="Times New Roman" w:hAnsi="Times New Roman"/>
          <w:iCs/>
          <w:sz w:val="24"/>
          <w:szCs w:val="24"/>
          <w:shd w:val="clear" w:color="auto" w:fill="FFFFFF"/>
        </w:rPr>
      </w:pPr>
    </w:p>
    <w:p w14:paraId="3BB37365" w14:textId="77777777" w:rsidR="00625C6C" w:rsidRDefault="00625C6C" w:rsidP="00BB27D7">
      <w:pPr>
        <w:pStyle w:val="BodyText"/>
        <w:spacing w:line="276" w:lineRule="auto"/>
        <w:jc w:val="center"/>
        <w:rPr>
          <w:b/>
          <w:sz w:val="24"/>
          <w:szCs w:val="24"/>
        </w:rPr>
      </w:pPr>
    </w:p>
    <w:p w14:paraId="6E5ECADF" w14:textId="77777777" w:rsidR="00625C6C" w:rsidRPr="00932791" w:rsidRDefault="00625C6C" w:rsidP="00BB27D7">
      <w:pPr>
        <w:pStyle w:val="Heading2"/>
        <w:spacing w:before="240" w:line="276" w:lineRule="auto"/>
        <w:jc w:val="both"/>
        <w:rPr>
          <w:b w:val="0"/>
          <w:sz w:val="28"/>
          <w:szCs w:val="28"/>
        </w:rPr>
      </w:pPr>
      <w:bookmarkStart w:id="4" w:name="_Toc133313242"/>
      <w:r w:rsidRPr="00932791">
        <w:rPr>
          <w:sz w:val="28"/>
          <w:szCs w:val="28"/>
        </w:rPr>
        <w:t>Financial Highlights</w:t>
      </w:r>
      <w:bookmarkEnd w:id="4"/>
    </w:p>
    <w:tbl>
      <w:tblPr>
        <w:tblW w:w="8685" w:type="dxa"/>
        <w:tblLook w:val="04A0" w:firstRow="1" w:lastRow="0" w:firstColumn="1" w:lastColumn="0" w:noHBand="0" w:noVBand="1"/>
      </w:tblPr>
      <w:tblGrid>
        <w:gridCol w:w="3851"/>
        <w:gridCol w:w="1610"/>
        <w:gridCol w:w="1612"/>
        <w:gridCol w:w="1612"/>
      </w:tblGrid>
      <w:tr w:rsidR="00625C6C" w:rsidRPr="002B6338" w14:paraId="41B17E67" w14:textId="77777777" w:rsidTr="00196F45">
        <w:trPr>
          <w:trHeight w:val="502"/>
        </w:trPr>
        <w:tc>
          <w:tcPr>
            <w:tcW w:w="3851" w:type="dxa"/>
            <w:tcBorders>
              <w:top w:val="single" w:sz="4" w:space="0" w:color="auto"/>
              <w:left w:val="nil"/>
              <w:bottom w:val="single" w:sz="8" w:space="0" w:color="auto"/>
              <w:right w:val="nil"/>
            </w:tcBorders>
            <w:shd w:val="clear" w:color="auto" w:fill="auto"/>
            <w:noWrap/>
            <w:vAlign w:val="bottom"/>
            <w:hideMark/>
          </w:tcPr>
          <w:p w14:paraId="4599C8DE" w14:textId="77777777" w:rsidR="00625C6C" w:rsidRPr="00932791" w:rsidRDefault="00625C6C" w:rsidP="00BB27D7">
            <w:pPr>
              <w:spacing w:after="0"/>
              <w:rPr>
                <w:rFonts w:ascii="Times New Roman" w:eastAsia="Times New Roman" w:hAnsi="Times New Roman"/>
                <w:i/>
                <w:iCs/>
                <w:sz w:val="20"/>
                <w:szCs w:val="20"/>
              </w:rPr>
            </w:pPr>
            <w:r w:rsidRPr="00932791">
              <w:rPr>
                <w:rFonts w:ascii="Times New Roman" w:eastAsia="Times New Roman" w:hAnsi="Times New Roman"/>
                <w:i/>
                <w:iCs/>
                <w:sz w:val="20"/>
                <w:szCs w:val="20"/>
              </w:rPr>
              <w:t>in EUR million</w:t>
            </w:r>
          </w:p>
        </w:tc>
        <w:tc>
          <w:tcPr>
            <w:tcW w:w="1610" w:type="dxa"/>
            <w:tcBorders>
              <w:top w:val="single" w:sz="4" w:space="0" w:color="auto"/>
              <w:left w:val="nil"/>
              <w:bottom w:val="single" w:sz="8" w:space="0" w:color="auto"/>
              <w:right w:val="nil"/>
            </w:tcBorders>
            <w:shd w:val="clear" w:color="auto" w:fill="auto"/>
            <w:vAlign w:val="center"/>
            <w:hideMark/>
          </w:tcPr>
          <w:p w14:paraId="37BBD03B"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2021</w:t>
            </w:r>
          </w:p>
        </w:tc>
        <w:tc>
          <w:tcPr>
            <w:tcW w:w="1612" w:type="dxa"/>
            <w:tcBorders>
              <w:top w:val="single" w:sz="4" w:space="0" w:color="auto"/>
              <w:left w:val="nil"/>
              <w:bottom w:val="single" w:sz="8" w:space="0" w:color="auto"/>
              <w:right w:val="nil"/>
            </w:tcBorders>
            <w:shd w:val="clear" w:color="auto" w:fill="auto"/>
            <w:vAlign w:val="center"/>
            <w:hideMark/>
          </w:tcPr>
          <w:p w14:paraId="3B302A45"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2022</w:t>
            </w:r>
          </w:p>
        </w:tc>
        <w:tc>
          <w:tcPr>
            <w:tcW w:w="1612" w:type="dxa"/>
            <w:tcBorders>
              <w:top w:val="single" w:sz="4" w:space="0" w:color="auto"/>
              <w:left w:val="nil"/>
              <w:bottom w:val="single" w:sz="8" w:space="0" w:color="auto"/>
              <w:right w:val="nil"/>
            </w:tcBorders>
            <w:shd w:val="clear" w:color="auto" w:fill="auto"/>
            <w:vAlign w:val="center"/>
            <w:hideMark/>
          </w:tcPr>
          <w:p w14:paraId="41D273CE"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change %</w:t>
            </w:r>
          </w:p>
        </w:tc>
      </w:tr>
      <w:tr w:rsidR="00625C6C" w:rsidRPr="002B6338" w14:paraId="6E3DC2C1" w14:textId="77777777" w:rsidTr="00196F45">
        <w:trPr>
          <w:trHeight w:val="398"/>
        </w:trPr>
        <w:tc>
          <w:tcPr>
            <w:tcW w:w="3851" w:type="dxa"/>
            <w:tcBorders>
              <w:top w:val="nil"/>
              <w:left w:val="nil"/>
              <w:bottom w:val="nil"/>
              <w:right w:val="nil"/>
            </w:tcBorders>
            <w:shd w:val="clear" w:color="auto" w:fill="auto"/>
            <w:noWrap/>
            <w:vAlign w:val="bottom"/>
            <w:hideMark/>
          </w:tcPr>
          <w:p w14:paraId="514B03B8" w14:textId="77777777" w:rsidR="00625C6C" w:rsidRPr="00932791" w:rsidRDefault="00625C6C"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Income Statement indicators</w:t>
            </w:r>
          </w:p>
        </w:tc>
        <w:tc>
          <w:tcPr>
            <w:tcW w:w="1610" w:type="dxa"/>
            <w:tcBorders>
              <w:top w:val="nil"/>
              <w:left w:val="nil"/>
              <w:bottom w:val="nil"/>
              <w:right w:val="nil"/>
            </w:tcBorders>
            <w:shd w:val="clear" w:color="auto" w:fill="auto"/>
            <w:vAlign w:val="bottom"/>
            <w:hideMark/>
          </w:tcPr>
          <w:p w14:paraId="45DA7C91" w14:textId="77777777" w:rsidR="00625C6C" w:rsidRPr="00932791" w:rsidRDefault="00625C6C" w:rsidP="00BB27D7">
            <w:pPr>
              <w:spacing w:after="0"/>
              <w:rPr>
                <w:rFonts w:ascii="Times New Roman" w:eastAsia="Times New Roman" w:hAnsi="Times New Roman"/>
                <w:b/>
                <w:bCs/>
                <w:sz w:val="20"/>
                <w:szCs w:val="20"/>
              </w:rPr>
            </w:pPr>
          </w:p>
        </w:tc>
        <w:tc>
          <w:tcPr>
            <w:tcW w:w="1612" w:type="dxa"/>
            <w:tcBorders>
              <w:top w:val="nil"/>
              <w:left w:val="nil"/>
              <w:bottom w:val="nil"/>
              <w:right w:val="nil"/>
            </w:tcBorders>
            <w:shd w:val="clear" w:color="auto" w:fill="auto"/>
            <w:vAlign w:val="bottom"/>
            <w:hideMark/>
          </w:tcPr>
          <w:p w14:paraId="69E98E88" w14:textId="77777777" w:rsidR="00625C6C" w:rsidRPr="00932791" w:rsidRDefault="00625C6C" w:rsidP="00BB27D7">
            <w:pPr>
              <w:spacing w:after="0"/>
              <w:jc w:val="center"/>
              <w:rPr>
                <w:rFonts w:ascii="Times New Roman" w:eastAsia="Times New Roman" w:hAnsi="Times New Roman"/>
                <w:sz w:val="20"/>
                <w:szCs w:val="20"/>
              </w:rPr>
            </w:pPr>
          </w:p>
        </w:tc>
        <w:tc>
          <w:tcPr>
            <w:tcW w:w="1612" w:type="dxa"/>
            <w:tcBorders>
              <w:top w:val="nil"/>
              <w:left w:val="nil"/>
              <w:bottom w:val="nil"/>
              <w:right w:val="nil"/>
            </w:tcBorders>
            <w:shd w:val="clear" w:color="auto" w:fill="auto"/>
            <w:vAlign w:val="bottom"/>
            <w:hideMark/>
          </w:tcPr>
          <w:p w14:paraId="400DD8AA" w14:textId="77777777" w:rsidR="00625C6C" w:rsidRPr="00932791" w:rsidRDefault="00625C6C" w:rsidP="00BB27D7">
            <w:pPr>
              <w:spacing w:after="0"/>
              <w:jc w:val="center"/>
              <w:rPr>
                <w:rFonts w:ascii="Times New Roman" w:eastAsia="Times New Roman" w:hAnsi="Times New Roman"/>
                <w:sz w:val="20"/>
                <w:szCs w:val="20"/>
              </w:rPr>
            </w:pPr>
          </w:p>
        </w:tc>
      </w:tr>
      <w:tr w:rsidR="00625C6C" w:rsidRPr="002B6338" w14:paraId="29F0F6B1" w14:textId="77777777" w:rsidTr="00196F45">
        <w:trPr>
          <w:trHeight w:val="354"/>
        </w:trPr>
        <w:tc>
          <w:tcPr>
            <w:tcW w:w="3851" w:type="dxa"/>
            <w:tcBorders>
              <w:top w:val="nil"/>
              <w:left w:val="nil"/>
              <w:bottom w:val="nil"/>
              <w:right w:val="nil"/>
            </w:tcBorders>
            <w:shd w:val="clear" w:color="auto" w:fill="auto"/>
            <w:noWrap/>
            <w:vAlign w:val="bottom"/>
            <w:hideMark/>
          </w:tcPr>
          <w:p w14:paraId="52654D83"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Net Interest Income</w:t>
            </w:r>
          </w:p>
        </w:tc>
        <w:tc>
          <w:tcPr>
            <w:tcW w:w="1610" w:type="dxa"/>
            <w:tcBorders>
              <w:top w:val="nil"/>
              <w:left w:val="nil"/>
              <w:bottom w:val="nil"/>
              <w:right w:val="nil"/>
            </w:tcBorders>
            <w:shd w:val="clear" w:color="auto" w:fill="auto"/>
            <w:noWrap/>
            <w:vAlign w:val="bottom"/>
            <w:hideMark/>
          </w:tcPr>
          <w:p w14:paraId="135B8DE8"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62.4</w:t>
            </w:r>
          </w:p>
        </w:tc>
        <w:tc>
          <w:tcPr>
            <w:tcW w:w="1612" w:type="dxa"/>
            <w:tcBorders>
              <w:top w:val="nil"/>
              <w:left w:val="nil"/>
              <w:bottom w:val="nil"/>
              <w:right w:val="nil"/>
            </w:tcBorders>
            <w:shd w:val="clear" w:color="auto" w:fill="auto"/>
            <w:noWrap/>
            <w:vAlign w:val="bottom"/>
            <w:hideMark/>
          </w:tcPr>
          <w:p w14:paraId="3A5FC5AA"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68.4</w:t>
            </w:r>
          </w:p>
        </w:tc>
        <w:tc>
          <w:tcPr>
            <w:tcW w:w="1612" w:type="dxa"/>
            <w:tcBorders>
              <w:top w:val="nil"/>
              <w:left w:val="nil"/>
              <w:bottom w:val="nil"/>
              <w:right w:val="nil"/>
            </w:tcBorders>
            <w:shd w:val="clear" w:color="auto" w:fill="auto"/>
            <w:noWrap/>
            <w:vAlign w:val="bottom"/>
            <w:hideMark/>
          </w:tcPr>
          <w:p w14:paraId="072ED012"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9.6%</w:t>
            </w:r>
          </w:p>
        </w:tc>
      </w:tr>
      <w:tr w:rsidR="00625C6C" w:rsidRPr="002B6338" w14:paraId="6C6B00DD" w14:textId="77777777" w:rsidTr="00196F45">
        <w:trPr>
          <w:trHeight w:val="279"/>
        </w:trPr>
        <w:tc>
          <w:tcPr>
            <w:tcW w:w="3851" w:type="dxa"/>
            <w:tcBorders>
              <w:top w:val="nil"/>
              <w:left w:val="nil"/>
              <w:bottom w:val="nil"/>
              <w:right w:val="nil"/>
            </w:tcBorders>
            <w:shd w:val="clear" w:color="auto" w:fill="auto"/>
            <w:noWrap/>
            <w:vAlign w:val="bottom"/>
            <w:hideMark/>
          </w:tcPr>
          <w:p w14:paraId="1C34A7F7"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Net Commissions Income</w:t>
            </w:r>
          </w:p>
        </w:tc>
        <w:tc>
          <w:tcPr>
            <w:tcW w:w="1610" w:type="dxa"/>
            <w:tcBorders>
              <w:top w:val="nil"/>
              <w:left w:val="nil"/>
              <w:bottom w:val="nil"/>
              <w:right w:val="nil"/>
            </w:tcBorders>
            <w:shd w:val="clear" w:color="auto" w:fill="auto"/>
            <w:noWrap/>
            <w:vAlign w:val="bottom"/>
            <w:hideMark/>
          </w:tcPr>
          <w:p w14:paraId="2B1C6308"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13.5</w:t>
            </w:r>
          </w:p>
        </w:tc>
        <w:tc>
          <w:tcPr>
            <w:tcW w:w="1612" w:type="dxa"/>
            <w:tcBorders>
              <w:top w:val="nil"/>
              <w:left w:val="nil"/>
              <w:bottom w:val="nil"/>
              <w:right w:val="nil"/>
            </w:tcBorders>
            <w:shd w:val="clear" w:color="auto" w:fill="auto"/>
            <w:noWrap/>
            <w:vAlign w:val="bottom"/>
            <w:hideMark/>
          </w:tcPr>
          <w:p w14:paraId="7B0FFB80"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14.6</w:t>
            </w:r>
          </w:p>
        </w:tc>
        <w:tc>
          <w:tcPr>
            <w:tcW w:w="1612" w:type="dxa"/>
            <w:tcBorders>
              <w:top w:val="nil"/>
              <w:left w:val="nil"/>
              <w:bottom w:val="nil"/>
              <w:right w:val="nil"/>
            </w:tcBorders>
            <w:shd w:val="clear" w:color="auto" w:fill="auto"/>
            <w:noWrap/>
            <w:vAlign w:val="bottom"/>
            <w:hideMark/>
          </w:tcPr>
          <w:p w14:paraId="2F305649"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8.1%</w:t>
            </w:r>
          </w:p>
        </w:tc>
      </w:tr>
      <w:tr w:rsidR="00625C6C" w:rsidRPr="002B6338" w14:paraId="1FCA7FC2" w14:textId="77777777" w:rsidTr="00196F45">
        <w:trPr>
          <w:trHeight w:val="279"/>
        </w:trPr>
        <w:tc>
          <w:tcPr>
            <w:tcW w:w="3851" w:type="dxa"/>
            <w:tcBorders>
              <w:top w:val="nil"/>
              <w:left w:val="nil"/>
              <w:bottom w:val="nil"/>
              <w:right w:val="nil"/>
            </w:tcBorders>
            <w:shd w:val="clear" w:color="auto" w:fill="auto"/>
            <w:noWrap/>
            <w:vAlign w:val="bottom"/>
            <w:hideMark/>
          </w:tcPr>
          <w:p w14:paraId="600D1006"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Total Income</w:t>
            </w:r>
          </w:p>
        </w:tc>
        <w:tc>
          <w:tcPr>
            <w:tcW w:w="1610" w:type="dxa"/>
            <w:tcBorders>
              <w:top w:val="nil"/>
              <w:left w:val="nil"/>
              <w:bottom w:val="nil"/>
              <w:right w:val="nil"/>
            </w:tcBorders>
            <w:shd w:val="clear" w:color="auto" w:fill="auto"/>
            <w:noWrap/>
            <w:vAlign w:val="bottom"/>
            <w:hideMark/>
          </w:tcPr>
          <w:p w14:paraId="702CAC30"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85.2</w:t>
            </w:r>
          </w:p>
        </w:tc>
        <w:tc>
          <w:tcPr>
            <w:tcW w:w="1612" w:type="dxa"/>
            <w:tcBorders>
              <w:top w:val="nil"/>
              <w:left w:val="nil"/>
              <w:bottom w:val="nil"/>
              <w:right w:val="nil"/>
            </w:tcBorders>
            <w:shd w:val="clear" w:color="auto" w:fill="auto"/>
            <w:noWrap/>
            <w:vAlign w:val="bottom"/>
            <w:hideMark/>
          </w:tcPr>
          <w:p w14:paraId="7CD6B0DC"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95.2</w:t>
            </w:r>
          </w:p>
        </w:tc>
        <w:tc>
          <w:tcPr>
            <w:tcW w:w="1612" w:type="dxa"/>
            <w:tcBorders>
              <w:top w:val="nil"/>
              <w:left w:val="nil"/>
              <w:bottom w:val="nil"/>
              <w:right w:val="nil"/>
            </w:tcBorders>
            <w:shd w:val="clear" w:color="auto" w:fill="auto"/>
            <w:noWrap/>
            <w:vAlign w:val="bottom"/>
            <w:hideMark/>
          </w:tcPr>
          <w:p w14:paraId="534BD8D7"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11.7%</w:t>
            </w:r>
          </w:p>
        </w:tc>
      </w:tr>
      <w:tr w:rsidR="00625C6C" w:rsidRPr="002B6338" w14:paraId="4753D6D8" w14:textId="77777777" w:rsidTr="00196F45">
        <w:trPr>
          <w:trHeight w:val="279"/>
        </w:trPr>
        <w:tc>
          <w:tcPr>
            <w:tcW w:w="3851" w:type="dxa"/>
            <w:tcBorders>
              <w:top w:val="nil"/>
              <w:left w:val="nil"/>
              <w:bottom w:val="nil"/>
              <w:right w:val="nil"/>
            </w:tcBorders>
            <w:shd w:val="clear" w:color="auto" w:fill="auto"/>
            <w:noWrap/>
            <w:vAlign w:val="bottom"/>
            <w:hideMark/>
          </w:tcPr>
          <w:p w14:paraId="3693EC2D"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Operating expenses</w:t>
            </w:r>
          </w:p>
        </w:tc>
        <w:tc>
          <w:tcPr>
            <w:tcW w:w="1610" w:type="dxa"/>
            <w:tcBorders>
              <w:top w:val="nil"/>
              <w:left w:val="nil"/>
              <w:bottom w:val="nil"/>
              <w:right w:val="nil"/>
            </w:tcBorders>
            <w:shd w:val="clear" w:color="auto" w:fill="auto"/>
            <w:noWrap/>
            <w:vAlign w:val="bottom"/>
            <w:hideMark/>
          </w:tcPr>
          <w:p w14:paraId="63D844C0"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-29.4</w:t>
            </w:r>
          </w:p>
        </w:tc>
        <w:tc>
          <w:tcPr>
            <w:tcW w:w="1612" w:type="dxa"/>
            <w:tcBorders>
              <w:top w:val="nil"/>
              <w:left w:val="nil"/>
              <w:bottom w:val="nil"/>
              <w:right w:val="nil"/>
            </w:tcBorders>
            <w:shd w:val="clear" w:color="auto" w:fill="auto"/>
            <w:noWrap/>
            <w:vAlign w:val="bottom"/>
            <w:hideMark/>
          </w:tcPr>
          <w:p w14:paraId="7AD261BF"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-32.1</w:t>
            </w:r>
          </w:p>
        </w:tc>
        <w:tc>
          <w:tcPr>
            <w:tcW w:w="1612" w:type="dxa"/>
            <w:tcBorders>
              <w:top w:val="nil"/>
              <w:left w:val="nil"/>
              <w:bottom w:val="nil"/>
              <w:right w:val="nil"/>
            </w:tcBorders>
            <w:shd w:val="clear" w:color="auto" w:fill="auto"/>
            <w:noWrap/>
            <w:vAlign w:val="bottom"/>
            <w:hideMark/>
          </w:tcPr>
          <w:p w14:paraId="73FCE115"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9.2%</w:t>
            </w:r>
          </w:p>
        </w:tc>
      </w:tr>
      <w:tr w:rsidR="00625C6C" w:rsidRPr="002B6338" w14:paraId="65A33A50" w14:textId="77777777" w:rsidTr="00196F45">
        <w:trPr>
          <w:trHeight w:val="279"/>
        </w:trPr>
        <w:tc>
          <w:tcPr>
            <w:tcW w:w="3851" w:type="dxa"/>
            <w:tcBorders>
              <w:top w:val="nil"/>
              <w:left w:val="nil"/>
              <w:bottom w:val="nil"/>
              <w:right w:val="nil"/>
            </w:tcBorders>
            <w:shd w:val="clear" w:color="auto" w:fill="auto"/>
            <w:noWrap/>
            <w:vAlign w:val="bottom"/>
            <w:hideMark/>
          </w:tcPr>
          <w:p w14:paraId="7665EBD1"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Net Operating Income</w:t>
            </w:r>
          </w:p>
        </w:tc>
        <w:tc>
          <w:tcPr>
            <w:tcW w:w="1610" w:type="dxa"/>
            <w:tcBorders>
              <w:top w:val="nil"/>
              <w:left w:val="nil"/>
              <w:bottom w:val="nil"/>
              <w:right w:val="nil"/>
            </w:tcBorders>
            <w:shd w:val="clear" w:color="auto" w:fill="auto"/>
            <w:noWrap/>
            <w:vAlign w:val="bottom"/>
            <w:hideMark/>
          </w:tcPr>
          <w:p w14:paraId="3F14987A"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55.7</w:t>
            </w:r>
          </w:p>
        </w:tc>
        <w:tc>
          <w:tcPr>
            <w:tcW w:w="1612" w:type="dxa"/>
            <w:tcBorders>
              <w:top w:val="nil"/>
              <w:left w:val="nil"/>
              <w:bottom w:val="nil"/>
              <w:right w:val="nil"/>
            </w:tcBorders>
            <w:shd w:val="clear" w:color="auto" w:fill="auto"/>
            <w:noWrap/>
            <w:vAlign w:val="bottom"/>
            <w:hideMark/>
          </w:tcPr>
          <w:p w14:paraId="142A5B5C"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63.1</w:t>
            </w:r>
          </w:p>
        </w:tc>
        <w:tc>
          <w:tcPr>
            <w:tcW w:w="1612" w:type="dxa"/>
            <w:tcBorders>
              <w:top w:val="nil"/>
              <w:left w:val="nil"/>
              <w:bottom w:val="nil"/>
              <w:right w:val="nil"/>
            </w:tcBorders>
            <w:shd w:val="clear" w:color="auto" w:fill="auto"/>
            <w:noWrap/>
            <w:vAlign w:val="bottom"/>
            <w:hideMark/>
          </w:tcPr>
          <w:p w14:paraId="37FFA67F"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13.3%</w:t>
            </w:r>
          </w:p>
        </w:tc>
      </w:tr>
      <w:tr w:rsidR="00625C6C" w:rsidRPr="002B6338" w14:paraId="69B70889" w14:textId="77777777" w:rsidTr="00196F45">
        <w:trPr>
          <w:trHeight w:val="279"/>
        </w:trPr>
        <w:tc>
          <w:tcPr>
            <w:tcW w:w="3851" w:type="dxa"/>
            <w:tcBorders>
              <w:top w:val="nil"/>
              <w:left w:val="nil"/>
              <w:bottom w:val="nil"/>
              <w:right w:val="nil"/>
            </w:tcBorders>
            <w:shd w:val="clear" w:color="auto" w:fill="auto"/>
            <w:noWrap/>
            <w:vAlign w:val="bottom"/>
            <w:hideMark/>
          </w:tcPr>
          <w:p w14:paraId="420109A5"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Impairment losses </w:t>
            </w:r>
          </w:p>
        </w:tc>
        <w:tc>
          <w:tcPr>
            <w:tcW w:w="1610" w:type="dxa"/>
            <w:tcBorders>
              <w:top w:val="nil"/>
              <w:left w:val="nil"/>
              <w:bottom w:val="nil"/>
              <w:right w:val="nil"/>
            </w:tcBorders>
            <w:shd w:val="clear" w:color="auto" w:fill="auto"/>
            <w:noWrap/>
            <w:vAlign w:val="bottom"/>
            <w:hideMark/>
          </w:tcPr>
          <w:p w14:paraId="3CDBDF13"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-11.5</w:t>
            </w:r>
          </w:p>
        </w:tc>
        <w:tc>
          <w:tcPr>
            <w:tcW w:w="1612" w:type="dxa"/>
            <w:tcBorders>
              <w:top w:val="nil"/>
              <w:left w:val="nil"/>
              <w:bottom w:val="nil"/>
              <w:right w:val="nil"/>
            </w:tcBorders>
            <w:shd w:val="clear" w:color="auto" w:fill="auto"/>
            <w:noWrap/>
            <w:vAlign w:val="bottom"/>
            <w:hideMark/>
          </w:tcPr>
          <w:p w14:paraId="5A09B777"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-20.5</w:t>
            </w:r>
          </w:p>
        </w:tc>
        <w:tc>
          <w:tcPr>
            <w:tcW w:w="1612" w:type="dxa"/>
            <w:tcBorders>
              <w:top w:val="nil"/>
              <w:left w:val="nil"/>
              <w:bottom w:val="nil"/>
              <w:right w:val="nil"/>
            </w:tcBorders>
            <w:shd w:val="clear" w:color="auto" w:fill="auto"/>
            <w:noWrap/>
            <w:vAlign w:val="bottom"/>
            <w:hideMark/>
          </w:tcPr>
          <w:p w14:paraId="41D028B9"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78.3%</w:t>
            </w:r>
          </w:p>
        </w:tc>
      </w:tr>
      <w:tr w:rsidR="00625C6C" w:rsidRPr="002B6338" w14:paraId="473A4139" w14:textId="77777777" w:rsidTr="00196F45">
        <w:trPr>
          <w:trHeight w:val="279"/>
        </w:trPr>
        <w:tc>
          <w:tcPr>
            <w:tcW w:w="3851" w:type="dxa"/>
            <w:tcBorders>
              <w:top w:val="nil"/>
              <w:left w:val="nil"/>
              <w:bottom w:val="nil"/>
              <w:right w:val="nil"/>
            </w:tcBorders>
            <w:shd w:val="clear" w:color="auto" w:fill="auto"/>
            <w:noWrap/>
            <w:vAlign w:val="bottom"/>
            <w:hideMark/>
          </w:tcPr>
          <w:p w14:paraId="2DCF6CFA"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Pre Tax Profit</w:t>
            </w:r>
          </w:p>
        </w:tc>
        <w:tc>
          <w:tcPr>
            <w:tcW w:w="1610" w:type="dxa"/>
            <w:tcBorders>
              <w:top w:val="nil"/>
              <w:left w:val="nil"/>
              <w:bottom w:val="nil"/>
              <w:right w:val="nil"/>
            </w:tcBorders>
            <w:shd w:val="clear" w:color="auto" w:fill="auto"/>
            <w:noWrap/>
            <w:vAlign w:val="bottom"/>
            <w:hideMark/>
          </w:tcPr>
          <w:p w14:paraId="09947A4E"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44.3</w:t>
            </w:r>
          </w:p>
        </w:tc>
        <w:tc>
          <w:tcPr>
            <w:tcW w:w="1612" w:type="dxa"/>
            <w:tcBorders>
              <w:top w:val="nil"/>
              <w:left w:val="nil"/>
              <w:bottom w:val="nil"/>
              <w:right w:val="nil"/>
            </w:tcBorders>
            <w:shd w:val="clear" w:color="auto" w:fill="auto"/>
            <w:noWrap/>
            <w:vAlign w:val="bottom"/>
            <w:hideMark/>
          </w:tcPr>
          <w:p w14:paraId="2024C0C1"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42.6</w:t>
            </w:r>
          </w:p>
        </w:tc>
        <w:tc>
          <w:tcPr>
            <w:tcW w:w="1612" w:type="dxa"/>
            <w:tcBorders>
              <w:top w:val="nil"/>
              <w:left w:val="nil"/>
              <w:bottom w:val="nil"/>
              <w:right w:val="nil"/>
            </w:tcBorders>
            <w:shd w:val="clear" w:color="auto" w:fill="auto"/>
            <w:noWrap/>
            <w:vAlign w:val="bottom"/>
            <w:hideMark/>
          </w:tcPr>
          <w:p w14:paraId="3D036B5A"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-3.8%</w:t>
            </w:r>
          </w:p>
        </w:tc>
      </w:tr>
      <w:tr w:rsidR="00625C6C" w:rsidRPr="002B6338" w14:paraId="57FEE63E" w14:textId="77777777" w:rsidTr="00196F45">
        <w:trPr>
          <w:trHeight w:val="279"/>
        </w:trPr>
        <w:tc>
          <w:tcPr>
            <w:tcW w:w="3851" w:type="dxa"/>
            <w:tcBorders>
              <w:top w:val="nil"/>
              <w:left w:val="nil"/>
              <w:bottom w:val="double" w:sz="6" w:space="0" w:color="auto"/>
              <w:right w:val="nil"/>
            </w:tcBorders>
            <w:shd w:val="clear" w:color="auto" w:fill="auto"/>
            <w:noWrap/>
            <w:vAlign w:val="bottom"/>
            <w:hideMark/>
          </w:tcPr>
          <w:p w14:paraId="20E50645" w14:textId="77777777" w:rsidR="00625C6C" w:rsidRPr="00932791" w:rsidRDefault="00625C6C"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Net Profit</w:t>
            </w:r>
          </w:p>
        </w:tc>
        <w:tc>
          <w:tcPr>
            <w:tcW w:w="1610" w:type="dxa"/>
            <w:tcBorders>
              <w:top w:val="nil"/>
              <w:left w:val="nil"/>
              <w:bottom w:val="double" w:sz="6" w:space="0" w:color="auto"/>
              <w:right w:val="nil"/>
            </w:tcBorders>
            <w:shd w:val="clear" w:color="auto" w:fill="auto"/>
            <w:noWrap/>
            <w:vAlign w:val="bottom"/>
            <w:hideMark/>
          </w:tcPr>
          <w:p w14:paraId="0D2E4163"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40.0</w:t>
            </w:r>
          </w:p>
        </w:tc>
        <w:tc>
          <w:tcPr>
            <w:tcW w:w="1612" w:type="dxa"/>
            <w:tcBorders>
              <w:top w:val="nil"/>
              <w:left w:val="nil"/>
              <w:bottom w:val="double" w:sz="6" w:space="0" w:color="auto"/>
              <w:right w:val="nil"/>
            </w:tcBorders>
            <w:shd w:val="clear" w:color="auto" w:fill="auto"/>
            <w:noWrap/>
            <w:vAlign w:val="bottom"/>
            <w:hideMark/>
          </w:tcPr>
          <w:p w14:paraId="428F2EE8"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38.6</w:t>
            </w:r>
          </w:p>
        </w:tc>
        <w:tc>
          <w:tcPr>
            <w:tcW w:w="1612" w:type="dxa"/>
            <w:tcBorders>
              <w:top w:val="nil"/>
              <w:left w:val="nil"/>
              <w:bottom w:val="double" w:sz="6" w:space="0" w:color="auto"/>
              <w:right w:val="nil"/>
            </w:tcBorders>
            <w:shd w:val="clear" w:color="auto" w:fill="auto"/>
            <w:noWrap/>
            <w:vAlign w:val="bottom"/>
            <w:hideMark/>
          </w:tcPr>
          <w:p w14:paraId="0A07601D"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-3.5%</w:t>
            </w:r>
          </w:p>
        </w:tc>
      </w:tr>
      <w:tr w:rsidR="00625C6C" w:rsidRPr="002B6338" w14:paraId="6FF687FC" w14:textId="77777777" w:rsidTr="00196F45">
        <w:trPr>
          <w:trHeight w:val="383"/>
        </w:trPr>
        <w:tc>
          <w:tcPr>
            <w:tcW w:w="3851" w:type="dxa"/>
            <w:tcBorders>
              <w:top w:val="nil"/>
              <w:left w:val="nil"/>
              <w:bottom w:val="nil"/>
              <w:right w:val="nil"/>
            </w:tcBorders>
            <w:shd w:val="clear" w:color="auto" w:fill="auto"/>
            <w:noWrap/>
            <w:vAlign w:val="bottom"/>
            <w:hideMark/>
          </w:tcPr>
          <w:p w14:paraId="68D3AAB8" w14:textId="77777777" w:rsidR="00625C6C" w:rsidRPr="00932791" w:rsidRDefault="00625C6C" w:rsidP="00BB27D7">
            <w:pPr>
              <w:spacing w:after="0"/>
              <w:jc w:val="right"/>
              <w:rPr>
                <w:rFonts w:ascii="Times New Roman" w:eastAsia="Times New Roman" w:hAnsi="Times New Roman"/>
                <w:b/>
                <w:bCs/>
                <w:sz w:val="20"/>
                <w:szCs w:val="20"/>
              </w:rPr>
            </w:pPr>
          </w:p>
        </w:tc>
        <w:tc>
          <w:tcPr>
            <w:tcW w:w="1610" w:type="dxa"/>
            <w:tcBorders>
              <w:top w:val="nil"/>
              <w:left w:val="nil"/>
              <w:bottom w:val="nil"/>
              <w:right w:val="nil"/>
            </w:tcBorders>
            <w:shd w:val="clear" w:color="auto" w:fill="auto"/>
            <w:noWrap/>
            <w:vAlign w:val="bottom"/>
            <w:hideMark/>
          </w:tcPr>
          <w:p w14:paraId="1B4938A7" w14:textId="77777777" w:rsidR="00625C6C" w:rsidRPr="00932791" w:rsidRDefault="00625C6C" w:rsidP="00BB27D7">
            <w:pPr>
              <w:spacing w:after="0"/>
              <w:rPr>
                <w:rFonts w:ascii="Times New Roman" w:eastAsia="Times New Roman" w:hAnsi="Times New Roman"/>
                <w:sz w:val="20"/>
                <w:szCs w:val="20"/>
              </w:rPr>
            </w:pPr>
          </w:p>
        </w:tc>
        <w:tc>
          <w:tcPr>
            <w:tcW w:w="1612" w:type="dxa"/>
            <w:tcBorders>
              <w:top w:val="nil"/>
              <w:left w:val="nil"/>
              <w:bottom w:val="nil"/>
              <w:right w:val="nil"/>
            </w:tcBorders>
            <w:shd w:val="clear" w:color="auto" w:fill="auto"/>
            <w:noWrap/>
            <w:vAlign w:val="bottom"/>
            <w:hideMark/>
          </w:tcPr>
          <w:p w14:paraId="630F100B" w14:textId="77777777" w:rsidR="00625C6C" w:rsidRPr="00932791" w:rsidRDefault="00625C6C" w:rsidP="00BB27D7">
            <w:pPr>
              <w:spacing w:after="0"/>
              <w:rPr>
                <w:rFonts w:ascii="Times New Roman" w:eastAsia="Times New Roman" w:hAnsi="Times New Roman"/>
                <w:sz w:val="20"/>
                <w:szCs w:val="20"/>
              </w:rPr>
            </w:pPr>
          </w:p>
        </w:tc>
        <w:tc>
          <w:tcPr>
            <w:tcW w:w="1612" w:type="dxa"/>
            <w:tcBorders>
              <w:top w:val="nil"/>
              <w:left w:val="nil"/>
              <w:bottom w:val="nil"/>
              <w:right w:val="nil"/>
            </w:tcBorders>
            <w:shd w:val="clear" w:color="auto" w:fill="auto"/>
            <w:noWrap/>
            <w:vAlign w:val="bottom"/>
            <w:hideMark/>
          </w:tcPr>
          <w:p w14:paraId="53E76ABC" w14:textId="77777777" w:rsidR="00625C6C" w:rsidRPr="00932791" w:rsidRDefault="00625C6C" w:rsidP="00BB27D7">
            <w:pPr>
              <w:spacing w:after="0"/>
              <w:rPr>
                <w:rFonts w:ascii="Times New Roman" w:eastAsia="Times New Roman" w:hAnsi="Times New Roman"/>
                <w:sz w:val="20"/>
                <w:szCs w:val="20"/>
              </w:rPr>
            </w:pPr>
          </w:p>
        </w:tc>
      </w:tr>
      <w:tr w:rsidR="00625C6C" w:rsidRPr="002B6338" w14:paraId="6A8F2BAB" w14:textId="77777777" w:rsidTr="00196F45">
        <w:trPr>
          <w:trHeight w:val="265"/>
        </w:trPr>
        <w:tc>
          <w:tcPr>
            <w:tcW w:w="3851" w:type="dxa"/>
            <w:tcBorders>
              <w:top w:val="nil"/>
              <w:left w:val="nil"/>
              <w:bottom w:val="nil"/>
              <w:right w:val="nil"/>
            </w:tcBorders>
            <w:shd w:val="clear" w:color="auto" w:fill="auto"/>
            <w:noWrap/>
            <w:vAlign w:val="bottom"/>
            <w:hideMark/>
          </w:tcPr>
          <w:p w14:paraId="5FCBB8A5" w14:textId="77777777" w:rsidR="00625C6C" w:rsidRPr="00932791" w:rsidRDefault="00625C6C"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Balance Sheet indicators</w:t>
            </w:r>
          </w:p>
        </w:tc>
        <w:tc>
          <w:tcPr>
            <w:tcW w:w="1610" w:type="dxa"/>
            <w:tcBorders>
              <w:top w:val="nil"/>
              <w:left w:val="nil"/>
              <w:bottom w:val="nil"/>
              <w:right w:val="nil"/>
            </w:tcBorders>
            <w:shd w:val="clear" w:color="auto" w:fill="auto"/>
            <w:vAlign w:val="bottom"/>
            <w:hideMark/>
          </w:tcPr>
          <w:p w14:paraId="25777393"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2021</w:t>
            </w:r>
          </w:p>
        </w:tc>
        <w:tc>
          <w:tcPr>
            <w:tcW w:w="1612" w:type="dxa"/>
            <w:tcBorders>
              <w:top w:val="nil"/>
              <w:left w:val="nil"/>
              <w:bottom w:val="nil"/>
              <w:right w:val="nil"/>
            </w:tcBorders>
            <w:shd w:val="clear" w:color="auto" w:fill="auto"/>
            <w:vAlign w:val="bottom"/>
            <w:hideMark/>
          </w:tcPr>
          <w:p w14:paraId="72999BE0"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2022</w:t>
            </w:r>
          </w:p>
        </w:tc>
        <w:tc>
          <w:tcPr>
            <w:tcW w:w="1612" w:type="dxa"/>
            <w:tcBorders>
              <w:top w:val="nil"/>
              <w:left w:val="nil"/>
              <w:bottom w:val="nil"/>
              <w:right w:val="nil"/>
            </w:tcBorders>
            <w:shd w:val="clear" w:color="auto" w:fill="auto"/>
            <w:vAlign w:val="bottom"/>
            <w:hideMark/>
          </w:tcPr>
          <w:p w14:paraId="09FDD98A"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change %</w:t>
            </w:r>
          </w:p>
        </w:tc>
      </w:tr>
      <w:tr w:rsidR="00625C6C" w:rsidRPr="002B6338" w14:paraId="1FC1EB17" w14:textId="77777777" w:rsidTr="00196F45">
        <w:trPr>
          <w:trHeight w:val="413"/>
        </w:trPr>
        <w:tc>
          <w:tcPr>
            <w:tcW w:w="3851" w:type="dxa"/>
            <w:tcBorders>
              <w:top w:val="nil"/>
              <w:left w:val="nil"/>
              <w:bottom w:val="nil"/>
              <w:right w:val="nil"/>
            </w:tcBorders>
            <w:shd w:val="clear" w:color="auto" w:fill="auto"/>
            <w:noWrap/>
            <w:vAlign w:val="bottom"/>
            <w:hideMark/>
          </w:tcPr>
          <w:p w14:paraId="118B233A" w14:textId="77777777" w:rsidR="00625C6C" w:rsidRPr="00932791" w:rsidRDefault="00625C6C"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Total Assets</w:t>
            </w:r>
          </w:p>
        </w:tc>
        <w:tc>
          <w:tcPr>
            <w:tcW w:w="1610" w:type="dxa"/>
            <w:tcBorders>
              <w:top w:val="nil"/>
              <w:left w:val="nil"/>
              <w:bottom w:val="nil"/>
              <w:right w:val="nil"/>
            </w:tcBorders>
            <w:shd w:val="clear" w:color="auto" w:fill="auto"/>
            <w:noWrap/>
            <w:vAlign w:val="bottom"/>
            <w:hideMark/>
          </w:tcPr>
          <w:p w14:paraId="21D33553"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1,851.5</w:t>
            </w:r>
          </w:p>
        </w:tc>
        <w:tc>
          <w:tcPr>
            <w:tcW w:w="1612" w:type="dxa"/>
            <w:tcBorders>
              <w:top w:val="nil"/>
              <w:left w:val="nil"/>
              <w:bottom w:val="nil"/>
              <w:right w:val="nil"/>
            </w:tcBorders>
            <w:shd w:val="clear" w:color="auto" w:fill="auto"/>
            <w:noWrap/>
            <w:vAlign w:val="bottom"/>
            <w:hideMark/>
          </w:tcPr>
          <w:p w14:paraId="3EB16F0B"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1,996.7</w:t>
            </w:r>
          </w:p>
        </w:tc>
        <w:tc>
          <w:tcPr>
            <w:tcW w:w="1612" w:type="dxa"/>
            <w:tcBorders>
              <w:top w:val="nil"/>
              <w:left w:val="nil"/>
              <w:bottom w:val="nil"/>
              <w:right w:val="nil"/>
            </w:tcBorders>
            <w:shd w:val="clear" w:color="auto" w:fill="auto"/>
            <w:noWrap/>
            <w:vAlign w:val="bottom"/>
            <w:hideMark/>
          </w:tcPr>
          <w:p w14:paraId="37FDD42F"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7.8%</w:t>
            </w:r>
          </w:p>
        </w:tc>
      </w:tr>
      <w:tr w:rsidR="00625C6C" w:rsidRPr="002B6338" w14:paraId="741AD5B4" w14:textId="77777777" w:rsidTr="00196F45">
        <w:trPr>
          <w:trHeight w:val="442"/>
        </w:trPr>
        <w:tc>
          <w:tcPr>
            <w:tcW w:w="3851" w:type="dxa"/>
            <w:tcBorders>
              <w:top w:val="nil"/>
              <w:left w:val="nil"/>
              <w:bottom w:val="nil"/>
              <w:right w:val="nil"/>
            </w:tcBorders>
            <w:shd w:val="clear" w:color="auto" w:fill="auto"/>
            <w:noWrap/>
            <w:vAlign w:val="bottom"/>
            <w:hideMark/>
          </w:tcPr>
          <w:p w14:paraId="6D6486ED" w14:textId="77777777" w:rsidR="00625C6C" w:rsidRPr="00932791" w:rsidRDefault="00625C6C"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 xml:space="preserve">Equity </w:t>
            </w:r>
          </w:p>
        </w:tc>
        <w:tc>
          <w:tcPr>
            <w:tcW w:w="1610" w:type="dxa"/>
            <w:tcBorders>
              <w:top w:val="nil"/>
              <w:left w:val="nil"/>
              <w:bottom w:val="nil"/>
              <w:right w:val="nil"/>
            </w:tcBorders>
            <w:shd w:val="clear" w:color="auto" w:fill="auto"/>
            <w:noWrap/>
            <w:vAlign w:val="bottom"/>
            <w:hideMark/>
          </w:tcPr>
          <w:p w14:paraId="44992D6E"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321.2</w:t>
            </w:r>
          </w:p>
        </w:tc>
        <w:tc>
          <w:tcPr>
            <w:tcW w:w="1612" w:type="dxa"/>
            <w:tcBorders>
              <w:top w:val="nil"/>
              <w:left w:val="nil"/>
              <w:bottom w:val="nil"/>
              <w:right w:val="nil"/>
            </w:tcBorders>
            <w:shd w:val="clear" w:color="auto" w:fill="auto"/>
            <w:noWrap/>
            <w:vAlign w:val="bottom"/>
            <w:hideMark/>
          </w:tcPr>
          <w:p w14:paraId="4370AE33"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361.0</w:t>
            </w:r>
          </w:p>
        </w:tc>
        <w:tc>
          <w:tcPr>
            <w:tcW w:w="1612" w:type="dxa"/>
            <w:tcBorders>
              <w:top w:val="nil"/>
              <w:left w:val="nil"/>
              <w:bottom w:val="nil"/>
              <w:right w:val="nil"/>
            </w:tcBorders>
            <w:shd w:val="clear" w:color="auto" w:fill="auto"/>
            <w:noWrap/>
            <w:vAlign w:val="bottom"/>
            <w:hideMark/>
          </w:tcPr>
          <w:p w14:paraId="54D7C12E"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12.4%</w:t>
            </w:r>
          </w:p>
        </w:tc>
      </w:tr>
      <w:tr w:rsidR="00625C6C" w:rsidRPr="002B6338" w14:paraId="0B225FD7" w14:textId="77777777" w:rsidTr="00196F45">
        <w:trPr>
          <w:trHeight w:val="294"/>
        </w:trPr>
        <w:tc>
          <w:tcPr>
            <w:tcW w:w="3851" w:type="dxa"/>
            <w:tcBorders>
              <w:top w:val="nil"/>
              <w:left w:val="nil"/>
              <w:bottom w:val="nil"/>
              <w:right w:val="nil"/>
            </w:tcBorders>
            <w:shd w:val="clear" w:color="auto" w:fill="auto"/>
            <w:noWrap/>
            <w:vAlign w:val="bottom"/>
            <w:hideMark/>
          </w:tcPr>
          <w:p w14:paraId="44854BFB"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Regulatory capital</w:t>
            </w:r>
          </w:p>
        </w:tc>
        <w:tc>
          <w:tcPr>
            <w:tcW w:w="1610" w:type="dxa"/>
            <w:tcBorders>
              <w:top w:val="nil"/>
              <w:left w:val="nil"/>
              <w:bottom w:val="nil"/>
              <w:right w:val="nil"/>
            </w:tcBorders>
            <w:shd w:val="clear" w:color="auto" w:fill="auto"/>
            <w:noWrap/>
            <w:vAlign w:val="bottom"/>
            <w:hideMark/>
          </w:tcPr>
          <w:p w14:paraId="48C0C41C"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241.8</w:t>
            </w:r>
          </w:p>
        </w:tc>
        <w:tc>
          <w:tcPr>
            <w:tcW w:w="1612" w:type="dxa"/>
            <w:tcBorders>
              <w:top w:val="nil"/>
              <w:left w:val="nil"/>
              <w:bottom w:val="nil"/>
              <w:right w:val="nil"/>
            </w:tcBorders>
            <w:shd w:val="clear" w:color="auto" w:fill="auto"/>
            <w:noWrap/>
            <w:vAlign w:val="bottom"/>
            <w:hideMark/>
          </w:tcPr>
          <w:p w14:paraId="26303D8A"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273.0</w:t>
            </w:r>
          </w:p>
        </w:tc>
        <w:tc>
          <w:tcPr>
            <w:tcW w:w="1612" w:type="dxa"/>
            <w:tcBorders>
              <w:top w:val="nil"/>
              <w:left w:val="nil"/>
              <w:bottom w:val="nil"/>
              <w:right w:val="nil"/>
            </w:tcBorders>
            <w:shd w:val="clear" w:color="auto" w:fill="auto"/>
            <w:noWrap/>
            <w:vAlign w:val="bottom"/>
            <w:hideMark/>
          </w:tcPr>
          <w:p w14:paraId="23B5A908"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12.9%</w:t>
            </w:r>
          </w:p>
        </w:tc>
      </w:tr>
      <w:tr w:rsidR="00625C6C" w:rsidRPr="002B6338" w14:paraId="2F211031" w14:textId="77777777" w:rsidTr="00196F45">
        <w:trPr>
          <w:trHeight w:val="279"/>
        </w:trPr>
        <w:tc>
          <w:tcPr>
            <w:tcW w:w="3851" w:type="dxa"/>
            <w:tcBorders>
              <w:top w:val="nil"/>
              <w:left w:val="nil"/>
              <w:bottom w:val="nil"/>
              <w:right w:val="nil"/>
            </w:tcBorders>
            <w:shd w:val="clear" w:color="auto" w:fill="auto"/>
            <w:noWrap/>
            <w:vAlign w:val="bottom"/>
            <w:hideMark/>
          </w:tcPr>
          <w:p w14:paraId="40C37CF8"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Loans to customers (net)</w:t>
            </w:r>
          </w:p>
        </w:tc>
        <w:tc>
          <w:tcPr>
            <w:tcW w:w="1610" w:type="dxa"/>
            <w:tcBorders>
              <w:top w:val="nil"/>
              <w:left w:val="nil"/>
              <w:bottom w:val="nil"/>
              <w:right w:val="nil"/>
            </w:tcBorders>
            <w:shd w:val="clear" w:color="auto" w:fill="auto"/>
            <w:noWrap/>
            <w:vAlign w:val="bottom"/>
            <w:hideMark/>
          </w:tcPr>
          <w:p w14:paraId="269E02F9"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1,266.3</w:t>
            </w:r>
          </w:p>
        </w:tc>
        <w:tc>
          <w:tcPr>
            <w:tcW w:w="1612" w:type="dxa"/>
            <w:tcBorders>
              <w:top w:val="nil"/>
              <w:left w:val="nil"/>
              <w:bottom w:val="nil"/>
              <w:right w:val="nil"/>
            </w:tcBorders>
            <w:shd w:val="clear" w:color="auto" w:fill="auto"/>
            <w:noWrap/>
            <w:vAlign w:val="bottom"/>
            <w:hideMark/>
          </w:tcPr>
          <w:p w14:paraId="16E4CBDF"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1,396.8</w:t>
            </w:r>
          </w:p>
        </w:tc>
        <w:tc>
          <w:tcPr>
            <w:tcW w:w="1612" w:type="dxa"/>
            <w:tcBorders>
              <w:top w:val="nil"/>
              <w:left w:val="nil"/>
              <w:bottom w:val="nil"/>
              <w:right w:val="nil"/>
            </w:tcBorders>
            <w:shd w:val="clear" w:color="auto" w:fill="auto"/>
            <w:noWrap/>
            <w:vAlign w:val="bottom"/>
            <w:hideMark/>
          </w:tcPr>
          <w:p w14:paraId="626DF371"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10.3%</w:t>
            </w:r>
          </w:p>
        </w:tc>
      </w:tr>
      <w:tr w:rsidR="00625C6C" w:rsidRPr="002B6338" w14:paraId="193426C9" w14:textId="77777777" w:rsidTr="00196F45">
        <w:trPr>
          <w:trHeight w:val="310"/>
        </w:trPr>
        <w:tc>
          <w:tcPr>
            <w:tcW w:w="3851" w:type="dxa"/>
            <w:tcBorders>
              <w:top w:val="nil"/>
              <w:left w:val="nil"/>
              <w:bottom w:val="nil"/>
              <w:right w:val="nil"/>
            </w:tcBorders>
            <w:shd w:val="clear" w:color="auto" w:fill="auto"/>
            <w:noWrap/>
            <w:vAlign w:val="bottom"/>
            <w:hideMark/>
          </w:tcPr>
          <w:p w14:paraId="2276EEFC" w14:textId="77777777" w:rsidR="00625C6C" w:rsidRPr="00932791" w:rsidRDefault="00625C6C"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Total loans (gross)</w:t>
            </w:r>
          </w:p>
        </w:tc>
        <w:tc>
          <w:tcPr>
            <w:tcW w:w="1610" w:type="dxa"/>
            <w:tcBorders>
              <w:top w:val="nil"/>
              <w:left w:val="nil"/>
              <w:bottom w:val="nil"/>
              <w:right w:val="nil"/>
            </w:tcBorders>
            <w:shd w:val="clear" w:color="auto" w:fill="auto"/>
            <w:noWrap/>
            <w:vAlign w:val="bottom"/>
            <w:hideMark/>
          </w:tcPr>
          <w:p w14:paraId="47BB0274"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1,309.4</w:t>
            </w:r>
          </w:p>
        </w:tc>
        <w:tc>
          <w:tcPr>
            <w:tcW w:w="1612" w:type="dxa"/>
            <w:tcBorders>
              <w:top w:val="nil"/>
              <w:left w:val="nil"/>
              <w:bottom w:val="nil"/>
              <w:right w:val="nil"/>
            </w:tcBorders>
            <w:shd w:val="clear" w:color="auto" w:fill="auto"/>
            <w:noWrap/>
            <w:vAlign w:val="bottom"/>
            <w:hideMark/>
          </w:tcPr>
          <w:p w14:paraId="6C59EBDD"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1,449.1</w:t>
            </w:r>
          </w:p>
        </w:tc>
        <w:tc>
          <w:tcPr>
            <w:tcW w:w="1612" w:type="dxa"/>
            <w:tcBorders>
              <w:top w:val="nil"/>
              <w:left w:val="nil"/>
              <w:bottom w:val="nil"/>
              <w:right w:val="nil"/>
            </w:tcBorders>
            <w:shd w:val="clear" w:color="auto" w:fill="auto"/>
            <w:noWrap/>
            <w:vAlign w:val="bottom"/>
            <w:hideMark/>
          </w:tcPr>
          <w:p w14:paraId="50BA6150"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10.7%</w:t>
            </w:r>
          </w:p>
        </w:tc>
      </w:tr>
      <w:tr w:rsidR="00625C6C" w:rsidRPr="002B6338" w14:paraId="65968E71" w14:textId="77777777" w:rsidTr="00196F45">
        <w:trPr>
          <w:trHeight w:val="325"/>
        </w:trPr>
        <w:tc>
          <w:tcPr>
            <w:tcW w:w="3851" w:type="dxa"/>
            <w:tcBorders>
              <w:top w:val="nil"/>
              <w:left w:val="nil"/>
              <w:bottom w:val="nil"/>
              <w:right w:val="nil"/>
            </w:tcBorders>
            <w:shd w:val="clear" w:color="auto" w:fill="auto"/>
            <w:noWrap/>
            <w:vAlign w:val="bottom"/>
            <w:hideMark/>
          </w:tcPr>
          <w:p w14:paraId="00C0B601"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Retail loans</w:t>
            </w:r>
          </w:p>
        </w:tc>
        <w:tc>
          <w:tcPr>
            <w:tcW w:w="1610" w:type="dxa"/>
            <w:tcBorders>
              <w:top w:val="nil"/>
              <w:left w:val="nil"/>
              <w:bottom w:val="nil"/>
              <w:right w:val="nil"/>
            </w:tcBorders>
            <w:shd w:val="clear" w:color="auto" w:fill="auto"/>
            <w:noWrap/>
            <w:vAlign w:val="bottom"/>
            <w:hideMark/>
          </w:tcPr>
          <w:p w14:paraId="7C12F4B0"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850.2</w:t>
            </w:r>
          </w:p>
        </w:tc>
        <w:tc>
          <w:tcPr>
            <w:tcW w:w="1612" w:type="dxa"/>
            <w:tcBorders>
              <w:top w:val="nil"/>
              <w:left w:val="nil"/>
              <w:bottom w:val="nil"/>
              <w:right w:val="nil"/>
            </w:tcBorders>
            <w:shd w:val="clear" w:color="auto" w:fill="auto"/>
            <w:noWrap/>
            <w:vAlign w:val="bottom"/>
            <w:hideMark/>
          </w:tcPr>
          <w:p w14:paraId="7E420A35"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908.2</w:t>
            </w:r>
          </w:p>
        </w:tc>
        <w:tc>
          <w:tcPr>
            <w:tcW w:w="1612" w:type="dxa"/>
            <w:tcBorders>
              <w:top w:val="nil"/>
              <w:left w:val="nil"/>
              <w:bottom w:val="nil"/>
              <w:right w:val="nil"/>
            </w:tcBorders>
            <w:shd w:val="clear" w:color="auto" w:fill="auto"/>
            <w:noWrap/>
            <w:vAlign w:val="bottom"/>
            <w:hideMark/>
          </w:tcPr>
          <w:p w14:paraId="468E8BD0"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6.8%</w:t>
            </w:r>
          </w:p>
        </w:tc>
      </w:tr>
      <w:tr w:rsidR="00625C6C" w:rsidRPr="002B6338" w14:paraId="7D7931D2" w14:textId="77777777" w:rsidTr="00196F45">
        <w:trPr>
          <w:trHeight w:val="279"/>
        </w:trPr>
        <w:tc>
          <w:tcPr>
            <w:tcW w:w="3851" w:type="dxa"/>
            <w:tcBorders>
              <w:top w:val="nil"/>
              <w:left w:val="nil"/>
              <w:bottom w:val="nil"/>
              <w:right w:val="nil"/>
            </w:tcBorders>
            <w:shd w:val="clear" w:color="auto" w:fill="auto"/>
            <w:noWrap/>
            <w:vAlign w:val="bottom"/>
            <w:hideMark/>
          </w:tcPr>
          <w:p w14:paraId="5BE363C2" w14:textId="6D0011D8"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Corporate </w:t>
            </w:r>
            <w:r w:rsidR="008A2446">
              <w:rPr>
                <w:rFonts w:ascii="Times New Roman" w:eastAsia="Times New Roman" w:hAnsi="Times New Roman"/>
                <w:sz w:val="20"/>
                <w:szCs w:val="20"/>
              </w:rPr>
              <w:t>l</w:t>
            </w:r>
            <w:r w:rsidRPr="00932791">
              <w:rPr>
                <w:rFonts w:ascii="Times New Roman" w:eastAsia="Times New Roman" w:hAnsi="Times New Roman"/>
                <w:sz w:val="20"/>
                <w:szCs w:val="20"/>
              </w:rPr>
              <w:t>oans</w:t>
            </w:r>
          </w:p>
        </w:tc>
        <w:tc>
          <w:tcPr>
            <w:tcW w:w="1610" w:type="dxa"/>
            <w:tcBorders>
              <w:top w:val="nil"/>
              <w:left w:val="nil"/>
              <w:bottom w:val="nil"/>
              <w:right w:val="nil"/>
            </w:tcBorders>
            <w:shd w:val="clear" w:color="auto" w:fill="auto"/>
            <w:noWrap/>
            <w:vAlign w:val="bottom"/>
            <w:hideMark/>
          </w:tcPr>
          <w:p w14:paraId="3D76FA18"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459.2</w:t>
            </w:r>
          </w:p>
        </w:tc>
        <w:tc>
          <w:tcPr>
            <w:tcW w:w="1612" w:type="dxa"/>
            <w:tcBorders>
              <w:top w:val="nil"/>
              <w:left w:val="nil"/>
              <w:bottom w:val="nil"/>
              <w:right w:val="nil"/>
            </w:tcBorders>
            <w:shd w:val="clear" w:color="auto" w:fill="auto"/>
            <w:noWrap/>
            <w:vAlign w:val="bottom"/>
            <w:hideMark/>
          </w:tcPr>
          <w:p w14:paraId="186544C9"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540.9</w:t>
            </w:r>
          </w:p>
        </w:tc>
        <w:tc>
          <w:tcPr>
            <w:tcW w:w="1612" w:type="dxa"/>
            <w:tcBorders>
              <w:top w:val="nil"/>
              <w:left w:val="nil"/>
              <w:bottom w:val="nil"/>
              <w:right w:val="nil"/>
            </w:tcBorders>
            <w:shd w:val="clear" w:color="auto" w:fill="auto"/>
            <w:noWrap/>
            <w:vAlign w:val="bottom"/>
            <w:hideMark/>
          </w:tcPr>
          <w:p w14:paraId="000C933D"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17.8%</w:t>
            </w:r>
          </w:p>
        </w:tc>
      </w:tr>
      <w:tr w:rsidR="00625C6C" w:rsidRPr="002B6338" w14:paraId="05A34A04" w14:textId="77777777" w:rsidTr="00196F45">
        <w:trPr>
          <w:trHeight w:val="265"/>
        </w:trPr>
        <w:tc>
          <w:tcPr>
            <w:tcW w:w="3851" w:type="dxa"/>
            <w:tcBorders>
              <w:top w:val="nil"/>
              <w:left w:val="nil"/>
              <w:bottom w:val="nil"/>
              <w:right w:val="nil"/>
            </w:tcBorders>
            <w:shd w:val="clear" w:color="auto" w:fill="auto"/>
            <w:noWrap/>
            <w:vAlign w:val="bottom"/>
            <w:hideMark/>
          </w:tcPr>
          <w:p w14:paraId="2D793B01"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Provisions</w:t>
            </w:r>
          </w:p>
        </w:tc>
        <w:tc>
          <w:tcPr>
            <w:tcW w:w="1610" w:type="dxa"/>
            <w:tcBorders>
              <w:top w:val="nil"/>
              <w:left w:val="nil"/>
              <w:bottom w:val="nil"/>
              <w:right w:val="nil"/>
            </w:tcBorders>
            <w:shd w:val="clear" w:color="auto" w:fill="auto"/>
            <w:noWrap/>
            <w:vAlign w:val="bottom"/>
            <w:hideMark/>
          </w:tcPr>
          <w:p w14:paraId="1ED96444"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43.2</w:t>
            </w:r>
          </w:p>
        </w:tc>
        <w:tc>
          <w:tcPr>
            <w:tcW w:w="1612" w:type="dxa"/>
            <w:tcBorders>
              <w:top w:val="nil"/>
              <w:left w:val="nil"/>
              <w:bottom w:val="nil"/>
              <w:right w:val="nil"/>
            </w:tcBorders>
            <w:shd w:val="clear" w:color="auto" w:fill="auto"/>
            <w:noWrap/>
            <w:vAlign w:val="bottom"/>
            <w:hideMark/>
          </w:tcPr>
          <w:p w14:paraId="14E84272"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52.3</w:t>
            </w:r>
          </w:p>
        </w:tc>
        <w:tc>
          <w:tcPr>
            <w:tcW w:w="1612" w:type="dxa"/>
            <w:tcBorders>
              <w:top w:val="nil"/>
              <w:left w:val="nil"/>
              <w:bottom w:val="nil"/>
              <w:right w:val="nil"/>
            </w:tcBorders>
            <w:shd w:val="clear" w:color="auto" w:fill="auto"/>
            <w:noWrap/>
            <w:vAlign w:val="bottom"/>
            <w:hideMark/>
          </w:tcPr>
          <w:p w14:paraId="2D49DCAB" w14:textId="3ED98278"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21.</w:t>
            </w:r>
            <w:r w:rsidR="00FA579D">
              <w:rPr>
                <w:rFonts w:ascii="Times New Roman" w:eastAsia="Times New Roman" w:hAnsi="Times New Roman"/>
                <w:sz w:val="20"/>
                <w:szCs w:val="20"/>
              </w:rPr>
              <w:t>0</w:t>
            </w:r>
            <w:r w:rsidRPr="00932791">
              <w:rPr>
                <w:rFonts w:ascii="Times New Roman" w:eastAsia="Times New Roman" w:hAnsi="Times New Roman"/>
                <w:sz w:val="20"/>
                <w:szCs w:val="20"/>
              </w:rPr>
              <w:t>%</w:t>
            </w:r>
          </w:p>
        </w:tc>
      </w:tr>
      <w:tr w:rsidR="00625C6C" w:rsidRPr="002B6338" w14:paraId="5AB685A5" w14:textId="77777777" w:rsidTr="00196F45">
        <w:trPr>
          <w:trHeight w:val="265"/>
        </w:trPr>
        <w:tc>
          <w:tcPr>
            <w:tcW w:w="3851" w:type="dxa"/>
            <w:tcBorders>
              <w:top w:val="nil"/>
              <w:left w:val="nil"/>
              <w:bottom w:val="nil"/>
              <w:right w:val="nil"/>
            </w:tcBorders>
            <w:shd w:val="clear" w:color="auto" w:fill="auto"/>
            <w:noWrap/>
            <w:vAlign w:val="bottom"/>
            <w:hideMark/>
          </w:tcPr>
          <w:p w14:paraId="645B3047" w14:textId="77777777" w:rsidR="00625C6C" w:rsidRPr="00932791" w:rsidRDefault="00625C6C"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Total Deposits</w:t>
            </w:r>
          </w:p>
        </w:tc>
        <w:tc>
          <w:tcPr>
            <w:tcW w:w="1610" w:type="dxa"/>
            <w:tcBorders>
              <w:top w:val="nil"/>
              <w:left w:val="nil"/>
              <w:bottom w:val="nil"/>
              <w:right w:val="nil"/>
            </w:tcBorders>
            <w:shd w:val="clear" w:color="auto" w:fill="auto"/>
            <w:noWrap/>
            <w:vAlign w:val="bottom"/>
            <w:hideMark/>
          </w:tcPr>
          <w:p w14:paraId="1957EFCF"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1,455.1</w:t>
            </w:r>
          </w:p>
        </w:tc>
        <w:tc>
          <w:tcPr>
            <w:tcW w:w="1612" w:type="dxa"/>
            <w:tcBorders>
              <w:top w:val="nil"/>
              <w:left w:val="nil"/>
              <w:bottom w:val="nil"/>
              <w:right w:val="nil"/>
            </w:tcBorders>
            <w:shd w:val="clear" w:color="auto" w:fill="auto"/>
            <w:noWrap/>
            <w:vAlign w:val="bottom"/>
            <w:hideMark/>
          </w:tcPr>
          <w:p w14:paraId="5D978DC5"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1,535.0</w:t>
            </w:r>
          </w:p>
        </w:tc>
        <w:tc>
          <w:tcPr>
            <w:tcW w:w="1612" w:type="dxa"/>
            <w:tcBorders>
              <w:top w:val="nil"/>
              <w:left w:val="nil"/>
              <w:bottom w:val="nil"/>
              <w:right w:val="nil"/>
            </w:tcBorders>
            <w:shd w:val="clear" w:color="auto" w:fill="auto"/>
            <w:noWrap/>
            <w:vAlign w:val="bottom"/>
            <w:hideMark/>
          </w:tcPr>
          <w:p w14:paraId="1A26B9E7"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5.5%</w:t>
            </w:r>
          </w:p>
        </w:tc>
      </w:tr>
      <w:tr w:rsidR="00625C6C" w:rsidRPr="002B6338" w14:paraId="0CAFEF73" w14:textId="77777777" w:rsidTr="00196F45">
        <w:trPr>
          <w:trHeight w:val="294"/>
        </w:trPr>
        <w:tc>
          <w:tcPr>
            <w:tcW w:w="3851" w:type="dxa"/>
            <w:tcBorders>
              <w:top w:val="nil"/>
              <w:left w:val="nil"/>
              <w:bottom w:val="nil"/>
              <w:right w:val="nil"/>
            </w:tcBorders>
            <w:shd w:val="clear" w:color="auto" w:fill="auto"/>
            <w:noWrap/>
            <w:vAlign w:val="bottom"/>
            <w:hideMark/>
          </w:tcPr>
          <w:p w14:paraId="2731E3A9"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Retail deposits</w:t>
            </w:r>
          </w:p>
        </w:tc>
        <w:tc>
          <w:tcPr>
            <w:tcW w:w="1610" w:type="dxa"/>
            <w:tcBorders>
              <w:top w:val="nil"/>
              <w:left w:val="nil"/>
              <w:bottom w:val="nil"/>
              <w:right w:val="nil"/>
            </w:tcBorders>
            <w:shd w:val="clear" w:color="auto" w:fill="auto"/>
            <w:noWrap/>
            <w:vAlign w:val="bottom"/>
            <w:hideMark/>
          </w:tcPr>
          <w:p w14:paraId="3FF78045"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 xml:space="preserve">    1,079.0</w:t>
            </w:r>
          </w:p>
        </w:tc>
        <w:tc>
          <w:tcPr>
            <w:tcW w:w="1612" w:type="dxa"/>
            <w:tcBorders>
              <w:top w:val="nil"/>
              <w:left w:val="nil"/>
              <w:bottom w:val="nil"/>
              <w:right w:val="nil"/>
            </w:tcBorders>
            <w:shd w:val="clear" w:color="auto" w:fill="auto"/>
            <w:noWrap/>
            <w:vAlign w:val="bottom"/>
            <w:hideMark/>
          </w:tcPr>
          <w:p w14:paraId="1500A18C" w14:textId="72F25B0A"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1,13</w:t>
            </w:r>
            <w:r w:rsidR="00FA579D">
              <w:rPr>
                <w:rFonts w:ascii="Times New Roman" w:eastAsia="Times New Roman" w:hAnsi="Times New Roman"/>
                <w:sz w:val="20"/>
                <w:szCs w:val="20"/>
              </w:rPr>
              <w:t>9</w:t>
            </w:r>
            <w:r w:rsidRPr="00932791">
              <w:rPr>
                <w:rFonts w:ascii="Times New Roman" w:eastAsia="Times New Roman" w:hAnsi="Times New Roman"/>
                <w:sz w:val="20"/>
                <w:szCs w:val="20"/>
              </w:rPr>
              <w:t>.</w:t>
            </w:r>
            <w:r w:rsidR="00FA579D">
              <w:rPr>
                <w:rFonts w:ascii="Times New Roman" w:eastAsia="Times New Roman" w:hAnsi="Times New Roman"/>
                <w:sz w:val="20"/>
                <w:szCs w:val="20"/>
              </w:rPr>
              <w:t>5</w:t>
            </w:r>
          </w:p>
        </w:tc>
        <w:tc>
          <w:tcPr>
            <w:tcW w:w="1612" w:type="dxa"/>
            <w:tcBorders>
              <w:top w:val="nil"/>
              <w:left w:val="nil"/>
              <w:bottom w:val="nil"/>
              <w:right w:val="nil"/>
            </w:tcBorders>
            <w:shd w:val="clear" w:color="auto" w:fill="auto"/>
            <w:noWrap/>
            <w:vAlign w:val="bottom"/>
            <w:hideMark/>
          </w:tcPr>
          <w:p w14:paraId="54424077" w14:textId="569B80F9"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5.</w:t>
            </w:r>
            <w:r w:rsidR="00FA579D">
              <w:rPr>
                <w:rFonts w:ascii="Times New Roman" w:eastAsia="Times New Roman" w:hAnsi="Times New Roman"/>
                <w:sz w:val="20"/>
                <w:szCs w:val="20"/>
              </w:rPr>
              <w:t>8</w:t>
            </w:r>
            <w:r w:rsidRPr="00932791">
              <w:rPr>
                <w:rFonts w:ascii="Times New Roman" w:eastAsia="Times New Roman" w:hAnsi="Times New Roman"/>
                <w:sz w:val="20"/>
                <w:szCs w:val="20"/>
              </w:rPr>
              <w:t>%</w:t>
            </w:r>
          </w:p>
        </w:tc>
      </w:tr>
      <w:tr w:rsidR="00625C6C" w:rsidRPr="002B6338" w14:paraId="4A08CF33" w14:textId="77777777" w:rsidTr="00196F45">
        <w:trPr>
          <w:trHeight w:val="279"/>
        </w:trPr>
        <w:tc>
          <w:tcPr>
            <w:tcW w:w="3851" w:type="dxa"/>
            <w:tcBorders>
              <w:top w:val="nil"/>
              <w:left w:val="nil"/>
              <w:bottom w:val="double" w:sz="6" w:space="0" w:color="auto"/>
              <w:right w:val="nil"/>
            </w:tcBorders>
            <w:shd w:val="clear" w:color="auto" w:fill="auto"/>
            <w:noWrap/>
            <w:vAlign w:val="bottom"/>
            <w:hideMark/>
          </w:tcPr>
          <w:p w14:paraId="5481B690" w14:textId="36B98202"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Corporate </w:t>
            </w:r>
            <w:r w:rsidR="008A2446">
              <w:rPr>
                <w:rFonts w:ascii="Times New Roman" w:eastAsia="Times New Roman" w:hAnsi="Times New Roman"/>
                <w:sz w:val="20"/>
                <w:szCs w:val="20"/>
              </w:rPr>
              <w:t>d</w:t>
            </w:r>
            <w:r w:rsidRPr="00932791">
              <w:rPr>
                <w:rFonts w:ascii="Times New Roman" w:eastAsia="Times New Roman" w:hAnsi="Times New Roman"/>
                <w:sz w:val="20"/>
                <w:szCs w:val="20"/>
              </w:rPr>
              <w:t>eposits</w:t>
            </w:r>
          </w:p>
        </w:tc>
        <w:tc>
          <w:tcPr>
            <w:tcW w:w="1610" w:type="dxa"/>
            <w:tcBorders>
              <w:top w:val="nil"/>
              <w:left w:val="nil"/>
              <w:bottom w:val="double" w:sz="6" w:space="0" w:color="auto"/>
              <w:right w:val="nil"/>
            </w:tcBorders>
            <w:shd w:val="clear" w:color="auto" w:fill="auto"/>
            <w:noWrap/>
            <w:vAlign w:val="bottom"/>
            <w:hideMark/>
          </w:tcPr>
          <w:p w14:paraId="0F459D77"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376.1</w:t>
            </w:r>
          </w:p>
        </w:tc>
        <w:tc>
          <w:tcPr>
            <w:tcW w:w="1612" w:type="dxa"/>
            <w:tcBorders>
              <w:top w:val="nil"/>
              <w:left w:val="nil"/>
              <w:bottom w:val="double" w:sz="6" w:space="0" w:color="auto"/>
              <w:right w:val="nil"/>
            </w:tcBorders>
            <w:shd w:val="clear" w:color="auto" w:fill="auto"/>
            <w:noWrap/>
            <w:vAlign w:val="bottom"/>
            <w:hideMark/>
          </w:tcPr>
          <w:p w14:paraId="7CB687F6" w14:textId="3D38EADE"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39</w:t>
            </w:r>
            <w:r w:rsidR="00FA579D">
              <w:rPr>
                <w:rFonts w:ascii="Times New Roman" w:eastAsia="Times New Roman" w:hAnsi="Times New Roman"/>
                <w:sz w:val="20"/>
                <w:szCs w:val="20"/>
              </w:rPr>
              <w:t>5</w:t>
            </w:r>
            <w:r w:rsidRPr="00932791">
              <w:rPr>
                <w:rFonts w:ascii="Times New Roman" w:eastAsia="Times New Roman" w:hAnsi="Times New Roman"/>
                <w:sz w:val="20"/>
                <w:szCs w:val="20"/>
              </w:rPr>
              <w:t>.</w:t>
            </w:r>
            <w:r w:rsidR="00FA579D">
              <w:rPr>
                <w:rFonts w:ascii="Times New Roman" w:eastAsia="Times New Roman" w:hAnsi="Times New Roman"/>
                <w:sz w:val="20"/>
                <w:szCs w:val="20"/>
              </w:rPr>
              <w:t>5</w:t>
            </w:r>
          </w:p>
        </w:tc>
        <w:tc>
          <w:tcPr>
            <w:tcW w:w="1612" w:type="dxa"/>
            <w:tcBorders>
              <w:top w:val="nil"/>
              <w:left w:val="nil"/>
              <w:bottom w:val="double" w:sz="6" w:space="0" w:color="auto"/>
              <w:right w:val="nil"/>
            </w:tcBorders>
            <w:shd w:val="clear" w:color="auto" w:fill="auto"/>
            <w:noWrap/>
            <w:vAlign w:val="bottom"/>
            <w:hideMark/>
          </w:tcPr>
          <w:p w14:paraId="018AEF3E" w14:textId="4B97140D" w:rsidR="00625C6C" w:rsidRPr="00932791" w:rsidRDefault="00FA579D" w:rsidP="00BB27D7">
            <w:pPr>
              <w:spacing w:after="0"/>
              <w:jc w:val="right"/>
              <w:rPr>
                <w:rFonts w:ascii="Times New Roman" w:eastAsia="Times New Roman" w:hAnsi="Times New Roman"/>
                <w:sz w:val="20"/>
                <w:szCs w:val="20"/>
              </w:rPr>
            </w:pPr>
            <w:r>
              <w:rPr>
                <w:rFonts w:ascii="Times New Roman" w:eastAsia="Times New Roman" w:hAnsi="Times New Roman"/>
                <w:sz w:val="20"/>
                <w:szCs w:val="20"/>
              </w:rPr>
              <w:t>4.7</w:t>
            </w:r>
            <w:r w:rsidR="00625C6C" w:rsidRPr="00932791">
              <w:rPr>
                <w:rFonts w:ascii="Times New Roman" w:eastAsia="Times New Roman" w:hAnsi="Times New Roman"/>
                <w:sz w:val="20"/>
                <w:szCs w:val="20"/>
              </w:rPr>
              <w:t>%</w:t>
            </w:r>
          </w:p>
        </w:tc>
      </w:tr>
      <w:tr w:rsidR="00625C6C" w:rsidRPr="002B6338" w14:paraId="1E071B47" w14:textId="77777777" w:rsidTr="00196F45">
        <w:trPr>
          <w:trHeight w:val="279"/>
        </w:trPr>
        <w:tc>
          <w:tcPr>
            <w:tcW w:w="3851" w:type="dxa"/>
            <w:tcBorders>
              <w:top w:val="nil"/>
              <w:left w:val="nil"/>
              <w:bottom w:val="nil"/>
              <w:right w:val="nil"/>
            </w:tcBorders>
            <w:shd w:val="clear" w:color="auto" w:fill="auto"/>
            <w:noWrap/>
            <w:vAlign w:val="bottom"/>
            <w:hideMark/>
          </w:tcPr>
          <w:p w14:paraId="4F01C1C7" w14:textId="77777777" w:rsidR="00625C6C" w:rsidRPr="00932791" w:rsidRDefault="00625C6C" w:rsidP="00BB27D7">
            <w:pPr>
              <w:spacing w:after="0"/>
              <w:jc w:val="right"/>
              <w:rPr>
                <w:rFonts w:ascii="Times New Roman" w:eastAsia="Times New Roman" w:hAnsi="Times New Roman"/>
                <w:sz w:val="20"/>
                <w:szCs w:val="20"/>
              </w:rPr>
            </w:pPr>
          </w:p>
        </w:tc>
        <w:tc>
          <w:tcPr>
            <w:tcW w:w="1610" w:type="dxa"/>
            <w:tcBorders>
              <w:top w:val="nil"/>
              <w:left w:val="nil"/>
              <w:bottom w:val="nil"/>
              <w:right w:val="nil"/>
            </w:tcBorders>
            <w:shd w:val="clear" w:color="auto" w:fill="auto"/>
            <w:noWrap/>
            <w:vAlign w:val="bottom"/>
            <w:hideMark/>
          </w:tcPr>
          <w:p w14:paraId="1173C3F7" w14:textId="77777777" w:rsidR="00625C6C" w:rsidRPr="00932791" w:rsidRDefault="00625C6C" w:rsidP="00BB27D7">
            <w:pPr>
              <w:spacing w:after="0"/>
              <w:rPr>
                <w:rFonts w:ascii="Times New Roman" w:eastAsia="Times New Roman" w:hAnsi="Times New Roman"/>
                <w:sz w:val="20"/>
                <w:szCs w:val="20"/>
              </w:rPr>
            </w:pPr>
          </w:p>
        </w:tc>
        <w:tc>
          <w:tcPr>
            <w:tcW w:w="1612" w:type="dxa"/>
            <w:tcBorders>
              <w:top w:val="nil"/>
              <w:left w:val="nil"/>
              <w:bottom w:val="nil"/>
              <w:right w:val="nil"/>
            </w:tcBorders>
            <w:shd w:val="clear" w:color="auto" w:fill="auto"/>
            <w:noWrap/>
            <w:vAlign w:val="bottom"/>
            <w:hideMark/>
          </w:tcPr>
          <w:p w14:paraId="213197F3" w14:textId="77777777" w:rsidR="00625C6C" w:rsidRPr="00932791" w:rsidRDefault="00625C6C" w:rsidP="00BB27D7">
            <w:pPr>
              <w:spacing w:after="0"/>
              <w:rPr>
                <w:rFonts w:ascii="Times New Roman" w:eastAsia="Times New Roman" w:hAnsi="Times New Roman"/>
                <w:sz w:val="20"/>
                <w:szCs w:val="20"/>
              </w:rPr>
            </w:pPr>
          </w:p>
        </w:tc>
        <w:tc>
          <w:tcPr>
            <w:tcW w:w="1612" w:type="dxa"/>
            <w:tcBorders>
              <w:top w:val="nil"/>
              <w:left w:val="nil"/>
              <w:bottom w:val="nil"/>
              <w:right w:val="nil"/>
            </w:tcBorders>
            <w:shd w:val="clear" w:color="auto" w:fill="auto"/>
            <w:noWrap/>
            <w:vAlign w:val="bottom"/>
            <w:hideMark/>
          </w:tcPr>
          <w:p w14:paraId="069F081E" w14:textId="77777777" w:rsidR="00625C6C" w:rsidRPr="00932791" w:rsidRDefault="00625C6C" w:rsidP="00BB27D7">
            <w:pPr>
              <w:spacing w:after="0"/>
              <w:rPr>
                <w:rFonts w:ascii="Times New Roman" w:eastAsia="Times New Roman" w:hAnsi="Times New Roman"/>
                <w:sz w:val="20"/>
                <w:szCs w:val="20"/>
              </w:rPr>
            </w:pPr>
          </w:p>
        </w:tc>
      </w:tr>
      <w:tr w:rsidR="00625C6C" w:rsidRPr="002B6338" w14:paraId="135902C3" w14:textId="77777777" w:rsidTr="00196F45">
        <w:trPr>
          <w:trHeight w:val="265"/>
        </w:trPr>
        <w:tc>
          <w:tcPr>
            <w:tcW w:w="3851" w:type="dxa"/>
            <w:tcBorders>
              <w:top w:val="nil"/>
              <w:left w:val="nil"/>
              <w:bottom w:val="nil"/>
              <w:right w:val="nil"/>
            </w:tcBorders>
            <w:shd w:val="clear" w:color="auto" w:fill="auto"/>
            <w:noWrap/>
            <w:vAlign w:val="bottom"/>
            <w:hideMark/>
          </w:tcPr>
          <w:p w14:paraId="11AE2500" w14:textId="77777777" w:rsidR="00625C6C" w:rsidRPr="00932791" w:rsidRDefault="00625C6C"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Financial ratios</w:t>
            </w:r>
          </w:p>
        </w:tc>
        <w:tc>
          <w:tcPr>
            <w:tcW w:w="1610" w:type="dxa"/>
            <w:tcBorders>
              <w:top w:val="nil"/>
              <w:left w:val="nil"/>
              <w:bottom w:val="nil"/>
              <w:right w:val="nil"/>
            </w:tcBorders>
            <w:shd w:val="clear" w:color="auto" w:fill="auto"/>
            <w:vAlign w:val="bottom"/>
            <w:hideMark/>
          </w:tcPr>
          <w:p w14:paraId="60CE18EF"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2021</w:t>
            </w:r>
          </w:p>
        </w:tc>
        <w:tc>
          <w:tcPr>
            <w:tcW w:w="1612" w:type="dxa"/>
            <w:tcBorders>
              <w:top w:val="nil"/>
              <w:left w:val="nil"/>
              <w:bottom w:val="nil"/>
              <w:right w:val="nil"/>
            </w:tcBorders>
            <w:shd w:val="clear" w:color="auto" w:fill="auto"/>
            <w:vAlign w:val="bottom"/>
            <w:hideMark/>
          </w:tcPr>
          <w:p w14:paraId="5D9F81E8"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2022</w:t>
            </w:r>
          </w:p>
        </w:tc>
        <w:tc>
          <w:tcPr>
            <w:tcW w:w="1612" w:type="dxa"/>
            <w:tcBorders>
              <w:top w:val="nil"/>
              <w:left w:val="nil"/>
              <w:bottom w:val="nil"/>
              <w:right w:val="nil"/>
            </w:tcBorders>
            <w:shd w:val="clear" w:color="auto" w:fill="auto"/>
            <w:vAlign w:val="bottom"/>
            <w:hideMark/>
          </w:tcPr>
          <w:p w14:paraId="4B478F80"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change (</w:t>
            </w:r>
            <w:proofErr w:type="spellStart"/>
            <w:r w:rsidRPr="00932791">
              <w:rPr>
                <w:rFonts w:ascii="Times New Roman" w:eastAsia="Times New Roman" w:hAnsi="Times New Roman"/>
                <w:b/>
                <w:bCs/>
                <w:sz w:val="20"/>
                <w:szCs w:val="20"/>
              </w:rPr>
              <w:t>bp</w:t>
            </w:r>
            <w:proofErr w:type="spellEnd"/>
            <w:r w:rsidRPr="00932791">
              <w:rPr>
                <w:rFonts w:ascii="Times New Roman" w:eastAsia="Times New Roman" w:hAnsi="Times New Roman"/>
                <w:b/>
                <w:bCs/>
                <w:sz w:val="20"/>
                <w:szCs w:val="20"/>
              </w:rPr>
              <w:t>)</w:t>
            </w:r>
          </w:p>
        </w:tc>
      </w:tr>
      <w:tr w:rsidR="00625C6C" w:rsidRPr="002B6338" w14:paraId="0AFE684A" w14:textId="77777777" w:rsidTr="00196F45">
        <w:trPr>
          <w:trHeight w:val="487"/>
        </w:trPr>
        <w:tc>
          <w:tcPr>
            <w:tcW w:w="3851" w:type="dxa"/>
            <w:tcBorders>
              <w:top w:val="nil"/>
              <w:left w:val="nil"/>
              <w:bottom w:val="nil"/>
              <w:right w:val="nil"/>
            </w:tcBorders>
            <w:shd w:val="clear" w:color="auto" w:fill="auto"/>
            <w:noWrap/>
            <w:vAlign w:val="bottom"/>
            <w:hideMark/>
          </w:tcPr>
          <w:p w14:paraId="58CB9D79"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Net Interest Margin</w:t>
            </w:r>
          </w:p>
        </w:tc>
        <w:tc>
          <w:tcPr>
            <w:tcW w:w="1610" w:type="dxa"/>
            <w:tcBorders>
              <w:top w:val="nil"/>
              <w:left w:val="nil"/>
              <w:bottom w:val="nil"/>
              <w:right w:val="nil"/>
            </w:tcBorders>
            <w:shd w:val="clear" w:color="auto" w:fill="auto"/>
            <w:noWrap/>
            <w:vAlign w:val="bottom"/>
            <w:hideMark/>
          </w:tcPr>
          <w:p w14:paraId="1665125C"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4.1%</w:t>
            </w:r>
          </w:p>
        </w:tc>
        <w:tc>
          <w:tcPr>
            <w:tcW w:w="1612" w:type="dxa"/>
            <w:tcBorders>
              <w:top w:val="nil"/>
              <w:left w:val="nil"/>
              <w:bottom w:val="nil"/>
              <w:right w:val="nil"/>
            </w:tcBorders>
            <w:shd w:val="clear" w:color="auto" w:fill="auto"/>
            <w:noWrap/>
            <w:vAlign w:val="bottom"/>
            <w:hideMark/>
          </w:tcPr>
          <w:p w14:paraId="3E7E2060"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4.1%</w:t>
            </w:r>
          </w:p>
        </w:tc>
        <w:tc>
          <w:tcPr>
            <w:tcW w:w="1612" w:type="dxa"/>
            <w:tcBorders>
              <w:top w:val="nil"/>
              <w:left w:val="nil"/>
              <w:bottom w:val="nil"/>
              <w:right w:val="nil"/>
            </w:tcBorders>
            <w:shd w:val="clear" w:color="auto" w:fill="auto"/>
            <w:noWrap/>
            <w:vAlign w:val="bottom"/>
            <w:hideMark/>
          </w:tcPr>
          <w:p w14:paraId="07ACCB42"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0.1</w:t>
            </w:r>
          </w:p>
        </w:tc>
      </w:tr>
      <w:tr w:rsidR="00625C6C" w:rsidRPr="002B6338" w14:paraId="58396221" w14:textId="77777777" w:rsidTr="00196F45">
        <w:trPr>
          <w:trHeight w:val="369"/>
        </w:trPr>
        <w:tc>
          <w:tcPr>
            <w:tcW w:w="3851" w:type="dxa"/>
            <w:tcBorders>
              <w:top w:val="nil"/>
              <w:left w:val="nil"/>
              <w:bottom w:val="nil"/>
              <w:right w:val="nil"/>
            </w:tcBorders>
            <w:shd w:val="clear" w:color="auto" w:fill="auto"/>
            <w:noWrap/>
            <w:vAlign w:val="bottom"/>
            <w:hideMark/>
          </w:tcPr>
          <w:p w14:paraId="5CF39308"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Cost income ratio</w:t>
            </w:r>
          </w:p>
        </w:tc>
        <w:tc>
          <w:tcPr>
            <w:tcW w:w="1610" w:type="dxa"/>
            <w:tcBorders>
              <w:top w:val="nil"/>
              <w:left w:val="nil"/>
              <w:bottom w:val="nil"/>
              <w:right w:val="nil"/>
            </w:tcBorders>
            <w:shd w:val="clear" w:color="auto" w:fill="auto"/>
            <w:noWrap/>
            <w:vAlign w:val="bottom"/>
            <w:hideMark/>
          </w:tcPr>
          <w:p w14:paraId="075C83EF"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34.5%</w:t>
            </w:r>
          </w:p>
        </w:tc>
        <w:tc>
          <w:tcPr>
            <w:tcW w:w="1612" w:type="dxa"/>
            <w:tcBorders>
              <w:top w:val="nil"/>
              <w:left w:val="nil"/>
              <w:bottom w:val="nil"/>
              <w:right w:val="nil"/>
            </w:tcBorders>
            <w:shd w:val="clear" w:color="auto" w:fill="auto"/>
            <w:noWrap/>
            <w:vAlign w:val="bottom"/>
            <w:hideMark/>
          </w:tcPr>
          <w:p w14:paraId="033E1C21"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33.8%</w:t>
            </w:r>
          </w:p>
        </w:tc>
        <w:tc>
          <w:tcPr>
            <w:tcW w:w="1612" w:type="dxa"/>
            <w:tcBorders>
              <w:top w:val="nil"/>
              <w:left w:val="nil"/>
              <w:bottom w:val="nil"/>
              <w:right w:val="nil"/>
            </w:tcBorders>
            <w:shd w:val="clear" w:color="auto" w:fill="auto"/>
            <w:noWrap/>
            <w:vAlign w:val="bottom"/>
            <w:hideMark/>
          </w:tcPr>
          <w:p w14:paraId="00C9C93A" w14:textId="6F13AE2A"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-7</w:t>
            </w:r>
            <w:r w:rsidR="007659BD">
              <w:rPr>
                <w:rFonts w:ascii="Times New Roman" w:eastAsia="Times New Roman" w:hAnsi="Times New Roman"/>
                <w:sz w:val="20"/>
                <w:szCs w:val="20"/>
              </w:rPr>
              <w:t>8</w:t>
            </w:r>
            <w:r w:rsidRPr="00932791">
              <w:rPr>
                <w:rFonts w:ascii="Times New Roman" w:eastAsia="Times New Roman" w:hAnsi="Times New Roman"/>
                <w:sz w:val="20"/>
                <w:szCs w:val="20"/>
              </w:rPr>
              <w:t>.</w:t>
            </w:r>
            <w:r w:rsidR="007659BD">
              <w:rPr>
                <w:rFonts w:ascii="Times New Roman" w:eastAsia="Times New Roman" w:hAnsi="Times New Roman"/>
                <w:sz w:val="20"/>
                <w:szCs w:val="20"/>
              </w:rPr>
              <w:t>2</w:t>
            </w:r>
          </w:p>
        </w:tc>
      </w:tr>
      <w:tr w:rsidR="00625C6C" w:rsidRPr="002B6338" w14:paraId="0EDF96A4" w14:textId="77777777" w:rsidTr="00196F45">
        <w:trPr>
          <w:trHeight w:val="279"/>
        </w:trPr>
        <w:tc>
          <w:tcPr>
            <w:tcW w:w="3851" w:type="dxa"/>
            <w:tcBorders>
              <w:top w:val="nil"/>
              <w:left w:val="nil"/>
              <w:bottom w:val="nil"/>
              <w:right w:val="nil"/>
            </w:tcBorders>
            <w:shd w:val="clear" w:color="auto" w:fill="auto"/>
            <w:noWrap/>
            <w:vAlign w:val="bottom"/>
            <w:hideMark/>
          </w:tcPr>
          <w:p w14:paraId="2C767555"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ROA</w:t>
            </w:r>
          </w:p>
        </w:tc>
        <w:tc>
          <w:tcPr>
            <w:tcW w:w="1610" w:type="dxa"/>
            <w:tcBorders>
              <w:top w:val="nil"/>
              <w:left w:val="nil"/>
              <w:bottom w:val="nil"/>
              <w:right w:val="nil"/>
            </w:tcBorders>
            <w:shd w:val="clear" w:color="auto" w:fill="auto"/>
            <w:noWrap/>
            <w:vAlign w:val="bottom"/>
            <w:hideMark/>
          </w:tcPr>
          <w:p w14:paraId="57801372"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2.2%</w:t>
            </w:r>
          </w:p>
        </w:tc>
        <w:tc>
          <w:tcPr>
            <w:tcW w:w="1612" w:type="dxa"/>
            <w:tcBorders>
              <w:top w:val="nil"/>
              <w:left w:val="nil"/>
              <w:bottom w:val="nil"/>
              <w:right w:val="nil"/>
            </w:tcBorders>
            <w:shd w:val="clear" w:color="auto" w:fill="auto"/>
            <w:noWrap/>
            <w:vAlign w:val="bottom"/>
            <w:hideMark/>
          </w:tcPr>
          <w:p w14:paraId="6776E6E3"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2.0%</w:t>
            </w:r>
          </w:p>
        </w:tc>
        <w:tc>
          <w:tcPr>
            <w:tcW w:w="1612" w:type="dxa"/>
            <w:tcBorders>
              <w:top w:val="nil"/>
              <w:left w:val="nil"/>
              <w:bottom w:val="nil"/>
              <w:right w:val="nil"/>
            </w:tcBorders>
            <w:shd w:val="clear" w:color="auto" w:fill="auto"/>
            <w:noWrap/>
            <w:vAlign w:val="bottom"/>
            <w:hideMark/>
          </w:tcPr>
          <w:p w14:paraId="57847093"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-23.5</w:t>
            </w:r>
          </w:p>
        </w:tc>
      </w:tr>
      <w:tr w:rsidR="00625C6C" w:rsidRPr="002B6338" w14:paraId="23E5C4AB" w14:textId="77777777" w:rsidTr="00196F45">
        <w:trPr>
          <w:trHeight w:val="279"/>
        </w:trPr>
        <w:tc>
          <w:tcPr>
            <w:tcW w:w="3851" w:type="dxa"/>
            <w:tcBorders>
              <w:top w:val="nil"/>
              <w:left w:val="nil"/>
              <w:bottom w:val="nil"/>
              <w:right w:val="nil"/>
            </w:tcBorders>
            <w:shd w:val="clear" w:color="auto" w:fill="auto"/>
            <w:noWrap/>
            <w:vAlign w:val="bottom"/>
            <w:hideMark/>
          </w:tcPr>
          <w:p w14:paraId="32A2BFE3"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ROE</w:t>
            </w:r>
          </w:p>
        </w:tc>
        <w:tc>
          <w:tcPr>
            <w:tcW w:w="1610" w:type="dxa"/>
            <w:tcBorders>
              <w:top w:val="nil"/>
              <w:left w:val="nil"/>
              <w:bottom w:val="nil"/>
              <w:right w:val="nil"/>
            </w:tcBorders>
            <w:shd w:val="clear" w:color="auto" w:fill="auto"/>
            <w:noWrap/>
            <w:vAlign w:val="bottom"/>
            <w:hideMark/>
          </w:tcPr>
          <w:p w14:paraId="28A824AF"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13.3%</w:t>
            </w:r>
          </w:p>
        </w:tc>
        <w:tc>
          <w:tcPr>
            <w:tcW w:w="1612" w:type="dxa"/>
            <w:tcBorders>
              <w:top w:val="nil"/>
              <w:left w:val="nil"/>
              <w:bottom w:val="nil"/>
              <w:right w:val="nil"/>
            </w:tcBorders>
            <w:shd w:val="clear" w:color="auto" w:fill="auto"/>
            <w:noWrap/>
            <w:vAlign w:val="bottom"/>
            <w:hideMark/>
          </w:tcPr>
          <w:p w14:paraId="55941069"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11.3%</w:t>
            </w:r>
          </w:p>
        </w:tc>
        <w:tc>
          <w:tcPr>
            <w:tcW w:w="1612" w:type="dxa"/>
            <w:tcBorders>
              <w:top w:val="nil"/>
              <w:left w:val="nil"/>
              <w:bottom w:val="nil"/>
              <w:right w:val="nil"/>
            </w:tcBorders>
            <w:shd w:val="clear" w:color="auto" w:fill="auto"/>
            <w:noWrap/>
            <w:vAlign w:val="bottom"/>
            <w:hideMark/>
          </w:tcPr>
          <w:p w14:paraId="2C4666E2"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-195.5</w:t>
            </w:r>
          </w:p>
        </w:tc>
      </w:tr>
      <w:tr w:rsidR="00625C6C" w:rsidRPr="002B6338" w14:paraId="4274BFB5" w14:textId="77777777" w:rsidTr="00196F45">
        <w:trPr>
          <w:trHeight w:val="279"/>
        </w:trPr>
        <w:tc>
          <w:tcPr>
            <w:tcW w:w="3851" w:type="dxa"/>
            <w:tcBorders>
              <w:top w:val="nil"/>
              <w:left w:val="nil"/>
              <w:bottom w:val="nil"/>
              <w:right w:val="nil"/>
            </w:tcBorders>
            <w:shd w:val="clear" w:color="auto" w:fill="auto"/>
            <w:noWrap/>
            <w:vAlign w:val="bottom"/>
            <w:hideMark/>
          </w:tcPr>
          <w:p w14:paraId="40B6A26C"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Loans to Deposits ratio (gross)</w:t>
            </w:r>
          </w:p>
        </w:tc>
        <w:tc>
          <w:tcPr>
            <w:tcW w:w="1610" w:type="dxa"/>
            <w:tcBorders>
              <w:top w:val="nil"/>
              <w:left w:val="nil"/>
              <w:bottom w:val="nil"/>
              <w:right w:val="nil"/>
            </w:tcBorders>
            <w:shd w:val="clear" w:color="auto" w:fill="auto"/>
            <w:noWrap/>
            <w:vAlign w:val="bottom"/>
            <w:hideMark/>
          </w:tcPr>
          <w:p w14:paraId="3981DBF5"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90.0%</w:t>
            </w:r>
          </w:p>
        </w:tc>
        <w:tc>
          <w:tcPr>
            <w:tcW w:w="1612" w:type="dxa"/>
            <w:tcBorders>
              <w:top w:val="nil"/>
              <w:left w:val="nil"/>
              <w:bottom w:val="nil"/>
              <w:right w:val="nil"/>
            </w:tcBorders>
            <w:shd w:val="clear" w:color="auto" w:fill="auto"/>
            <w:noWrap/>
            <w:vAlign w:val="bottom"/>
            <w:hideMark/>
          </w:tcPr>
          <w:p w14:paraId="45E00DDC"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94.4%</w:t>
            </w:r>
          </w:p>
        </w:tc>
        <w:tc>
          <w:tcPr>
            <w:tcW w:w="1612" w:type="dxa"/>
            <w:tcBorders>
              <w:top w:val="nil"/>
              <w:left w:val="nil"/>
              <w:bottom w:val="nil"/>
              <w:right w:val="nil"/>
            </w:tcBorders>
            <w:shd w:val="clear" w:color="auto" w:fill="auto"/>
            <w:noWrap/>
            <w:vAlign w:val="bottom"/>
            <w:hideMark/>
          </w:tcPr>
          <w:p w14:paraId="3F80922E"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441.7</w:t>
            </w:r>
          </w:p>
        </w:tc>
      </w:tr>
      <w:tr w:rsidR="00625C6C" w:rsidRPr="002B6338" w14:paraId="64745494" w14:textId="77777777" w:rsidTr="00196F45">
        <w:trPr>
          <w:trHeight w:val="279"/>
        </w:trPr>
        <w:tc>
          <w:tcPr>
            <w:tcW w:w="3851" w:type="dxa"/>
            <w:tcBorders>
              <w:top w:val="nil"/>
              <w:left w:val="nil"/>
              <w:bottom w:val="double" w:sz="6" w:space="0" w:color="auto"/>
              <w:right w:val="nil"/>
            </w:tcBorders>
            <w:shd w:val="clear" w:color="auto" w:fill="auto"/>
            <w:noWrap/>
            <w:vAlign w:val="bottom"/>
            <w:hideMark/>
          </w:tcPr>
          <w:p w14:paraId="13EB6A28"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Capital Adequacy ratio</w:t>
            </w:r>
          </w:p>
        </w:tc>
        <w:tc>
          <w:tcPr>
            <w:tcW w:w="1610" w:type="dxa"/>
            <w:tcBorders>
              <w:top w:val="nil"/>
              <w:left w:val="nil"/>
              <w:bottom w:val="double" w:sz="6" w:space="0" w:color="auto"/>
              <w:right w:val="nil"/>
            </w:tcBorders>
            <w:shd w:val="clear" w:color="auto" w:fill="auto"/>
            <w:noWrap/>
            <w:vAlign w:val="bottom"/>
            <w:hideMark/>
          </w:tcPr>
          <w:p w14:paraId="49544D7B"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16.5%</w:t>
            </w:r>
          </w:p>
        </w:tc>
        <w:tc>
          <w:tcPr>
            <w:tcW w:w="1612" w:type="dxa"/>
            <w:tcBorders>
              <w:top w:val="nil"/>
              <w:left w:val="nil"/>
              <w:bottom w:val="double" w:sz="6" w:space="0" w:color="auto"/>
              <w:right w:val="nil"/>
            </w:tcBorders>
            <w:shd w:val="clear" w:color="auto" w:fill="auto"/>
            <w:noWrap/>
            <w:vAlign w:val="bottom"/>
            <w:hideMark/>
          </w:tcPr>
          <w:p w14:paraId="422D566E"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16.6%</w:t>
            </w:r>
          </w:p>
        </w:tc>
        <w:tc>
          <w:tcPr>
            <w:tcW w:w="1612" w:type="dxa"/>
            <w:tcBorders>
              <w:top w:val="nil"/>
              <w:left w:val="nil"/>
              <w:bottom w:val="double" w:sz="6" w:space="0" w:color="auto"/>
              <w:right w:val="nil"/>
            </w:tcBorders>
            <w:shd w:val="clear" w:color="auto" w:fill="auto"/>
            <w:noWrap/>
            <w:vAlign w:val="bottom"/>
            <w:hideMark/>
          </w:tcPr>
          <w:p w14:paraId="60597F45"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14.5</w:t>
            </w:r>
          </w:p>
        </w:tc>
      </w:tr>
      <w:tr w:rsidR="00625C6C" w:rsidRPr="002B6338" w14:paraId="45F45CF2" w14:textId="77777777" w:rsidTr="00196F45">
        <w:trPr>
          <w:trHeight w:val="279"/>
        </w:trPr>
        <w:tc>
          <w:tcPr>
            <w:tcW w:w="3851" w:type="dxa"/>
            <w:tcBorders>
              <w:top w:val="nil"/>
              <w:left w:val="nil"/>
              <w:bottom w:val="nil"/>
              <w:right w:val="nil"/>
            </w:tcBorders>
            <w:shd w:val="clear" w:color="auto" w:fill="auto"/>
            <w:noWrap/>
            <w:vAlign w:val="bottom"/>
            <w:hideMark/>
          </w:tcPr>
          <w:p w14:paraId="5DDD9BCA" w14:textId="77777777" w:rsidR="00625C6C" w:rsidRPr="00932791" w:rsidRDefault="00625C6C" w:rsidP="00BB27D7">
            <w:pPr>
              <w:spacing w:after="0"/>
              <w:jc w:val="right"/>
              <w:rPr>
                <w:rFonts w:ascii="Times New Roman" w:eastAsia="Times New Roman" w:hAnsi="Times New Roman"/>
                <w:sz w:val="20"/>
                <w:szCs w:val="20"/>
              </w:rPr>
            </w:pPr>
          </w:p>
        </w:tc>
        <w:tc>
          <w:tcPr>
            <w:tcW w:w="1610" w:type="dxa"/>
            <w:tcBorders>
              <w:top w:val="nil"/>
              <w:left w:val="nil"/>
              <w:bottom w:val="nil"/>
              <w:right w:val="nil"/>
            </w:tcBorders>
            <w:shd w:val="clear" w:color="auto" w:fill="auto"/>
            <w:noWrap/>
            <w:vAlign w:val="bottom"/>
            <w:hideMark/>
          </w:tcPr>
          <w:p w14:paraId="19AE6F0C" w14:textId="77777777" w:rsidR="00625C6C" w:rsidRPr="00932791" w:rsidRDefault="00625C6C" w:rsidP="00BB27D7">
            <w:pPr>
              <w:spacing w:after="0"/>
              <w:rPr>
                <w:rFonts w:ascii="Times New Roman" w:eastAsia="Times New Roman" w:hAnsi="Times New Roman"/>
                <w:sz w:val="20"/>
                <w:szCs w:val="20"/>
              </w:rPr>
            </w:pPr>
          </w:p>
        </w:tc>
        <w:tc>
          <w:tcPr>
            <w:tcW w:w="1612" w:type="dxa"/>
            <w:tcBorders>
              <w:top w:val="nil"/>
              <w:left w:val="nil"/>
              <w:bottom w:val="nil"/>
              <w:right w:val="nil"/>
            </w:tcBorders>
            <w:shd w:val="clear" w:color="auto" w:fill="auto"/>
            <w:noWrap/>
            <w:vAlign w:val="bottom"/>
            <w:hideMark/>
          </w:tcPr>
          <w:p w14:paraId="53E6F0F5" w14:textId="77777777" w:rsidR="00625C6C" w:rsidRPr="00932791" w:rsidRDefault="00625C6C" w:rsidP="00BB27D7">
            <w:pPr>
              <w:spacing w:after="0"/>
              <w:rPr>
                <w:rFonts w:ascii="Times New Roman" w:eastAsia="Times New Roman" w:hAnsi="Times New Roman"/>
                <w:sz w:val="20"/>
                <w:szCs w:val="20"/>
              </w:rPr>
            </w:pPr>
          </w:p>
        </w:tc>
        <w:tc>
          <w:tcPr>
            <w:tcW w:w="1612" w:type="dxa"/>
            <w:tcBorders>
              <w:top w:val="nil"/>
              <w:left w:val="nil"/>
              <w:bottom w:val="nil"/>
              <w:right w:val="nil"/>
            </w:tcBorders>
            <w:shd w:val="clear" w:color="auto" w:fill="auto"/>
            <w:noWrap/>
            <w:vAlign w:val="bottom"/>
            <w:hideMark/>
          </w:tcPr>
          <w:p w14:paraId="5DB6B96C" w14:textId="77777777" w:rsidR="00625C6C" w:rsidRPr="00932791" w:rsidRDefault="00625C6C" w:rsidP="00BB27D7">
            <w:pPr>
              <w:spacing w:after="0"/>
              <w:rPr>
                <w:rFonts w:ascii="Times New Roman" w:eastAsia="Times New Roman" w:hAnsi="Times New Roman"/>
                <w:sz w:val="20"/>
                <w:szCs w:val="20"/>
              </w:rPr>
            </w:pPr>
          </w:p>
        </w:tc>
      </w:tr>
      <w:tr w:rsidR="00625C6C" w:rsidRPr="002B6338" w14:paraId="068D0E0D" w14:textId="77777777" w:rsidTr="00196F45">
        <w:trPr>
          <w:trHeight w:val="250"/>
        </w:trPr>
        <w:tc>
          <w:tcPr>
            <w:tcW w:w="3851" w:type="dxa"/>
            <w:tcBorders>
              <w:top w:val="nil"/>
              <w:left w:val="nil"/>
              <w:bottom w:val="nil"/>
              <w:right w:val="nil"/>
            </w:tcBorders>
            <w:shd w:val="clear" w:color="auto" w:fill="auto"/>
            <w:noWrap/>
            <w:vAlign w:val="bottom"/>
            <w:hideMark/>
          </w:tcPr>
          <w:p w14:paraId="4A9E7B4B" w14:textId="77777777" w:rsidR="00625C6C" w:rsidRPr="00932791" w:rsidRDefault="00625C6C"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Operational Indicators</w:t>
            </w:r>
          </w:p>
        </w:tc>
        <w:tc>
          <w:tcPr>
            <w:tcW w:w="1610" w:type="dxa"/>
            <w:tcBorders>
              <w:top w:val="nil"/>
              <w:left w:val="nil"/>
              <w:bottom w:val="nil"/>
              <w:right w:val="nil"/>
            </w:tcBorders>
            <w:shd w:val="clear" w:color="auto" w:fill="auto"/>
            <w:vAlign w:val="bottom"/>
            <w:hideMark/>
          </w:tcPr>
          <w:p w14:paraId="3CECBBBF"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2021</w:t>
            </w:r>
          </w:p>
        </w:tc>
        <w:tc>
          <w:tcPr>
            <w:tcW w:w="1612" w:type="dxa"/>
            <w:tcBorders>
              <w:top w:val="nil"/>
              <w:left w:val="nil"/>
              <w:bottom w:val="nil"/>
              <w:right w:val="nil"/>
            </w:tcBorders>
            <w:shd w:val="clear" w:color="auto" w:fill="auto"/>
            <w:vAlign w:val="bottom"/>
            <w:hideMark/>
          </w:tcPr>
          <w:p w14:paraId="60EB5D82"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2022</w:t>
            </w:r>
          </w:p>
        </w:tc>
        <w:tc>
          <w:tcPr>
            <w:tcW w:w="1612" w:type="dxa"/>
            <w:tcBorders>
              <w:top w:val="nil"/>
              <w:left w:val="nil"/>
              <w:bottom w:val="nil"/>
              <w:right w:val="nil"/>
            </w:tcBorders>
            <w:shd w:val="clear" w:color="auto" w:fill="auto"/>
            <w:vAlign w:val="bottom"/>
            <w:hideMark/>
          </w:tcPr>
          <w:p w14:paraId="406F3D3C" w14:textId="77777777" w:rsidR="00625C6C" w:rsidRPr="00932791" w:rsidRDefault="00625C6C" w:rsidP="00BB27D7">
            <w:pPr>
              <w:spacing w:after="0"/>
              <w:jc w:val="right"/>
              <w:rPr>
                <w:rFonts w:ascii="Times New Roman" w:eastAsia="Times New Roman" w:hAnsi="Times New Roman"/>
                <w:b/>
                <w:bCs/>
                <w:sz w:val="20"/>
                <w:szCs w:val="20"/>
              </w:rPr>
            </w:pPr>
            <w:r w:rsidRPr="00932791">
              <w:rPr>
                <w:rFonts w:ascii="Times New Roman" w:eastAsia="Times New Roman" w:hAnsi="Times New Roman"/>
                <w:b/>
                <w:bCs/>
                <w:sz w:val="20"/>
                <w:szCs w:val="20"/>
              </w:rPr>
              <w:t xml:space="preserve">change </w:t>
            </w:r>
          </w:p>
        </w:tc>
      </w:tr>
      <w:tr w:rsidR="00625C6C" w:rsidRPr="002B6338" w14:paraId="6BA80828" w14:textId="77777777" w:rsidTr="00196F45">
        <w:trPr>
          <w:trHeight w:val="294"/>
        </w:trPr>
        <w:tc>
          <w:tcPr>
            <w:tcW w:w="3851" w:type="dxa"/>
            <w:tcBorders>
              <w:top w:val="nil"/>
              <w:left w:val="nil"/>
              <w:bottom w:val="nil"/>
              <w:right w:val="nil"/>
            </w:tcBorders>
            <w:shd w:val="clear" w:color="auto" w:fill="auto"/>
            <w:noWrap/>
            <w:vAlign w:val="bottom"/>
            <w:hideMark/>
          </w:tcPr>
          <w:p w14:paraId="6C60C7BC"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Number of Units</w:t>
            </w:r>
          </w:p>
        </w:tc>
        <w:tc>
          <w:tcPr>
            <w:tcW w:w="1610" w:type="dxa"/>
            <w:tcBorders>
              <w:top w:val="nil"/>
              <w:left w:val="nil"/>
              <w:bottom w:val="nil"/>
              <w:right w:val="nil"/>
            </w:tcBorders>
            <w:shd w:val="clear" w:color="auto" w:fill="auto"/>
            <w:noWrap/>
            <w:vAlign w:val="bottom"/>
            <w:hideMark/>
          </w:tcPr>
          <w:p w14:paraId="57DB6E48"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64</w:t>
            </w:r>
          </w:p>
        </w:tc>
        <w:tc>
          <w:tcPr>
            <w:tcW w:w="1612" w:type="dxa"/>
            <w:tcBorders>
              <w:top w:val="nil"/>
              <w:left w:val="nil"/>
              <w:bottom w:val="nil"/>
              <w:right w:val="nil"/>
            </w:tcBorders>
            <w:shd w:val="clear" w:color="auto" w:fill="auto"/>
            <w:noWrap/>
            <w:vAlign w:val="bottom"/>
            <w:hideMark/>
          </w:tcPr>
          <w:p w14:paraId="1822AB15"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62</w:t>
            </w:r>
          </w:p>
        </w:tc>
        <w:tc>
          <w:tcPr>
            <w:tcW w:w="1612" w:type="dxa"/>
            <w:tcBorders>
              <w:top w:val="nil"/>
              <w:left w:val="nil"/>
              <w:bottom w:val="nil"/>
              <w:right w:val="nil"/>
            </w:tcBorders>
            <w:shd w:val="clear" w:color="auto" w:fill="auto"/>
            <w:noWrap/>
            <w:vAlign w:val="bottom"/>
            <w:hideMark/>
          </w:tcPr>
          <w:p w14:paraId="0509FFD4"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-2</w:t>
            </w:r>
          </w:p>
        </w:tc>
      </w:tr>
      <w:tr w:rsidR="00625C6C" w:rsidRPr="002B6338" w14:paraId="32C282CB" w14:textId="77777777" w:rsidTr="00196F45">
        <w:trPr>
          <w:trHeight w:val="354"/>
        </w:trPr>
        <w:tc>
          <w:tcPr>
            <w:tcW w:w="3851" w:type="dxa"/>
            <w:tcBorders>
              <w:top w:val="nil"/>
              <w:left w:val="nil"/>
              <w:bottom w:val="double" w:sz="6" w:space="0" w:color="auto"/>
              <w:right w:val="nil"/>
            </w:tcBorders>
            <w:shd w:val="clear" w:color="auto" w:fill="auto"/>
            <w:noWrap/>
            <w:vAlign w:val="bottom"/>
            <w:hideMark/>
          </w:tcPr>
          <w:p w14:paraId="284DE3D0" w14:textId="77777777" w:rsidR="00625C6C" w:rsidRPr="00932791" w:rsidRDefault="00625C6C"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Number of Personnel (</w:t>
            </w:r>
            <w:proofErr w:type="spellStart"/>
            <w:r w:rsidRPr="00932791">
              <w:rPr>
                <w:rFonts w:ascii="Times New Roman" w:eastAsia="Times New Roman" w:hAnsi="Times New Roman"/>
                <w:sz w:val="20"/>
                <w:szCs w:val="20"/>
              </w:rPr>
              <w:t>eop</w:t>
            </w:r>
            <w:proofErr w:type="spellEnd"/>
            <w:r w:rsidRPr="00932791">
              <w:rPr>
                <w:rFonts w:ascii="Times New Roman" w:eastAsia="Times New Roman" w:hAnsi="Times New Roman"/>
                <w:sz w:val="20"/>
                <w:szCs w:val="20"/>
              </w:rPr>
              <w:t>)</w:t>
            </w:r>
          </w:p>
        </w:tc>
        <w:tc>
          <w:tcPr>
            <w:tcW w:w="1610" w:type="dxa"/>
            <w:tcBorders>
              <w:top w:val="nil"/>
              <w:left w:val="nil"/>
              <w:bottom w:val="double" w:sz="6" w:space="0" w:color="auto"/>
              <w:right w:val="nil"/>
            </w:tcBorders>
            <w:shd w:val="clear" w:color="auto" w:fill="auto"/>
            <w:noWrap/>
            <w:vAlign w:val="bottom"/>
            <w:hideMark/>
          </w:tcPr>
          <w:p w14:paraId="4F297103"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983</w:t>
            </w:r>
          </w:p>
        </w:tc>
        <w:tc>
          <w:tcPr>
            <w:tcW w:w="1612" w:type="dxa"/>
            <w:tcBorders>
              <w:top w:val="nil"/>
              <w:left w:val="nil"/>
              <w:bottom w:val="double" w:sz="6" w:space="0" w:color="auto"/>
              <w:right w:val="nil"/>
            </w:tcBorders>
            <w:shd w:val="clear" w:color="auto" w:fill="auto"/>
            <w:noWrap/>
            <w:vAlign w:val="bottom"/>
            <w:hideMark/>
          </w:tcPr>
          <w:p w14:paraId="03E160C0"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979</w:t>
            </w:r>
          </w:p>
        </w:tc>
        <w:tc>
          <w:tcPr>
            <w:tcW w:w="1612" w:type="dxa"/>
            <w:tcBorders>
              <w:top w:val="nil"/>
              <w:left w:val="nil"/>
              <w:bottom w:val="double" w:sz="6" w:space="0" w:color="auto"/>
              <w:right w:val="nil"/>
            </w:tcBorders>
            <w:shd w:val="clear" w:color="auto" w:fill="auto"/>
            <w:noWrap/>
            <w:vAlign w:val="bottom"/>
            <w:hideMark/>
          </w:tcPr>
          <w:p w14:paraId="7849655C" w14:textId="77777777" w:rsidR="00625C6C" w:rsidRPr="00932791" w:rsidRDefault="00625C6C" w:rsidP="00BB27D7">
            <w:pPr>
              <w:spacing w:after="0"/>
              <w:jc w:val="right"/>
              <w:rPr>
                <w:rFonts w:ascii="Times New Roman" w:eastAsia="Times New Roman" w:hAnsi="Times New Roman"/>
                <w:sz w:val="20"/>
                <w:szCs w:val="20"/>
              </w:rPr>
            </w:pPr>
            <w:r w:rsidRPr="00932791">
              <w:rPr>
                <w:rFonts w:ascii="Times New Roman" w:eastAsia="Times New Roman" w:hAnsi="Times New Roman"/>
                <w:sz w:val="20"/>
                <w:szCs w:val="20"/>
              </w:rPr>
              <w:t>-4</w:t>
            </w:r>
          </w:p>
        </w:tc>
      </w:tr>
    </w:tbl>
    <w:p w14:paraId="6B206FB3" w14:textId="77777777" w:rsidR="00625C6C" w:rsidRPr="00932791" w:rsidRDefault="00625C6C" w:rsidP="00BB27D7">
      <w:pPr>
        <w:spacing w:before="240"/>
        <w:jc w:val="both"/>
        <w:rPr>
          <w:rFonts w:ascii="Times New Roman" w:hAnsi="Times New Roman"/>
          <w:i/>
          <w:sz w:val="18"/>
        </w:rPr>
      </w:pPr>
      <w:r w:rsidRPr="00932791">
        <w:rPr>
          <w:rFonts w:ascii="Times New Roman" w:hAnsi="Times New Roman"/>
          <w:b/>
          <w:i/>
          <w:sz w:val="18"/>
        </w:rPr>
        <w:t>Note:</w:t>
      </w:r>
      <w:r w:rsidRPr="00932791">
        <w:rPr>
          <w:rFonts w:ascii="Times New Roman" w:hAnsi="Times New Roman"/>
          <w:i/>
          <w:sz w:val="18"/>
        </w:rPr>
        <w:t xml:space="preserve"> All figures in this report referring to Stopanska Banka AD Skopje </w:t>
      </w:r>
      <w:proofErr w:type="gramStart"/>
      <w:r w:rsidRPr="00932791">
        <w:rPr>
          <w:rFonts w:ascii="Times New Roman" w:hAnsi="Times New Roman"/>
          <w:i/>
          <w:sz w:val="18"/>
        </w:rPr>
        <w:t>are based</w:t>
      </w:r>
      <w:proofErr w:type="gramEnd"/>
      <w:r w:rsidRPr="00932791">
        <w:rPr>
          <w:rFonts w:ascii="Times New Roman" w:hAnsi="Times New Roman"/>
          <w:i/>
          <w:sz w:val="18"/>
        </w:rPr>
        <w:t xml:space="preserve"> on the Financial Statements prepared in accordance with accounting regulations applied in the country and the regulation of NBRNM</w:t>
      </w:r>
    </w:p>
    <w:p w14:paraId="280B365E" w14:textId="77777777" w:rsidR="008975D5" w:rsidRPr="00932791" w:rsidRDefault="008975D5" w:rsidP="00BB27D7">
      <w:pPr>
        <w:pStyle w:val="Heading2"/>
        <w:spacing w:before="240" w:line="276" w:lineRule="auto"/>
        <w:jc w:val="both"/>
        <w:rPr>
          <w:b w:val="0"/>
          <w:sz w:val="28"/>
          <w:szCs w:val="28"/>
        </w:rPr>
      </w:pPr>
      <w:bookmarkStart w:id="5" w:name="_Toc133313243"/>
      <w:r w:rsidRPr="00A34733">
        <w:rPr>
          <w:sz w:val="28"/>
          <w:szCs w:val="28"/>
        </w:rPr>
        <w:lastRenderedPageBreak/>
        <w:t>Economic Environment</w:t>
      </w:r>
      <w:bookmarkEnd w:id="5"/>
    </w:p>
    <w:p w14:paraId="51318239" w14:textId="0492EA8F" w:rsidR="008975D5" w:rsidRPr="00461ECE" w:rsidRDefault="00F46996" w:rsidP="00BB27D7">
      <w:pPr>
        <w:spacing w:before="240"/>
        <w:jc w:val="both"/>
        <w:rPr>
          <w:rFonts w:ascii="Times New Roman" w:hAnsi="Times New Roman"/>
          <w:i/>
          <w:sz w:val="24"/>
          <w:szCs w:val="24"/>
        </w:rPr>
      </w:pPr>
      <w:r w:rsidRPr="00F46996">
        <w:rPr>
          <w:rFonts w:ascii="Times New Roman" w:hAnsi="Times New Roman"/>
          <w:i/>
          <w:sz w:val="24"/>
          <w:szCs w:val="24"/>
        </w:rPr>
        <w:t xml:space="preserve">In 2022, the banking system was operating under increased risks due to </w:t>
      </w:r>
      <w:r w:rsidR="006C406E" w:rsidRPr="006C406E">
        <w:rPr>
          <w:rFonts w:ascii="Times New Roman" w:hAnsi="Times New Roman"/>
          <w:i/>
          <w:sz w:val="24"/>
          <w:szCs w:val="24"/>
        </w:rPr>
        <w:t>Russia – Ukraine crisis</w:t>
      </w:r>
      <w:r w:rsidR="006C406E" w:rsidRPr="006C406E" w:rsidDel="006C406E">
        <w:rPr>
          <w:rFonts w:ascii="Times New Roman" w:hAnsi="Times New Roman"/>
          <w:i/>
          <w:sz w:val="24"/>
          <w:szCs w:val="24"/>
        </w:rPr>
        <w:t xml:space="preserve"> </w:t>
      </w:r>
      <w:r w:rsidRPr="00F46996">
        <w:rPr>
          <w:rFonts w:ascii="Times New Roman" w:hAnsi="Times New Roman"/>
          <w:i/>
          <w:sz w:val="24"/>
          <w:szCs w:val="24"/>
        </w:rPr>
        <w:t xml:space="preserve">and inflationary pressures related to the energy crisis. Uncertainty from the prolonged </w:t>
      </w:r>
      <w:r w:rsidR="00A85597">
        <w:rPr>
          <w:rFonts w:ascii="Times New Roman" w:hAnsi="Times New Roman"/>
          <w:i/>
          <w:sz w:val="24"/>
          <w:szCs w:val="24"/>
        </w:rPr>
        <w:t>geopolitical crisis</w:t>
      </w:r>
      <w:r w:rsidRPr="00F46996">
        <w:rPr>
          <w:rFonts w:ascii="Times New Roman" w:hAnsi="Times New Roman"/>
          <w:i/>
          <w:sz w:val="24"/>
          <w:szCs w:val="24"/>
        </w:rPr>
        <w:t xml:space="preserve"> and the growth of inflation, especially in the area of ​​food and energy prices, are causing a slowdown in global economic activity with </w:t>
      </w:r>
      <w:r w:rsidR="00A85597">
        <w:rPr>
          <w:rFonts w:ascii="Times New Roman" w:hAnsi="Times New Roman"/>
          <w:i/>
          <w:sz w:val="24"/>
          <w:szCs w:val="24"/>
        </w:rPr>
        <w:t xml:space="preserve">potential </w:t>
      </w:r>
      <w:r w:rsidRPr="00F46996">
        <w:rPr>
          <w:rFonts w:ascii="Times New Roman" w:hAnsi="Times New Roman"/>
          <w:i/>
          <w:sz w:val="24"/>
          <w:szCs w:val="24"/>
        </w:rPr>
        <w:t xml:space="preserve">negative economic spillovers. </w:t>
      </w:r>
      <w:r w:rsidR="0082033E">
        <w:rPr>
          <w:rFonts w:ascii="Times New Roman" w:hAnsi="Times New Roman"/>
          <w:i/>
          <w:sz w:val="24"/>
          <w:szCs w:val="24"/>
        </w:rPr>
        <w:t xml:space="preserve">All this, has </w:t>
      </w:r>
      <w:r w:rsidRPr="00F46996">
        <w:rPr>
          <w:rFonts w:ascii="Times New Roman" w:hAnsi="Times New Roman"/>
          <w:i/>
          <w:sz w:val="24"/>
          <w:szCs w:val="24"/>
        </w:rPr>
        <w:t>contributed</w:t>
      </w:r>
      <w:r w:rsidR="0082033E">
        <w:rPr>
          <w:rFonts w:ascii="Times New Roman" w:hAnsi="Times New Roman"/>
          <w:i/>
          <w:sz w:val="24"/>
          <w:szCs w:val="24"/>
        </w:rPr>
        <w:t xml:space="preserve"> to an</w:t>
      </w:r>
      <w:r w:rsidRPr="00F46996">
        <w:rPr>
          <w:rFonts w:ascii="Times New Roman" w:hAnsi="Times New Roman"/>
          <w:i/>
          <w:sz w:val="24"/>
          <w:szCs w:val="24"/>
        </w:rPr>
        <w:t xml:space="preserve"> increase of interest rates by </w:t>
      </w:r>
      <w:r w:rsidR="0082033E">
        <w:rPr>
          <w:rFonts w:ascii="Times New Roman" w:hAnsi="Times New Roman"/>
          <w:i/>
          <w:sz w:val="24"/>
          <w:szCs w:val="24"/>
        </w:rPr>
        <w:t xml:space="preserve">the </w:t>
      </w:r>
      <w:r w:rsidRPr="00F46996">
        <w:rPr>
          <w:rFonts w:ascii="Times New Roman" w:hAnsi="Times New Roman"/>
          <w:i/>
          <w:sz w:val="24"/>
          <w:szCs w:val="24"/>
        </w:rPr>
        <w:t xml:space="preserve">banks all over the world. It </w:t>
      </w:r>
      <w:proofErr w:type="gramStart"/>
      <w:r w:rsidRPr="00F46996">
        <w:rPr>
          <w:rFonts w:ascii="Times New Roman" w:hAnsi="Times New Roman"/>
          <w:i/>
          <w:sz w:val="24"/>
          <w:szCs w:val="24"/>
        </w:rPr>
        <w:t>is expected</w:t>
      </w:r>
      <w:proofErr w:type="gramEnd"/>
      <w:r w:rsidRPr="00F46996">
        <w:rPr>
          <w:rFonts w:ascii="Times New Roman" w:hAnsi="Times New Roman"/>
          <w:i/>
          <w:sz w:val="24"/>
          <w:szCs w:val="24"/>
        </w:rPr>
        <w:t xml:space="preserve"> that all these issues will remain relevant in 2023.</w:t>
      </w:r>
    </w:p>
    <w:p w14:paraId="7CB0E04F" w14:textId="2210BC06" w:rsidR="002E27B1" w:rsidRDefault="00F60DA4" w:rsidP="00BB27D7">
      <w:pPr>
        <w:tabs>
          <w:tab w:val="left" w:pos="0"/>
        </w:tabs>
        <w:spacing w:before="240"/>
        <w:jc w:val="both"/>
        <w:rPr>
          <w:rFonts w:ascii="Times New Roman" w:hAnsi="Times New Roman"/>
          <w:noProof/>
          <w:sz w:val="24"/>
          <w:szCs w:val="24"/>
        </w:rPr>
      </w:pPr>
      <w:r>
        <w:rPr>
          <w:noProof/>
        </w:rPr>
        <w:drawing>
          <wp:anchor distT="0" distB="0" distL="114300" distR="114300" simplePos="0" relativeHeight="251940352" behindDoc="1" locked="0" layoutInCell="1" allowOverlap="1" wp14:anchorId="5296B453" wp14:editId="318852CE">
            <wp:simplePos x="0" y="0"/>
            <wp:positionH relativeFrom="margin">
              <wp:align>right</wp:align>
            </wp:positionH>
            <wp:positionV relativeFrom="paragraph">
              <wp:posOffset>35368</wp:posOffset>
            </wp:positionV>
            <wp:extent cx="2121408" cy="1682496"/>
            <wp:effectExtent l="0" t="0" r="0" b="0"/>
            <wp:wrapTight wrapText="bothSides">
              <wp:wrapPolygon edited="0">
                <wp:start x="0" y="0"/>
                <wp:lineTo x="0" y="21282"/>
                <wp:lineTo x="21341" y="21282"/>
                <wp:lineTo x="2134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21408" cy="1682496"/>
                    </a:xfrm>
                    <a:prstGeom prst="rect">
                      <a:avLst/>
                    </a:prstGeom>
                    <a:noFill/>
                  </pic:spPr>
                </pic:pic>
              </a:graphicData>
            </a:graphic>
            <wp14:sizeRelH relativeFrom="margin">
              <wp14:pctWidth>0</wp14:pctWidth>
            </wp14:sizeRelH>
            <wp14:sizeRelV relativeFrom="margin">
              <wp14:pctHeight>0</wp14:pctHeight>
            </wp14:sizeRelV>
          </wp:anchor>
        </w:drawing>
      </w:r>
      <w:r w:rsidR="00F46996" w:rsidRPr="00F46996">
        <w:rPr>
          <w:rFonts w:ascii="Times New Roman" w:hAnsi="Times New Roman"/>
          <w:b/>
          <w:noProof/>
          <w:sz w:val="24"/>
          <w:szCs w:val="24"/>
        </w:rPr>
        <w:t>On average, the domestic economy achieved a real growth of 2.1% on an annual basis</w:t>
      </w:r>
      <w:r w:rsidR="0082033E">
        <w:rPr>
          <w:rFonts w:ascii="Times New Roman" w:hAnsi="Times New Roman"/>
          <w:b/>
          <w:noProof/>
          <w:sz w:val="24"/>
          <w:szCs w:val="24"/>
        </w:rPr>
        <w:t>,</w:t>
      </w:r>
      <w:r w:rsidR="0082033E" w:rsidRPr="0082033E">
        <w:rPr>
          <w:rFonts w:ascii="Times New Roman" w:hAnsi="Times New Roman"/>
          <w:b/>
          <w:noProof/>
          <w:sz w:val="24"/>
          <w:szCs w:val="24"/>
        </w:rPr>
        <w:t xml:space="preserve"> </w:t>
      </w:r>
      <w:r w:rsidR="0082033E" w:rsidRPr="00F46996">
        <w:rPr>
          <w:rFonts w:ascii="Times New Roman" w:hAnsi="Times New Roman"/>
          <w:b/>
          <w:noProof/>
          <w:sz w:val="24"/>
          <w:szCs w:val="24"/>
        </w:rPr>
        <w:t>for the entire year 2022</w:t>
      </w:r>
      <w:r w:rsidR="00F46996" w:rsidRPr="00F46996">
        <w:rPr>
          <w:rFonts w:ascii="Times New Roman" w:hAnsi="Times New Roman"/>
          <w:b/>
          <w:noProof/>
          <w:sz w:val="24"/>
          <w:szCs w:val="24"/>
        </w:rPr>
        <w:t>, which represents a slowdown compared to the growth of 3.9% in the previous year</w:t>
      </w:r>
      <w:r w:rsidR="0082033E">
        <w:rPr>
          <w:rFonts w:ascii="Times New Roman" w:hAnsi="Times New Roman"/>
          <w:b/>
          <w:noProof/>
          <w:sz w:val="24"/>
          <w:szCs w:val="24"/>
        </w:rPr>
        <w:t>,</w:t>
      </w:r>
      <w:r w:rsidR="00F46996" w:rsidRPr="00F46996">
        <w:rPr>
          <w:rFonts w:ascii="Times New Roman" w:hAnsi="Times New Roman"/>
          <w:b/>
          <w:noProof/>
          <w:sz w:val="24"/>
          <w:szCs w:val="24"/>
        </w:rPr>
        <w:t xml:space="preserve"> mainly due to the unfavorable effects of the energy crisis and the growth of costs on certain sectors of the economy. </w:t>
      </w:r>
      <w:r w:rsidR="00F46996" w:rsidRPr="00932791">
        <w:rPr>
          <w:rFonts w:ascii="Times New Roman" w:hAnsi="Times New Roman"/>
          <w:noProof/>
          <w:sz w:val="24"/>
          <w:szCs w:val="24"/>
        </w:rPr>
        <w:t xml:space="preserve">The biggest positive contribution to growth </w:t>
      </w:r>
      <w:r w:rsidR="0082033E">
        <w:rPr>
          <w:rFonts w:ascii="Times New Roman" w:hAnsi="Times New Roman"/>
          <w:noProof/>
          <w:sz w:val="24"/>
          <w:szCs w:val="24"/>
        </w:rPr>
        <w:t>had</w:t>
      </w:r>
      <w:r w:rsidR="00F46996" w:rsidRPr="00932791">
        <w:rPr>
          <w:rFonts w:ascii="Times New Roman" w:hAnsi="Times New Roman"/>
          <w:noProof/>
          <w:sz w:val="24"/>
          <w:szCs w:val="24"/>
        </w:rPr>
        <w:t xml:space="preserve"> </w:t>
      </w:r>
      <w:r w:rsidR="00E30363">
        <w:rPr>
          <w:rFonts w:ascii="Times New Roman" w:hAnsi="Times New Roman"/>
          <w:noProof/>
          <w:sz w:val="24"/>
          <w:szCs w:val="24"/>
        </w:rPr>
        <w:t>trade</w:t>
      </w:r>
      <w:r w:rsidR="00F46996" w:rsidRPr="00932791">
        <w:rPr>
          <w:rFonts w:ascii="Times New Roman" w:hAnsi="Times New Roman"/>
          <w:noProof/>
          <w:sz w:val="24"/>
          <w:szCs w:val="24"/>
        </w:rPr>
        <w:t xml:space="preserve"> activities, while a negative </w:t>
      </w:r>
      <w:r w:rsidR="0001694D">
        <w:rPr>
          <w:rFonts w:ascii="Times New Roman" w:hAnsi="Times New Roman"/>
          <w:noProof/>
          <w:sz w:val="24"/>
          <w:szCs w:val="24"/>
        </w:rPr>
        <w:t>effect</w:t>
      </w:r>
      <w:r w:rsidR="0001694D" w:rsidRPr="00932791">
        <w:rPr>
          <w:rFonts w:ascii="Times New Roman" w:hAnsi="Times New Roman"/>
          <w:noProof/>
          <w:sz w:val="24"/>
          <w:szCs w:val="24"/>
        </w:rPr>
        <w:t xml:space="preserve"> </w:t>
      </w:r>
      <w:r w:rsidR="00F46996" w:rsidRPr="00932791">
        <w:rPr>
          <w:rFonts w:ascii="Times New Roman" w:hAnsi="Times New Roman"/>
          <w:noProof/>
          <w:sz w:val="24"/>
          <w:szCs w:val="24"/>
        </w:rPr>
        <w:t>was recorded by industry and construction. Despite the decrease in real wages</w:t>
      </w:r>
      <w:r w:rsidR="0082033E">
        <w:rPr>
          <w:rFonts w:ascii="Times New Roman" w:hAnsi="Times New Roman"/>
          <w:noProof/>
          <w:sz w:val="24"/>
          <w:szCs w:val="24"/>
        </w:rPr>
        <w:t xml:space="preserve"> and </w:t>
      </w:r>
      <w:r w:rsidR="00F46996" w:rsidRPr="00932791">
        <w:rPr>
          <w:rFonts w:ascii="Times New Roman" w:hAnsi="Times New Roman"/>
          <w:noProof/>
          <w:sz w:val="24"/>
          <w:szCs w:val="24"/>
        </w:rPr>
        <w:t xml:space="preserve">personal consumption, </w:t>
      </w:r>
      <w:r w:rsidR="0082033E">
        <w:rPr>
          <w:rFonts w:ascii="Times New Roman" w:hAnsi="Times New Roman"/>
          <w:noProof/>
          <w:sz w:val="24"/>
          <w:szCs w:val="24"/>
        </w:rPr>
        <w:t xml:space="preserve">at the </w:t>
      </w:r>
      <w:r w:rsidR="00F46996" w:rsidRPr="00932791">
        <w:rPr>
          <w:rFonts w:ascii="Times New Roman" w:hAnsi="Times New Roman"/>
          <w:noProof/>
          <w:sz w:val="24"/>
          <w:szCs w:val="24"/>
        </w:rPr>
        <w:t>end of the year</w:t>
      </w:r>
      <w:r w:rsidR="0082033E">
        <w:rPr>
          <w:rFonts w:ascii="Times New Roman" w:hAnsi="Times New Roman"/>
          <w:noProof/>
          <w:sz w:val="24"/>
          <w:szCs w:val="24"/>
        </w:rPr>
        <w:t xml:space="preserve"> </w:t>
      </w:r>
      <w:r w:rsidR="00822C11">
        <w:rPr>
          <w:rFonts w:ascii="Times New Roman" w:hAnsi="Times New Roman"/>
          <w:noProof/>
          <w:sz w:val="24"/>
          <w:szCs w:val="24"/>
        </w:rPr>
        <w:t xml:space="preserve">the </w:t>
      </w:r>
      <w:r w:rsidR="0082033E">
        <w:rPr>
          <w:rFonts w:ascii="Times New Roman" w:hAnsi="Times New Roman"/>
          <w:noProof/>
          <w:sz w:val="24"/>
          <w:szCs w:val="24"/>
        </w:rPr>
        <w:t>eco</w:t>
      </w:r>
      <w:r w:rsidR="00822C11">
        <w:rPr>
          <w:rFonts w:ascii="Times New Roman" w:hAnsi="Times New Roman"/>
          <w:noProof/>
          <w:sz w:val="24"/>
          <w:szCs w:val="24"/>
        </w:rPr>
        <w:t>n</w:t>
      </w:r>
      <w:r w:rsidR="0082033E">
        <w:rPr>
          <w:rFonts w:ascii="Times New Roman" w:hAnsi="Times New Roman"/>
          <w:noProof/>
          <w:sz w:val="24"/>
          <w:szCs w:val="24"/>
        </w:rPr>
        <w:t xml:space="preserve">omy </w:t>
      </w:r>
      <w:r w:rsidR="00F46996" w:rsidRPr="00932791">
        <w:rPr>
          <w:rFonts w:ascii="Times New Roman" w:hAnsi="Times New Roman"/>
          <w:noProof/>
          <w:sz w:val="24"/>
          <w:szCs w:val="24"/>
        </w:rPr>
        <w:t xml:space="preserve">recorded growth, </w:t>
      </w:r>
      <w:r w:rsidR="0082033E">
        <w:rPr>
          <w:rFonts w:ascii="Times New Roman" w:hAnsi="Times New Roman"/>
          <w:noProof/>
          <w:sz w:val="24"/>
          <w:szCs w:val="24"/>
        </w:rPr>
        <w:t xml:space="preserve">mainly </w:t>
      </w:r>
      <w:r w:rsidR="00F46996" w:rsidRPr="00932791">
        <w:rPr>
          <w:rFonts w:ascii="Times New Roman" w:hAnsi="Times New Roman"/>
          <w:noProof/>
          <w:sz w:val="24"/>
          <w:szCs w:val="24"/>
        </w:rPr>
        <w:t>supported by the increase in private transfers.</w:t>
      </w:r>
      <w:r w:rsidR="00732069">
        <w:rPr>
          <w:rFonts w:ascii="Times New Roman" w:hAnsi="Times New Roman"/>
          <w:noProof/>
          <w:sz w:val="24"/>
          <w:szCs w:val="24"/>
        </w:rPr>
        <w:t xml:space="preserve"> </w:t>
      </w:r>
      <w:r w:rsidR="00A85597" w:rsidRPr="00A85597">
        <w:rPr>
          <w:rFonts w:ascii="Times New Roman" w:hAnsi="Times New Roman"/>
          <w:noProof/>
          <w:sz w:val="24"/>
          <w:szCs w:val="24"/>
        </w:rPr>
        <w:t>However, the current global political instability will continue to impose challenges in 2023</w:t>
      </w:r>
      <w:r w:rsidR="00A85597">
        <w:rPr>
          <w:rFonts w:ascii="Times New Roman" w:hAnsi="Times New Roman"/>
          <w:noProof/>
          <w:sz w:val="24"/>
          <w:szCs w:val="24"/>
        </w:rPr>
        <w:t>.</w:t>
      </w:r>
    </w:p>
    <w:p w14:paraId="735DA8E2" w14:textId="2E7C3EC9" w:rsidR="008975D5" w:rsidRPr="00CB48F2" w:rsidRDefault="008975D5" w:rsidP="00BB27D7">
      <w:pPr>
        <w:tabs>
          <w:tab w:val="left" w:pos="0"/>
        </w:tabs>
        <w:spacing w:before="240"/>
        <w:jc w:val="both"/>
        <w:rPr>
          <w:rFonts w:ascii="Times New Roman" w:hAnsi="Times New Roman"/>
          <w:sz w:val="24"/>
          <w:szCs w:val="24"/>
          <w:lang w:val="mk-MK"/>
        </w:rPr>
      </w:pPr>
    </w:p>
    <w:p w14:paraId="6B24E0AF" w14:textId="2B75B77A" w:rsidR="008975D5" w:rsidRPr="00C709AC" w:rsidRDefault="00E41295" w:rsidP="00BB27D7">
      <w:pPr>
        <w:spacing w:before="240"/>
        <w:jc w:val="both"/>
        <w:rPr>
          <w:rFonts w:ascii="Times New Roman" w:hAnsi="Times New Roman"/>
          <w:sz w:val="24"/>
          <w:szCs w:val="24"/>
          <w:lang w:val="mk-MK"/>
        </w:rPr>
      </w:pPr>
      <w:r>
        <w:rPr>
          <w:b/>
          <w:noProof/>
          <w:sz w:val="28"/>
          <w:szCs w:val="28"/>
        </w:rPr>
        <w:drawing>
          <wp:anchor distT="0" distB="0" distL="114300" distR="114300" simplePos="0" relativeHeight="251934208" behindDoc="1" locked="0" layoutInCell="1" allowOverlap="1" wp14:anchorId="774CC38A" wp14:editId="7D17FF8B">
            <wp:simplePos x="0" y="0"/>
            <wp:positionH relativeFrom="margin">
              <wp:align>right</wp:align>
            </wp:positionH>
            <wp:positionV relativeFrom="paragraph">
              <wp:posOffset>29210</wp:posOffset>
            </wp:positionV>
            <wp:extent cx="2176272" cy="1481328"/>
            <wp:effectExtent l="0" t="0" r="0" b="5080"/>
            <wp:wrapTight wrapText="bothSides">
              <wp:wrapPolygon edited="0">
                <wp:start x="0" y="0"/>
                <wp:lineTo x="0" y="21396"/>
                <wp:lineTo x="21367" y="21396"/>
                <wp:lineTo x="21367"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6272" cy="1481328"/>
                    </a:xfrm>
                    <a:prstGeom prst="rect">
                      <a:avLst/>
                    </a:prstGeom>
                    <a:noFill/>
                  </pic:spPr>
                </pic:pic>
              </a:graphicData>
            </a:graphic>
            <wp14:sizeRelH relativeFrom="margin">
              <wp14:pctWidth>0</wp14:pctWidth>
            </wp14:sizeRelH>
            <wp14:sizeRelV relativeFrom="margin">
              <wp14:pctHeight>0</wp14:pctHeight>
            </wp14:sizeRelV>
          </wp:anchor>
        </w:drawing>
      </w:r>
      <w:r w:rsidR="00C709AC">
        <w:rPr>
          <w:rFonts w:ascii="Times New Roman" w:hAnsi="Times New Roman"/>
          <w:sz w:val="24"/>
          <w:szCs w:val="24"/>
        </w:rPr>
        <w:t xml:space="preserve">The disrupted global supply chains and the mismatch of supply and demand caused by </w:t>
      </w:r>
      <w:r w:rsidR="005C24BD">
        <w:rPr>
          <w:rFonts w:ascii="Times New Roman" w:hAnsi="Times New Roman"/>
          <w:sz w:val="24"/>
          <w:szCs w:val="24"/>
        </w:rPr>
        <w:t>Russia – Ukraine crisis</w:t>
      </w:r>
      <w:r w:rsidR="00C709AC">
        <w:rPr>
          <w:rFonts w:ascii="Times New Roman" w:hAnsi="Times New Roman"/>
          <w:sz w:val="24"/>
          <w:szCs w:val="24"/>
        </w:rPr>
        <w:t xml:space="preserve">, resulted in high inflation worldwide that hasn’t been </w:t>
      </w:r>
      <w:r w:rsidR="0082033E">
        <w:rPr>
          <w:rFonts w:ascii="Times New Roman" w:hAnsi="Times New Roman"/>
          <w:sz w:val="24"/>
          <w:szCs w:val="24"/>
        </w:rPr>
        <w:t xml:space="preserve">evidenced </w:t>
      </w:r>
      <w:r w:rsidR="00C709AC">
        <w:rPr>
          <w:rFonts w:ascii="Times New Roman" w:hAnsi="Times New Roman"/>
          <w:sz w:val="24"/>
          <w:szCs w:val="24"/>
        </w:rPr>
        <w:t>in the last two decades</w:t>
      </w:r>
      <w:r w:rsidR="00FF3C4A">
        <w:rPr>
          <w:rFonts w:ascii="Times New Roman" w:hAnsi="Times New Roman"/>
          <w:sz w:val="24"/>
          <w:szCs w:val="24"/>
        </w:rPr>
        <w:t xml:space="preserve">, </w:t>
      </w:r>
      <w:r w:rsidR="00FF3C4A" w:rsidRPr="00FF3C4A">
        <w:rPr>
          <w:rFonts w:ascii="Times New Roman" w:hAnsi="Times New Roman"/>
          <w:sz w:val="24"/>
          <w:szCs w:val="24"/>
        </w:rPr>
        <w:t>especially in the area of food and energy</w:t>
      </w:r>
      <w:r w:rsidR="00C709AC">
        <w:rPr>
          <w:rFonts w:ascii="Times New Roman" w:hAnsi="Times New Roman"/>
          <w:sz w:val="24"/>
          <w:szCs w:val="24"/>
        </w:rPr>
        <w:t xml:space="preserve">. </w:t>
      </w:r>
      <w:r w:rsidR="00C709AC" w:rsidRPr="00C709AC">
        <w:rPr>
          <w:rFonts w:ascii="Times New Roman" w:hAnsi="Times New Roman"/>
          <w:b/>
          <w:sz w:val="24"/>
          <w:szCs w:val="24"/>
        </w:rPr>
        <w:t>The average CPI in the domestic economy for 202</w:t>
      </w:r>
      <w:r w:rsidR="00FF3C4A">
        <w:rPr>
          <w:rFonts w:ascii="Times New Roman" w:hAnsi="Times New Roman"/>
          <w:b/>
          <w:sz w:val="24"/>
          <w:szCs w:val="24"/>
        </w:rPr>
        <w:t>2</w:t>
      </w:r>
      <w:r w:rsidR="00C709AC" w:rsidRPr="00C709AC">
        <w:rPr>
          <w:rFonts w:ascii="Times New Roman" w:hAnsi="Times New Roman"/>
          <w:b/>
          <w:sz w:val="24"/>
          <w:szCs w:val="24"/>
        </w:rPr>
        <w:t xml:space="preserve"> </w:t>
      </w:r>
      <w:r w:rsidR="00FF3C4A">
        <w:rPr>
          <w:rFonts w:ascii="Times New Roman" w:hAnsi="Times New Roman"/>
          <w:b/>
          <w:sz w:val="24"/>
          <w:szCs w:val="24"/>
        </w:rPr>
        <w:t>was 14.2</w:t>
      </w:r>
      <w:r w:rsidR="00C709AC" w:rsidRPr="00C709AC">
        <w:rPr>
          <w:rFonts w:ascii="Times New Roman" w:hAnsi="Times New Roman"/>
          <w:b/>
          <w:sz w:val="24"/>
          <w:szCs w:val="24"/>
        </w:rPr>
        <w:t xml:space="preserve">%, having in mind that the annual rate was </w:t>
      </w:r>
      <w:r w:rsidR="00FF3C4A">
        <w:rPr>
          <w:rFonts w:ascii="Times New Roman" w:hAnsi="Times New Roman"/>
          <w:b/>
          <w:sz w:val="24"/>
          <w:szCs w:val="24"/>
        </w:rPr>
        <w:t>18.7</w:t>
      </w:r>
      <w:r w:rsidR="00C709AC" w:rsidRPr="00C709AC">
        <w:rPr>
          <w:rFonts w:ascii="Times New Roman" w:hAnsi="Times New Roman"/>
          <w:b/>
          <w:sz w:val="24"/>
          <w:szCs w:val="24"/>
        </w:rPr>
        <w:t>%.</w:t>
      </w:r>
      <w:r w:rsidR="00C709AC">
        <w:rPr>
          <w:rFonts w:ascii="Times New Roman" w:hAnsi="Times New Roman"/>
          <w:sz w:val="24"/>
          <w:szCs w:val="24"/>
        </w:rPr>
        <w:t xml:space="preserve"> </w:t>
      </w:r>
      <w:r w:rsidR="00F46996" w:rsidRPr="00F46996">
        <w:rPr>
          <w:rFonts w:ascii="Times New Roman" w:hAnsi="Times New Roman"/>
          <w:sz w:val="24"/>
          <w:szCs w:val="24"/>
        </w:rPr>
        <w:t xml:space="preserve">There is still high uncertainty </w:t>
      </w:r>
      <w:r w:rsidR="0082033E">
        <w:rPr>
          <w:rFonts w:ascii="Times New Roman" w:hAnsi="Times New Roman"/>
          <w:sz w:val="24"/>
          <w:szCs w:val="24"/>
        </w:rPr>
        <w:t xml:space="preserve">of </w:t>
      </w:r>
      <w:r w:rsidR="00F46996" w:rsidRPr="00F46996">
        <w:rPr>
          <w:rFonts w:ascii="Times New Roman" w:hAnsi="Times New Roman"/>
          <w:sz w:val="24"/>
          <w:szCs w:val="24"/>
        </w:rPr>
        <w:t xml:space="preserve">the movement </w:t>
      </w:r>
      <w:r w:rsidR="0082033E">
        <w:rPr>
          <w:rFonts w:ascii="Times New Roman" w:hAnsi="Times New Roman"/>
          <w:sz w:val="24"/>
          <w:szCs w:val="24"/>
        </w:rPr>
        <w:t>of</w:t>
      </w:r>
      <w:r w:rsidR="00F46996" w:rsidRPr="00F46996">
        <w:rPr>
          <w:rFonts w:ascii="Times New Roman" w:hAnsi="Times New Roman"/>
          <w:sz w:val="24"/>
          <w:szCs w:val="24"/>
        </w:rPr>
        <w:t xml:space="preserve"> prices of primary products in the next period</w:t>
      </w:r>
      <w:r w:rsidR="00C709AC">
        <w:rPr>
          <w:rFonts w:ascii="Times New Roman" w:hAnsi="Times New Roman"/>
          <w:sz w:val="24"/>
          <w:szCs w:val="24"/>
        </w:rPr>
        <w:t xml:space="preserve">. </w:t>
      </w:r>
    </w:p>
    <w:p w14:paraId="00CC79B6" w14:textId="67158D1B" w:rsidR="008975D5" w:rsidRPr="00566713" w:rsidRDefault="00AE6243" w:rsidP="00BB27D7">
      <w:pPr>
        <w:spacing w:before="240"/>
        <w:jc w:val="both"/>
        <w:rPr>
          <w:rFonts w:ascii="Times New Roman" w:hAnsi="Times New Roman"/>
          <w:sz w:val="24"/>
          <w:szCs w:val="24"/>
          <w:lang w:val="mk-MK"/>
        </w:rPr>
      </w:pPr>
      <w:r>
        <w:rPr>
          <w:b/>
          <w:noProof/>
          <w:sz w:val="28"/>
          <w:szCs w:val="28"/>
        </w:rPr>
        <w:drawing>
          <wp:anchor distT="0" distB="0" distL="114300" distR="114300" simplePos="0" relativeHeight="251938304" behindDoc="1" locked="0" layoutInCell="1" allowOverlap="1" wp14:anchorId="0A86FE55" wp14:editId="0929455E">
            <wp:simplePos x="0" y="0"/>
            <wp:positionH relativeFrom="margin">
              <wp:align>right</wp:align>
            </wp:positionH>
            <wp:positionV relativeFrom="paragraph">
              <wp:posOffset>33104</wp:posOffset>
            </wp:positionV>
            <wp:extent cx="2176272" cy="1691640"/>
            <wp:effectExtent l="0" t="0" r="0" b="3810"/>
            <wp:wrapTight wrapText="bothSides">
              <wp:wrapPolygon edited="0">
                <wp:start x="0" y="0"/>
                <wp:lineTo x="0" y="21405"/>
                <wp:lineTo x="21367" y="21405"/>
                <wp:lineTo x="21367"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6272" cy="1691640"/>
                    </a:xfrm>
                    <a:prstGeom prst="rect">
                      <a:avLst/>
                    </a:prstGeom>
                    <a:noFill/>
                  </pic:spPr>
                </pic:pic>
              </a:graphicData>
            </a:graphic>
            <wp14:sizeRelH relativeFrom="margin">
              <wp14:pctWidth>0</wp14:pctWidth>
            </wp14:sizeRelH>
            <wp14:sizeRelV relativeFrom="margin">
              <wp14:pctHeight>0</wp14:pctHeight>
            </wp14:sizeRelV>
          </wp:anchor>
        </w:drawing>
      </w:r>
      <w:r w:rsidR="007E5228" w:rsidRPr="00932791">
        <w:rPr>
          <w:rFonts w:ascii="Times New Roman" w:hAnsi="Times New Roman"/>
          <w:b/>
          <w:bCs/>
          <w:sz w:val="24"/>
          <w:szCs w:val="24"/>
          <w:lang w:val="en-AU"/>
        </w:rPr>
        <w:t xml:space="preserve">In the Budget of RNM, for the entire year 2022, a deficit </w:t>
      </w:r>
      <w:proofErr w:type="gramStart"/>
      <w:r w:rsidR="007E5228" w:rsidRPr="00932791">
        <w:rPr>
          <w:rFonts w:ascii="Times New Roman" w:hAnsi="Times New Roman"/>
          <w:b/>
          <w:bCs/>
          <w:sz w:val="24"/>
          <w:szCs w:val="24"/>
          <w:lang w:val="en-AU"/>
        </w:rPr>
        <w:t>in the amount of</w:t>
      </w:r>
      <w:proofErr w:type="gramEnd"/>
      <w:r w:rsidR="007E5228" w:rsidRPr="00932791">
        <w:rPr>
          <w:rFonts w:ascii="Times New Roman" w:hAnsi="Times New Roman"/>
          <w:b/>
          <w:bCs/>
          <w:sz w:val="24"/>
          <w:szCs w:val="24"/>
          <w:lang w:val="en-AU"/>
        </w:rPr>
        <w:t xml:space="preserve"> EUR 577 million</w:t>
      </w:r>
      <w:r w:rsidR="0082033E" w:rsidRPr="0082033E">
        <w:rPr>
          <w:rFonts w:ascii="Times New Roman" w:hAnsi="Times New Roman"/>
          <w:b/>
          <w:bCs/>
          <w:sz w:val="24"/>
          <w:szCs w:val="24"/>
          <w:lang w:val="en-AU"/>
        </w:rPr>
        <w:t xml:space="preserve"> </w:t>
      </w:r>
      <w:r w:rsidR="0082033E" w:rsidRPr="003C1BD5">
        <w:rPr>
          <w:rFonts w:ascii="Times New Roman" w:hAnsi="Times New Roman"/>
          <w:b/>
          <w:bCs/>
          <w:sz w:val="24"/>
          <w:szCs w:val="24"/>
          <w:lang w:val="en-AU"/>
        </w:rPr>
        <w:t>was realized</w:t>
      </w:r>
      <w:r w:rsidR="00566713" w:rsidRPr="007E5228">
        <w:rPr>
          <w:rFonts w:ascii="Times New Roman" w:hAnsi="Times New Roman"/>
          <w:bCs/>
          <w:sz w:val="24"/>
          <w:szCs w:val="24"/>
        </w:rPr>
        <w:t>.</w:t>
      </w:r>
      <w:r w:rsidR="00566713">
        <w:rPr>
          <w:rFonts w:ascii="Times New Roman" w:hAnsi="Times New Roman"/>
          <w:bCs/>
          <w:sz w:val="24"/>
          <w:szCs w:val="24"/>
        </w:rPr>
        <w:t xml:space="preserve"> Driven by a strong</w:t>
      </w:r>
      <w:r w:rsidR="007E5228">
        <w:rPr>
          <w:rFonts w:ascii="Times New Roman" w:hAnsi="Times New Roman"/>
          <w:bCs/>
          <w:sz w:val="24"/>
          <w:szCs w:val="24"/>
        </w:rPr>
        <w:t>er</w:t>
      </w:r>
      <w:r w:rsidR="00566713">
        <w:rPr>
          <w:rFonts w:ascii="Times New Roman" w:hAnsi="Times New Roman"/>
          <w:bCs/>
          <w:sz w:val="24"/>
          <w:szCs w:val="24"/>
        </w:rPr>
        <w:t xml:space="preserve"> revenue </w:t>
      </w:r>
      <w:r w:rsidR="00085374">
        <w:rPr>
          <w:rFonts w:ascii="Times New Roman" w:hAnsi="Times New Roman"/>
          <w:bCs/>
          <w:sz w:val="24"/>
          <w:szCs w:val="24"/>
        </w:rPr>
        <w:t>performance (</w:t>
      </w:r>
      <w:r w:rsidR="007E5228">
        <w:rPr>
          <w:rFonts w:ascii="Times New Roman" w:hAnsi="Times New Roman"/>
          <w:bCs/>
          <w:sz w:val="24"/>
          <w:szCs w:val="24"/>
        </w:rPr>
        <w:t>11.5</w:t>
      </w:r>
      <w:r w:rsidR="00566713">
        <w:rPr>
          <w:rFonts w:ascii="Times New Roman" w:hAnsi="Times New Roman"/>
          <w:bCs/>
          <w:sz w:val="24"/>
          <w:szCs w:val="24"/>
        </w:rPr>
        <w:t>% increase)</w:t>
      </w:r>
      <w:r w:rsidR="007E5228">
        <w:rPr>
          <w:rFonts w:ascii="Times New Roman" w:hAnsi="Times New Roman"/>
          <w:bCs/>
          <w:sz w:val="24"/>
          <w:szCs w:val="24"/>
        </w:rPr>
        <w:t xml:space="preserve"> compared to</w:t>
      </w:r>
      <w:r w:rsidR="0082033E">
        <w:rPr>
          <w:rFonts w:ascii="Times New Roman" w:hAnsi="Times New Roman"/>
          <w:bCs/>
          <w:sz w:val="24"/>
          <w:szCs w:val="24"/>
        </w:rPr>
        <w:t xml:space="preserve"> </w:t>
      </w:r>
      <w:r w:rsidR="007E5228">
        <w:rPr>
          <w:rFonts w:ascii="Times New Roman" w:hAnsi="Times New Roman"/>
          <w:bCs/>
          <w:sz w:val="24"/>
          <w:szCs w:val="24"/>
        </w:rPr>
        <w:t>expenses (8.4% increase)</w:t>
      </w:r>
      <w:r w:rsidR="00566713">
        <w:rPr>
          <w:rFonts w:ascii="Times New Roman" w:hAnsi="Times New Roman"/>
          <w:bCs/>
          <w:sz w:val="24"/>
          <w:szCs w:val="24"/>
        </w:rPr>
        <w:t>, budget deficit in 202</w:t>
      </w:r>
      <w:r w:rsidR="007E5228">
        <w:rPr>
          <w:rFonts w:ascii="Times New Roman" w:hAnsi="Times New Roman"/>
          <w:bCs/>
          <w:sz w:val="24"/>
          <w:szCs w:val="24"/>
        </w:rPr>
        <w:t>2</w:t>
      </w:r>
      <w:r w:rsidR="00566713">
        <w:rPr>
          <w:rFonts w:ascii="Times New Roman" w:hAnsi="Times New Roman"/>
          <w:bCs/>
          <w:sz w:val="24"/>
          <w:szCs w:val="24"/>
        </w:rPr>
        <w:t xml:space="preserve"> has narrowed to </w:t>
      </w:r>
      <w:r w:rsidR="007E5228">
        <w:rPr>
          <w:rFonts w:ascii="Times New Roman" w:hAnsi="Times New Roman"/>
          <w:bCs/>
          <w:sz w:val="24"/>
          <w:szCs w:val="24"/>
        </w:rPr>
        <w:t>4.5</w:t>
      </w:r>
      <w:r w:rsidR="00566713">
        <w:rPr>
          <w:rFonts w:ascii="Times New Roman" w:hAnsi="Times New Roman"/>
          <w:bCs/>
          <w:sz w:val="24"/>
          <w:szCs w:val="24"/>
        </w:rPr>
        <w:t>% of GDP.</w:t>
      </w:r>
      <w:r w:rsidR="0082033E">
        <w:rPr>
          <w:rFonts w:ascii="Times New Roman" w:hAnsi="Times New Roman"/>
          <w:bCs/>
          <w:sz w:val="24"/>
          <w:szCs w:val="24"/>
          <w:lang w:val="en-AU"/>
        </w:rPr>
        <w:t xml:space="preserve"> B</w:t>
      </w:r>
      <w:r w:rsidR="007E5228" w:rsidRPr="00F46996">
        <w:rPr>
          <w:rFonts w:ascii="Times New Roman" w:hAnsi="Times New Roman"/>
          <w:bCs/>
          <w:sz w:val="24"/>
          <w:szCs w:val="24"/>
          <w:lang w:val="en-AU"/>
        </w:rPr>
        <w:t xml:space="preserve">udget deficit </w:t>
      </w:r>
      <w:proofErr w:type="gramStart"/>
      <w:r w:rsidR="007E5228" w:rsidRPr="00F46996">
        <w:rPr>
          <w:rFonts w:ascii="Times New Roman" w:hAnsi="Times New Roman"/>
          <w:bCs/>
          <w:sz w:val="24"/>
          <w:szCs w:val="24"/>
          <w:lang w:val="en-AU"/>
        </w:rPr>
        <w:t>is fully financed</w:t>
      </w:r>
      <w:proofErr w:type="gramEnd"/>
      <w:r w:rsidR="007E5228" w:rsidRPr="00F46996">
        <w:rPr>
          <w:rFonts w:ascii="Times New Roman" w:hAnsi="Times New Roman"/>
          <w:bCs/>
          <w:sz w:val="24"/>
          <w:szCs w:val="24"/>
          <w:lang w:val="en-AU"/>
        </w:rPr>
        <w:t xml:space="preserve"> through borrowing</w:t>
      </w:r>
      <w:r w:rsidR="00B00CAC">
        <w:rPr>
          <w:rFonts w:ascii="Times New Roman" w:hAnsi="Times New Roman"/>
          <w:bCs/>
          <w:sz w:val="24"/>
          <w:szCs w:val="24"/>
          <w:lang w:val="en-AU"/>
        </w:rPr>
        <w:t>s</w:t>
      </w:r>
      <w:r w:rsidR="007E5228" w:rsidRPr="00F46996">
        <w:rPr>
          <w:rFonts w:ascii="Times New Roman" w:hAnsi="Times New Roman"/>
          <w:bCs/>
          <w:sz w:val="24"/>
          <w:szCs w:val="24"/>
          <w:lang w:val="en-AU"/>
        </w:rPr>
        <w:t xml:space="preserve"> </w:t>
      </w:r>
      <w:r w:rsidR="0082033E">
        <w:rPr>
          <w:rFonts w:ascii="Times New Roman" w:hAnsi="Times New Roman"/>
          <w:bCs/>
          <w:sz w:val="24"/>
          <w:szCs w:val="24"/>
          <w:lang w:val="en-AU"/>
        </w:rPr>
        <w:t xml:space="preserve">by </w:t>
      </w:r>
      <w:r w:rsidR="007E5228" w:rsidRPr="00F46996">
        <w:rPr>
          <w:rFonts w:ascii="Times New Roman" w:hAnsi="Times New Roman"/>
          <w:bCs/>
          <w:sz w:val="24"/>
          <w:szCs w:val="24"/>
          <w:lang w:val="en-AU"/>
        </w:rPr>
        <w:t xml:space="preserve">the state on foreign and domestic markets, as well as </w:t>
      </w:r>
      <w:r w:rsidR="00B00CAC">
        <w:rPr>
          <w:rFonts w:ascii="Times New Roman" w:hAnsi="Times New Roman"/>
          <w:bCs/>
          <w:sz w:val="24"/>
          <w:szCs w:val="24"/>
          <w:lang w:val="en-AU"/>
        </w:rPr>
        <w:t>by</w:t>
      </w:r>
      <w:r w:rsidR="007E5228" w:rsidRPr="00F46996">
        <w:rPr>
          <w:rFonts w:ascii="Times New Roman" w:hAnsi="Times New Roman"/>
          <w:bCs/>
          <w:sz w:val="24"/>
          <w:szCs w:val="24"/>
          <w:lang w:val="en-AU"/>
        </w:rPr>
        <w:t xml:space="preserve"> the state's deposits with the National Bank. </w:t>
      </w:r>
      <w:r w:rsidR="00B00CAC">
        <w:rPr>
          <w:rFonts w:ascii="Times New Roman" w:hAnsi="Times New Roman"/>
          <w:bCs/>
          <w:sz w:val="24"/>
          <w:szCs w:val="24"/>
          <w:lang w:val="en-AU"/>
        </w:rPr>
        <w:t>R</w:t>
      </w:r>
      <w:r w:rsidR="007E5228" w:rsidRPr="00F46996">
        <w:rPr>
          <w:rFonts w:ascii="Times New Roman" w:hAnsi="Times New Roman"/>
          <w:bCs/>
          <w:sz w:val="24"/>
          <w:szCs w:val="24"/>
          <w:lang w:val="en-AU"/>
        </w:rPr>
        <w:t xml:space="preserve">ealized budget deficit for 2022 represents </w:t>
      </w:r>
      <w:r w:rsidR="007E5228" w:rsidRPr="00F46996">
        <w:rPr>
          <w:rFonts w:ascii="Times New Roman" w:hAnsi="Times New Roman"/>
          <w:bCs/>
          <w:sz w:val="24"/>
          <w:szCs w:val="24"/>
          <w:lang w:val="en-AU"/>
        </w:rPr>
        <w:lastRenderedPageBreak/>
        <w:t>83% of the planned budget deficit for 2022.</w:t>
      </w:r>
      <w:r w:rsidR="007E5228">
        <w:rPr>
          <w:rFonts w:ascii="Times New Roman" w:hAnsi="Times New Roman"/>
          <w:bCs/>
          <w:sz w:val="24"/>
          <w:szCs w:val="24"/>
          <w:lang w:val="en-AU"/>
        </w:rPr>
        <w:t xml:space="preserve"> </w:t>
      </w:r>
      <w:r w:rsidR="003B4F91">
        <w:rPr>
          <w:rFonts w:ascii="Times New Roman" w:hAnsi="Times New Roman"/>
          <w:bCs/>
          <w:sz w:val="24"/>
          <w:szCs w:val="24"/>
        </w:rPr>
        <w:t xml:space="preserve">As of </w:t>
      </w:r>
      <w:r w:rsidR="00B00CAC">
        <w:rPr>
          <w:rFonts w:ascii="Times New Roman" w:hAnsi="Times New Roman"/>
          <w:bCs/>
          <w:sz w:val="24"/>
          <w:szCs w:val="24"/>
        </w:rPr>
        <w:t xml:space="preserve">the </w:t>
      </w:r>
      <w:r w:rsidR="003B4F91">
        <w:rPr>
          <w:rFonts w:ascii="Times New Roman" w:hAnsi="Times New Roman"/>
          <w:bCs/>
          <w:sz w:val="24"/>
          <w:szCs w:val="24"/>
        </w:rPr>
        <w:t xml:space="preserve">end of </w:t>
      </w:r>
      <w:proofErr w:type="gramStart"/>
      <w:r w:rsidR="003B4F91">
        <w:rPr>
          <w:rFonts w:ascii="Times New Roman" w:hAnsi="Times New Roman"/>
          <w:bCs/>
          <w:sz w:val="24"/>
          <w:szCs w:val="24"/>
        </w:rPr>
        <w:t>202</w:t>
      </w:r>
      <w:r w:rsidR="007E5228">
        <w:rPr>
          <w:rFonts w:ascii="Times New Roman" w:hAnsi="Times New Roman"/>
          <w:bCs/>
          <w:sz w:val="24"/>
          <w:szCs w:val="24"/>
        </w:rPr>
        <w:t>2</w:t>
      </w:r>
      <w:proofErr w:type="gramEnd"/>
      <w:r w:rsidR="001342D3">
        <w:rPr>
          <w:rFonts w:ascii="Times New Roman" w:hAnsi="Times New Roman"/>
          <w:bCs/>
          <w:sz w:val="24"/>
          <w:szCs w:val="24"/>
        </w:rPr>
        <w:t xml:space="preserve"> the</w:t>
      </w:r>
      <w:r w:rsidR="000E7DC6" w:rsidRPr="00CA4C46">
        <w:rPr>
          <w:rFonts w:ascii="Times New Roman" w:hAnsi="Times New Roman"/>
          <w:bCs/>
          <w:sz w:val="24"/>
          <w:szCs w:val="24"/>
        </w:rPr>
        <w:t xml:space="preserve"> </w:t>
      </w:r>
      <w:r w:rsidR="000E7DC6" w:rsidRPr="00CA4C46">
        <w:rPr>
          <w:rFonts w:ascii="Times New Roman" w:hAnsi="Times New Roman"/>
          <w:b/>
          <w:bCs/>
          <w:sz w:val="24"/>
          <w:szCs w:val="24"/>
        </w:rPr>
        <w:t>public debt</w:t>
      </w:r>
      <w:r w:rsidR="00494372">
        <w:rPr>
          <w:rFonts w:ascii="Times New Roman" w:hAnsi="Times New Roman"/>
          <w:b/>
          <w:bCs/>
          <w:sz w:val="24"/>
          <w:szCs w:val="24"/>
        </w:rPr>
        <w:t xml:space="preserve"> </w:t>
      </w:r>
      <w:r w:rsidR="00566713" w:rsidRPr="00566713">
        <w:rPr>
          <w:rFonts w:ascii="Times New Roman" w:hAnsi="Times New Roman"/>
          <w:bCs/>
          <w:sz w:val="24"/>
          <w:szCs w:val="24"/>
          <w:lang w:val="en-AU"/>
        </w:rPr>
        <w:t xml:space="preserve">amounted to EUR </w:t>
      </w:r>
      <w:r w:rsidR="007E5228">
        <w:rPr>
          <w:rFonts w:ascii="Times New Roman" w:hAnsi="Times New Roman"/>
          <w:bCs/>
          <w:sz w:val="24"/>
          <w:szCs w:val="24"/>
          <w:lang w:val="en-AU"/>
        </w:rPr>
        <w:t>7,702.9</w:t>
      </w:r>
      <w:r w:rsidR="00566713" w:rsidRPr="00566713">
        <w:rPr>
          <w:rFonts w:ascii="Times New Roman" w:hAnsi="Times New Roman"/>
          <w:bCs/>
          <w:sz w:val="24"/>
          <w:szCs w:val="24"/>
          <w:lang w:val="en-AU"/>
        </w:rPr>
        <w:t xml:space="preserve"> million or </w:t>
      </w:r>
      <w:r w:rsidR="007E5228">
        <w:rPr>
          <w:rFonts w:ascii="Times New Roman" w:hAnsi="Times New Roman"/>
          <w:bCs/>
          <w:sz w:val="24"/>
          <w:szCs w:val="24"/>
          <w:lang w:val="en-AU"/>
        </w:rPr>
        <w:t>59.7</w:t>
      </w:r>
      <w:r w:rsidR="00566713" w:rsidRPr="00566713">
        <w:rPr>
          <w:rFonts w:ascii="Times New Roman" w:hAnsi="Times New Roman"/>
          <w:bCs/>
          <w:sz w:val="24"/>
          <w:szCs w:val="24"/>
          <w:lang w:val="en-AU"/>
        </w:rPr>
        <w:t xml:space="preserve">% of GDP. </w:t>
      </w:r>
      <w:r w:rsidR="00566713" w:rsidRPr="00566713">
        <w:rPr>
          <w:rFonts w:ascii="Times New Roman" w:hAnsi="Times New Roman"/>
          <w:bCs/>
          <w:sz w:val="24"/>
          <w:szCs w:val="24"/>
        </w:rPr>
        <w:t>In line with the Public Debt Management Strategy, it remains the endeavor to reduce the public debt well below the Maastricht criterion of 60% until 2026.</w:t>
      </w:r>
      <w:r w:rsidR="00566713">
        <w:rPr>
          <w:rFonts w:ascii="Times New Roman" w:hAnsi="Times New Roman"/>
          <w:bCs/>
          <w:sz w:val="24"/>
          <w:szCs w:val="24"/>
        </w:rPr>
        <w:t xml:space="preserve"> </w:t>
      </w:r>
    </w:p>
    <w:p w14:paraId="3F65F064" w14:textId="65F0CC5D" w:rsidR="008975D5" w:rsidRPr="001F44EF" w:rsidRDefault="007E05C2" w:rsidP="00BB27D7">
      <w:pPr>
        <w:spacing w:before="240"/>
        <w:jc w:val="both"/>
        <w:rPr>
          <w:rFonts w:ascii="Times New Roman" w:hAnsi="Times New Roman"/>
          <w:noProof/>
          <w:sz w:val="24"/>
          <w:szCs w:val="24"/>
        </w:rPr>
      </w:pPr>
      <w:r>
        <w:rPr>
          <w:noProof/>
        </w:rPr>
        <w:drawing>
          <wp:anchor distT="0" distB="0" distL="114300" distR="114300" simplePos="0" relativeHeight="251941376" behindDoc="1" locked="0" layoutInCell="1" allowOverlap="1" wp14:anchorId="3B947DEE" wp14:editId="5E0D3517">
            <wp:simplePos x="0" y="0"/>
            <wp:positionH relativeFrom="margin">
              <wp:align>right</wp:align>
            </wp:positionH>
            <wp:positionV relativeFrom="paragraph">
              <wp:posOffset>30480</wp:posOffset>
            </wp:positionV>
            <wp:extent cx="2176272" cy="1764792"/>
            <wp:effectExtent l="0" t="0" r="0" b="6985"/>
            <wp:wrapTight wrapText="bothSides">
              <wp:wrapPolygon edited="0">
                <wp:start x="0" y="0"/>
                <wp:lineTo x="0" y="21452"/>
                <wp:lineTo x="21367" y="21452"/>
                <wp:lineTo x="21367"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76272" cy="1764792"/>
                    </a:xfrm>
                    <a:prstGeom prst="rect">
                      <a:avLst/>
                    </a:prstGeom>
                    <a:noFill/>
                  </pic:spPr>
                </pic:pic>
              </a:graphicData>
            </a:graphic>
            <wp14:sizeRelH relativeFrom="margin">
              <wp14:pctWidth>0</wp14:pctWidth>
            </wp14:sizeRelH>
            <wp14:sizeRelV relativeFrom="margin">
              <wp14:pctHeight>0</wp14:pctHeight>
            </wp14:sizeRelV>
          </wp:anchor>
        </w:drawing>
      </w:r>
      <w:r w:rsidR="00B00CAC">
        <w:rPr>
          <w:rFonts w:ascii="Times New Roman" w:hAnsi="Times New Roman"/>
          <w:b/>
          <w:noProof/>
          <w:sz w:val="24"/>
          <w:szCs w:val="24"/>
        </w:rPr>
        <w:t>E</w:t>
      </w:r>
      <w:r w:rsidR="000D70FE">
        <w:rPr>
          <w:rFonts w:ascii="Times New Roman" w:hAnsi="Times New Roman"/>
          <w:b/>
          <w:noProof/>
          <w:sz w:val="24"/>
          <w:szCs w:val="24"/>
        </w:rPr>
        <w:t>xternal position in 202</w:t>
      </w:r>
      <w:r w:rsidR="007E5228">
        <w:rPr>
          <w:rFonts w:ascii="Times New Roman" w:hAnsi="Times New Roman"/>
          <w:b/>
          <w:noProof/>
          <w:sz w:val="24"/>
          <w:szCs w:val="24"/>
        </w:rPr>
        <w:t>2</w:t>
      </w:r>
      <w:r w:rsidR="000D70FE">
        <w:rPr>
          <w:rFonts w:ascii="Times New Roman" w:hAnsi="Times New Roman"/>
          <w:b/>
          <w:noProof/>
          <w:sz w:val="24"/>
          <w:szCs w:val="24"/>
        </w:rPr>
        <w:t xml:space="preserve"> </w:t>
      </w:r>
      <w:r w:rsidR="007E5228">
        <w:rPr>
          <w:rFonts w:ascii="Times New Roman" w:hAnsi="Times New Roman"/>
          <w:b/>
          <w:noProof/>
          <w:sz w:val="24"/>
          <w:szCs w:val="24"/>
        </w:rPr>
        <w:t>increased</w:t>
      </w:r>
      <w:r w:rsidR="00B00CAC">
        <w:rPr>
          <w:rFonts w:ascii="Times New Roman" w:hAnsi="Times New Roman"/>
          <w:b/>
          <w:noProof/>
          <w:sz w:val="24"/>
          <w:szCs w:val="24"/>
        </w:rPr>
        <w:t>,</w:t>
      </w:r>
      <w:r w:rsidR="000D70FE">
        <w:rPr>
          <w:rFonts w:ascii="Times New Roman" w:hAnsi="Times New Roman"/>
          <w:b/>
          <w:noProof/>
          <w:sz w:val="24"/>
          <w:szCs w:val="24"/>
        </w:rPr>
        <w:t xml:space="preserve"> resulting with current account deficit of EUR </w:t>
      </w:r>
      <w:r w:rsidR="007E5228">
        <w:rPr>
          <w:rFonts w:ascii="Times New Roman" w:hAnsi="Times New Roman"/>
          <w:b/>
          <w:noProof/>
          <w:sz w:val="24"/>
          <w:szCs w:val="24"/>
        </w:rPr>
        <w:t>772.4</w:t>
      </w:r>
      <w:r w:rsidR="000D70FE">
        <w:rPr>
          <w:rFonts w:ascii="Times New Roman" w:hAnsi="Times New Roman"/>
          <w:b/>
          <w:noProof/>
          <w:sz w:val="24"/>
          <w:szCs w:val="24"/>
        </w:rPr>
        <w:t xml:space="preserve"> million or </w:t>
      </w:r>
      <w:r w:rsidR="007E5228">
        <w:rPr>
          <w:rFonts w:ascii="Times New Roman" w:hAnsi="Times New Roman"/>
          <w:b/>
          <w:noProof/>
          <w:sz w:val="24"/>
          <w:szCs w:val="24"/>
        </w:rPr>
        <w:t>6.0</w:t>
      </w:r>
      <w:r w:rsidR="000D70FE">
        <w:rPr>
          <w:rFonts w:ascii="Times New Roman" w:hAnsi="Times New Roman"/>
          <w:b/>
          <w:noProof/>
          <w:sz w:val="24"/>
          <w:szCs w:val="24"/>
        </w:rPr>
        <w:t>% of GDP.</w:t>
      </w:r>
      <w:r w:rsidR="00B35DF6">
        <w:rPr>
          <w:rFonts w:ascii="Times New Roman" w:hAnsi="Times New Roman"/>
          <w:noProof/>
          <w:sz w:val="24"/>
          <w:szCs w:val="24"/>
        </w:rPr>
        <w:t xml:space="preserve"> </w:t>
      </w:r>
      <w:r w:rsidR="000D70FE">
        <w:rPr>
          <w:rFonts w:ascii="Times New Roman" w:hAnsi="Times New Roman"/>
          <w:noProof/>
          <w:sz w:val="24"/>
          <w:szCs w:val="24"/>
        </w:rPr>
        <w:t xml:space="preserve">Private transfers </w:t>
      </w:r>
      <w:r w:rsidR="00364523">
        <w:rPr>
          <w:rFonts w:ascii="Times New Roman" w:hAnsi="Times New Roman"/>
          <w:noProof/>
          <w:sz w:val="24"/>
          <w:szCs w:val="24"/>
        </w:rPr>
        <w:t>rebounded</w:t>
      </w:r>
      <w:r w:rsidR="00B00CAC">
        <w:rPr>
          <w:rFonts w:ascii="Times New Roman" w:hAnsi="Times New Roman"/>
          <w:noProof/>
          <w:sz w:val="24"/>
          <w:szCs w:val="24"/>
        </w:rPr>
        <w:t>,</w:t>
      </w:r>
      <w:r w:rsidR="000D70FE">
        <w:rPr>
          <w:rFonts w:ascii="Times New Roman" w:hAnsi="Times New Roman"/>
          <w:noProof/>
          <w:sz w:val="24"/>
          <w:szCs w:val="24"/>
        </w:rPr>
        <w:t xml:space="preserve"> </w:t>
      </w:r>
      <w:r w:rsidR="00364523">
        <w:rPr>
          <w:rFonts w:ascii="Times New Roman" w:hAnsi="Times New Roman"/>
          <w:noProof/>
          <w:sz w:val="24"/>
          <w:szCs w:val="24"/>
        </w:rPr>
        <w:t xml:space="preserve">reaching EUR </w:t>
      </w:r>
      <w:r w:rsidR="007E5228">
        <w:rPr>
          <w:rFonts w:ascii="Times New Roman" w:hAnsi="Times New Roman"/>
          <w:noProof/>
          <w:sz w:val="24"/>
          <w:szCs w:val="24"/>
        </w:rPr>
        <w:t>2,444.5</w:t>
      </w:r>
      <w:r w:rsidR="00364523">
        <w:rPr>
          <w:rFonts w:ascii="Times New Roman" w:hAnsi="Times New Roman"/>
          <w:noProof/>
          <w:sz w:val="24"/>
          <w:szCs w:val="24"/>
        </w:rPr>
        <w:t xml:space="preserve"> million, which is </w:t>
      </w:r>
      <w:r w:rsidR="007E5228">
        <w:rPr>
          <w:rFonts w:ascii="Times New Roman" w:hAnsi="Times New Roman"/>
          <w:noProof/>
          <w:sz w:val="24"/>
          <w:szCs w:val="24"/>
        </w:rPr>
        <w:t>29.3</w:t>
      </w:r>
      <w:r w:rsidR="00364523">
        <w:rPr>
          <w:rFonts w:ascii="Times New Roman" w:hAnsi="Times New Roman"/>
          <w:noProof/>
          <w:sz w:val="24"/>
          <w:szCs w:val="24"/>
        </w:rPr>
        <w:t xml:space="preserve">% higher than the previous year, covering </w:t>
      </w:r>
      <w:r w:rsidR="007E5228">
        <w:rPr>
          <w:rFonts w:ascii="Times New Roman" w:hAnsi="Times New Roman"/>
          <w:noProof/>
          <w:sz w:val="24"/>
          <w:szCs w:val="24"/>
        </w:rPr>
        <w:t>90.1</w:t>
      </w:r>
      <w:r w:rsidR="00364523">
        <w:rPr>
          <w:rFonts w:ascii="Times New Roman" w:hAnsi="Times New Roman"/>
          <w:noProof/>
          <w:sz w:val="24"/>
          <w:szCs w:val="24"/>
        </w:rPr>
        <w:t>% of the trade deficit</w:t>
      </w:r>
      <w:r w:rsidR="000D70FE">
        <w:rPr>
          <w:rFonts w:ascii="Times New Roman" w:hAnsi="Times New Roman"/>
          <w:noProof/>
          <w:sz w:val="24"/>
          <w:szCs w:val="24"/>
        </w:rPr>
        <w:t xml:space="preserve">. </w:t>
      </w:r>
      <w:r w:rsidR="001F44EF" w:rsidRPr="001F44EF">
        <w:rPr>
          <w:rFonts w:ascii="Times New Roman" w:hAnsi="Times New Roman"/>
          <w:noProof/>
          <w:sz w:val="24"/>
          <w:szCs w:val="24"/>
        </w:rPr>
        <w:t xml:space="preserve">With regards to the financial account, foreign direct investment </w:t>
      </w:r>
      <w:r w:rsidR="00886955">
        <w:rPr>
          <w:rFonts w:ascii="Times New Roman" w:hAnsi="Times New Roman"/>
          <w:noProof/>
          <w:sz w:val="24"/>
          <w:szCs w:val="24"/>
        </w:rPr>
        <w:t xml:space="preserve">also expanded </w:t>
      </w:r>
      <w:r w:rsidR="007E5228">
        <w:rPr>
          <w:rFonts w:ascii="Times New Roman" w:hAnsi="Times New Roman"/>
          <w:noProof/>
          <w:sz w:val="24"/>
          <w:szCs w:val="24"/>
        </w:rPr>
        <w:t xml:space="preserve">by 60% compared to 2021, </w:t>
      </w:r>
      <w:r w:rsidR="00886955">
        <w:rPr>
          <w:rFonts w:ascii="Times New Roman" w:hAnsi="Times New Roman"/>
          <w:noProof/>
          <w:sz w:val="24"/>
          <w:szCs w:val="24"/>
        </w:rPr>
        <w:t xml:space="preserve">reaching </w:t>
      </w:r>
      <w:r w:rsidR="0050325A">
        <w:rPr>
          <w:rFonts w:ascii="Times New Roman" w:hAnsi="Times New Roman"/>
          <w:noProof/>
          <w:sz w:val="24"/>
          <w:szCs w:val="24"/>
        </w:rPr>
        <w:t xml:space="preserve">EUR </w:t>
      </w:r>
      <w:r w:rsidR="007E5228">
        <w:rPr>
          <w:rFonts w:ascii="Times New Roman" w:hAnsi="Times New Roman"/>
          <w:noProof/>
          <w:sz w:val="24"/>
          <w:szCs w:val="24"/>
        </w:rPr>
        <w:t xml:space="preserve">754 </w:t>
      </w:r>
      <w:r w:rsidR="00B35305">
        <w:rPr>
          <w:rFonts w:ascii="Times New Roman" w:hAnsi="Times New Roman"/>
          <w:noProof/>
          <w:sz w:val="24"/>
          <w:szCs w:val="24"/>
        </w:rPr>
        <w:t>million</w:t>
      </w:r>
      <w:r w:rsidR="001F44EF" w:rsidRPr="001F44EF">
        <w:rPr>
          <w:rFonts w:ascii="Times New Roman" w:hAnsi="Times New Roman"/>
          <w:noProof/>
          <w:sz w:val="24"/>
          <w:szCs w:val="24"/>
        </w:rPr>
        <w:t xml:space="preserve">. </w:t>
      </w:r>
      <w:r w:rsidR="00B35305">
        <w:rPr>
          <w:rFonts w:ascii="Times New Roman" w:hAnsi="Times New Roman"/>
          <w:noProof/>
          <w:sz w:val="24"/>
          <w:szCs w:val="24"/>
        </w:rPr>
        <w:t>T</w:t>
      </w:r>
      <w:r w:rsidR="001F44EF" w:rsidRPr="001F44EF">
        <w:rPr>
          <w:rFonts w:ascii="Times New Roman" w:hAnsi="Times New Roman"/>
          <w:noProof/>
          <w:sz w:val="24"/>
          <w:szCs w:val="24"/>
        </w:rPr>
        <w:t xml:space="preserve">he adequate level of gross foreign reserves </w:t>
      </w:r>
      <w:r w:rsidRPr="001F44EF">
        <w:rPr>
          <w:rFonts w:ascii="Times New Roman" w:hAnsi="Times New Roman"/>
          <w:noProof/>
          <w:sz w:val="24"/>
          <w:szCs w:val="24"/>
        </w:rPr>
        <w:t xml:space="preserve"> </w:t>
      </w:r>
      <w:r w:rsidR="001F44EF" w:rsidRPr="001F44EF">
        <w:rPr>
          <w:rFonts w:ascii="Times New Roman" w:hAnsi="Times New Roman"/>
          <w:noProof/>
          <w:sz w:val="24"/>
          <w:szCs w:val="24"/>
        </w:rPr>
        <w:t>(</w:t>
      </w:r>
      <w:r w:rsidR="00B3365F">
        <w:rPr>
          <w:rFonts w:ascii="Times New Roman" w:hAnsi="Times New Roman"/>
          <w:noProof/>
          <w:sz w:val="24"/>
          <w:szCs w:val="24"/>
        </w:rPr>
        <w:t xml:space="preserve">EUR </w:t>
      </w:r>
      <w:r w:rsidR="007E5228">
        <w:rPr>
          <w:rFonts w:ascii="Times New Roman" w:hAnsi="Times New Roman"/>
          <w:noProof/>
          <w:sz w:val="24"/>
          <w:szCs w:val="24"/>
        </w:rPr>
        <w:t>3,862.9</w:t>
      </w:r>
      <w:r w:rsidR="00B3365F">
        <w:rPr>
          <w:rFonts w:ascii="Times New Roman" w:hAnsi="Times New Roman"/>
          <w:noProof/>
          <w:sz w:val="24"/>
          <w:szCs w:val="24"/>
        </w:rPr>
        <w:t xml:space="preserve"> million or </w:t>
      </w:r>
      <w:r w:rsidR="007E5228">
        <w:rPr>
          <w:rFonts w:ascii="Times New Roman" w:hAnsi="Times New Roman"/>
          <w:noProof/>
          <w:sz w:val="24"/>
          <w:szCs w:val="24"/>
        </w:rPr>
        <w:t>3.7</w:t>
      </w:r>
      <w:r w:rsidR="001F44EF" w:rsidRPr="001F44EF">
        <w:rPr>
          <w:rFonts w:ascii="Times New Roman" w:hAnsi="Times New Roman"/>
          <w:noProof/>
          <w:sz w:val="24"/>
          <w:szCs w:val="24"/>
        </w:rPr>
        <w:t xml:space="preserve">-months import coverage) enabled sufficient buffers against potential unforseen shocks. </w:t>
      </w:r>
    </w:p>
    <w:p w14:paraId="44C40BCA" w14:textId="789124C2" w:rsidR="008975D5" w:rsidRPr="00AE261A" w:rsidRDefault="006B4D9F" w:rsidP="00BB27D7">
      <w:pPr>
        <w:spacing w:before="240"/>
        <w:jc w:val="both"/>
        <w:rPr>
          <w:rFonts w:ascii="Times New Roman" w:hAnsi="Times New Roman"/>
          <w:sz w:val="24"/>
          <w:szCs w:val="24"/>
        </w:rPr>
      </w:pPr>
      <w:r>
        <w:rPr>
          <w:b/>
          <w:noProof/>
          <w:sz w:val="28"/>
          <w:szCs w:val="28"/>
        </w:rPr>
        <w:drawing>
          <wp:anchor distT="0" distB="0" distL="114300" distR="114300" simplePos="0" relativeHeight="251936256" behindDoc="1" locked="0" layoutInCell="1" allowOverlap="1" wp14:anchorId="5A6065A1" wp14:editId="506A770E">
            <wp:simplePos x="0" y="0"/>
            <wp:positionH relativeFrom="margin">
              <wp:align>right</wp:align>
            </wp:positionH>
            <wp:positionV relativeFrom="paragraph">
              <wp:posOffset>67310</wp:posOffset>
            </wp:positionV>
            <wp:extent cx="2139696" cy="1472184"/>
            <wp:effectExtent l="0" t="0" r="0" b="0"/>
            <wp:wrapTight wrapText="bothSides">
              <wp:wrapPolygon edited="0">
                <wp:start x="0" y="0"/>
                <wp:lineTo x="0" y="21246"/>
                <wp:lineTo x="21350" y="21246"/>
                <wp:lineTo x="21350"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9696" cy="1472184"/>
                    </a:xfrm>
                    <a:prstGeom prst="rect">
                      <a:avLst/>
                    </a:prstGeom>
                    <a:noFill/>
                  </pic:spPr>
                </pic:pic>
              </a:graphicData>
            </a:graphic>
            <wp14:sizeRelH relativeFrom="margin">
              <wp14:pctWidth>0</wp14:pctWidth>
            </wp14:sizeRelH>
            <wp14:sizeRelV relativeFrom="margin">
              <wp14:pctHeight>0</wp14:pctHeight>
            </wp14:sizeRelV>
          </wp:anchor>
        </w:drawing>
      </w:r>
      <w:r w:rsidR="00121BA8">
        <w:rPr>
          <w:rFonts w:ascii="Times New Roman" w:hAnsi="Times New Roman"/>
          <w:b/>
          <w:sz w:val="24"/>
          <w:szCs w:val="24"/>
        </w:rPr>
        <w:t>During 2022, the NBRN</w:t>
      </w:r>
      <w:r w:rsidR="00F46996" w:rsidRPr="00F46996">
        <w:rPr>
          <w:rFonts w:ascii="Times New Roman" w:hAnsi="Times New Roman"/>
          <w:b/>
          <w:sz w:val="24"/>
          <w:szCs w:val="24"/>
        </w:rPr>
        <w:t xml:space="preserve">M continued </w:t>
      </w:r>
      <w:r w:rsidR="00B00CAC">
        <w:rPr>
          <w:rFonts w:ascii="Times New Roman" w:hAnsi="Times New Roman"/>
          <w:b/>
          <w:sz w:val="24"/>
          <w:szCs w:val="24"/>
        </w:rPr>
        <w:t xml:space="preserve">with </w:t>
      </w:r>
      <w:r w:rsidR="00F46996" w:rsidRPr="00F46996">
        <w:rPr>
          <w:rFonts w:ascii="Times New Roman" w:hAnsi="Times New Roman"/>
          <w:b/>
          <w:sz w:val="24"/>
          <w:szCs w:val="24"/>
        </w:rPr>
        <w:t>tightening of</w:t>
      </w:r>
      <w:r w:rsidR="00B00CAC">
        <w:rPr>
          <w:rFonts w:ascii="Times New Roman" w:hAnsi="Times New Roman"/>
          <w:b/>
          <w:sz w:val="24"/>
          <w:szCs w:val="24"/>
        </w:rPr>
        <w:t xml:space="preserve"> the</w:t>
      </w:r>
      <w:r w:rsidR="00F46996" w:rsidRPr="00F46996">
        <w:rPr>
          <w:rFonts w:ascii="Times New Roman" w:hAnsi="Times New Roman"/>
          <w:b/>
          <w:sz w:val="24"/>
          <w:szCs w:val="24"/>
        </w:rPr>
        <w:t xml:space="preserve"> monetary policy, which began at the end of 2021, </w:t>
      </w:r>
      <w:r w:rsidR="00B00CAC">
        <w:rPr>
          <w:rFonts w:ascii="Times New Roman" w:hAnsi="Times New Roman"/>
          <w:b/>
          <w:sz w:val="24"/>
          <w:szCs w:val="24"/>
        </w:rPr>
        <w:t xml:space="preserve">including </w:t>
      </w:r>
      <w:r w:rsidR="00F46996" w:rsidRPr="00F46996">
        <w:rPr>
          <w:rFonts w:ascii="Times New Roman" w:hAnsi="Times New Roman"/>
          <w:b/>
          <w:sz w:val="24"/>
          <w:szCs w:val="24"/>
        </w:rPr>
        <w:t xml:space="preserve">active liquidity management through interventions </w:t>
      </w:r>
      <w:r w:rsidR="00B00CAC">
        <w:rPr>
          <w:rFonts w:ascii="Times New Roman" w:hAnsi="Times New Roman"/>
          <w:b/>
          <w:sz w:val="24"/>
          <w:szCs w:val="24"/>
        </w:rPr>
        <w:t>on FX</w:t>
      </w:r>
      <w:r w:rsidR="00F46996" w:rsidRPr="00F46996">
        <w:rPr>
          <w:rFonts w:ascii="Times New Roman" w:hAnsi="Times New Roman"/>
          <w:b/>
          <w:sz w:val="24"/>
          <w:szCs w:val="24"/>
        </w:rPr>
        <w:t xml:space="preserve"> market, as well as through</w:t>
      </w:r>
      <w:r w:rsidR="00B00CAC">
        <w:rPr>
          <w:rFonts w:ascii="Times New Roman" w:hAnsi="Times New Roman"/>
          <w:b/>
          <w:sz w:val="24"/>
          <w:szCs w:val="24"/>
        </w:rPr>
        <w:t xml:space="preserve"> </w:t>
      </w:r>
      <w:r w:rsidR="00F46996" w:rsidRPr="00F46996">
        <w:rPr>
          <w:rFonts w:ascii="Times New Roman" w:hAnsi="Times New Roman"/>
          <w:b/>
          <w:sz w:val="24"/>
          <w:szCs w:val="24"/>
        </w:rPr>
        <w:t>increase</w:t>
      </w:r>
      <w:r w:rsidR="00B00CAC">
        <w:rPr>
          <w:rFonts w:ascii="Times New Roman" w:hAnsi="Times New Roman"/>
          <w:b/>
          <w:sz w:val="24"/>
          <w:szCs w:val="24"/>
        </w:rPr>
        <w:t xml:space="preserve"> of the</w:t>
      </w:r>
      <w:r w:rsidR="00F46996" w:rsidRPr="00F46996">
        <w:rPr>
          <w:rFonts w:ascii="Times New Roman" w:hAnsi="Times New Roman"/>
          <w:b/>
          <w:sz w:val="24"/>
          <w:szCs w:val="24"/>
        </w:rPr>
        <w:t xml:space="preserve"> interest rates.</w:t>
      </w:r>
      <w:r w:rsidR="00F46996">
        <w:rPr>
          <w:rFonts w:ascii="Times New Roman" w:hAnsi="Times New Roman"/>
          <w:b/>
          <w:sz w:val="24"/>
          <w:szCs w:val="24"/>
        </w:rPr>
        <w:t xml:space="preserve"> </w:t>
      </w:r>
      <w:r w:rsidR="003D1829">
        <w:rPr>
          <w:rFonts w:ascii="Times New Roman" w:hAnsi="Times New Roman"/>
          <w:sz w:val="24"/>
          <w:szCs w:val="24"/>
        </w:rPr>
        <w:t xml:space="preserve">Foreign reserves are at a comfortable level and foreign currency liquidity in the banking system remains suitable. </w:t>
      </w:r>
      <w:r w:rsidR="00121BA8">
        <w:rPr>
          <w:rFonts w:ascii="Times New Roman" w:hAnsi="Times New Roman"/>
          <w:sz w:val="24"/>
          <w:szCs w:val="24"/>
        </w:rPr>
        <w:t>After multiple increase,</w:t>
      </w:r>
      <w:r w:rsidR="003D1829">
        <w:rPr>
          <w:rFonts w:ascii="Times New Roman" w:hAnsi="Times New Roman"/>
          <w:sz w:val="24"/>
          <w:szCs w:val="24"/>
        </w:rPr>
        <w:t xml:space="preserve"> </w:t>
      </w:r>
      <w:r w:rsidR="00121BA8">
        <w:rPr>
          <w:rFonts w:ascii="Times New Roman" w:hAnsi="Times New Roman"/>
          <w:sz w:val="24"/>
          <w:szCs w:val="24"/>
        </w:rPr>
        <w:t xml:space="preserve">at the end of 2022, </w:t>
      </w:r>
      <w:r w:rsidR="003D1829">
        <w:rPr>
          <w:rFonts w:ascii="Times New Roman" w:hAnsi="Times New Roman"/>
          <w:sz w:val="24"/>
          <w:szCs w:val="24"/>
        </w:rPr>
        <w:t>the key interest rate o</w:t>
      </w:r>
      <w:r w:rsidR="00B00CAC">
        <w:rPr>
          <w:rFonts w:ascii="Times New Roman" w:hAnsi="Times New Roman"/>
          <w:sz w:val="24"/>
          <w:szCs w:val="24"/>
        </w:rPr>
        <w:t>f</w:t>
      </w:r>
      <w:r w:rsidR="003D1829">
        <w:rPr>
          <w:rFonts w:ascii="Times New Roman" w:hAnsi="Times New Roman"/>
          <w:sz w:val="24"/>
          <w:szCs w:val="24"/>
        </w:rPr>
        <w:t xml:space="preserve"> CB bills </w:t>
      </w:r>
      <w:r w:rsidR="00121BA8">
        <w:rPr>
          <w:rFonts w:ascii="Times New Roman" w:hAnsi="Times New Roman"/>
          <w:sz w:val="24"/>
          <w:szCs w:val="24"/>
        </w:rPr>
        <w:t>reached the level</w:t>
      </w:r>
      <w:r w:rsidR="003D1829">
        <w:rPr>
          <w:rFonts w:ascii="Times New Roman" w:hAnsi="Times New Roman"/>
          <w:sz w:val="24"/>
          <w:szCs w:val="24"/>
        </w:rPr>
        <w:t xml:space="preserve"> of </w:t>
      </w:r>
      <w:r w:rsidR="00121BA8">
        <w:rPr>
          <w:rFonts w:ascii="Times New Roman" w:hAnsi="Times New Roman"/>
          <w:sz w:val="24"/>
          <w:szCs w:val="24"/>
        </w:rPr>
        <w:t>4.75</w:t>
      </w:r>
      <w:r w:rsidR="003D1829">
        <w:rPr>
          <w:rFonts w:ascii="Times New Roman" w:hAnsi="Times New Roman"/>
          <w:sz w:val="24"/>
          <w:szCs w:val="24"/>
        </w:rPr>
        <w:t xml:space="preserve">%. However, given the uncertainty regarding the future path of inflation and the tensions in Ukraine, NBRNM states that it will continue </w:t>
      </w:r>
      <w:proofErr w:type="gramStart"/>
      <w:r w:rsidR="003D1829">
        <w:rPr>
          <w:rFonts w:ascii="Times New Roman" w:hAnsi="Times New Roman"/>
          <w:sz w:val="24"/>
          <w:szCs w:val="24"/>
        </w:rPr>
        <w:t>to closely monitor</w:t>
      </w:r>
      <w:proofErr w:type="gramEnd"/>
      <w:r w:rsidR="003D1829">
        <w:rPr>
          <w:rFonts w:ascii="Times New Roman" w:hAnsi="Times New Roman"/>
          <w:sz w:val="24"/>
          <w:szCs w:val="24"/>
        </w:rPr>
        <w:t xml:space="preserve"> </w:t>
      </w:r>
      <w:r w:rsidR="00121BA8">
        <w:rPr>
          <w:rFonts w:ascii="Times New Roman" w:hAnsi="Times New Roman"/>
          <w:sz w:val="24"/>
          <w:szCs w:val="24"/>
        </w:rPr>
        <w:t xml:space="preserve">the </w:t>
      </w:r>
      <w:r w:rsidR="003D1829">
        <w:rPr>
          <w:rFonts w:ascii="Times New Roman" w:hAnsi="Times New Roman"/>
          <w:sz w:val="24"/>
          <w:szCs w:val="24"/>
        </w:rPr>
        <w:t>developments and potential risks</w:t>
      </w:r>
      <w:r w:rsidR="00DB2A1C">
        <w:rPr>
          <w:rFonts w:ascii="Times New Roman" w:hAnsi="Times New Roman"/>
          <w:sz w:val="24"/>
          <w:szCs w:val="24"/>
        </w:rPr>
        <w:t xml:space="preserve">, emphasizing its readiness to act as needed to support the currency peg. </w:t>
      </w:r>
    </w:p>
    <w:p w14:paraId="4DB8F5A6" w14:textId="1D9DEC90" w:rsidR="009570D1" w:rsidRDefault="00E12408" w:rsidP="00BB27D7">
      <w:pPr>
        <w:spacing w:before="240"/>
        <w:jc w:val="both"/>
        <w:rPr>
          <w:rFonts w:ascii="Times New Roman" w:hAnsi="Times New Roman"/>
          <w:b/>
          <w:sz w:val="28"/>
          <w:szCs w:val="28"/>
        </w:rPr>
      </w:pPr>
      <w:r>
        <w:rPr>
          <w:noProof/>
        </w:rPr>
        <w:drawing>
          <wp:anchor distT="0" distB="0" distL="114300" distR="114300" simplePos="0" relativeHeight="251942400" behindDoc="1" locked="0" layoutInCell="1" allowOverlap="1" wp14:anchorId="1B443540" wp14:editId="5186D6FA">
            <wp:simplePos x="0" y="0"/>
            <wp:positionH relativeFrom="margin">
              <wp:align>right</wp:align>
            </wp:positionH>
            <wp:positionV relativeFrom="paragraph">
              <wp:posOffset>31750</wp:posOffset>
            </wp:positionV>
            <wp:extent cx="2112264" cy="1581912"/>
            <wp:effectExtent l="0" t="0" r="2540" b="0"/>
            <wp:wrapTight wrapText="bothSides">
              <wp:wrapPolygon edited="0">
                <wp:start x="0" y="0"/>
                <wp:lineTo x="0" y="21331"/>
                <wp:lineTo x="21431" y="21331"/>
                <wp:lineTo x="21431"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2264" cy="1581912"/>
                    </a:xfrm>
                    <a:prstGeom prst="rect">
                      <a:avLst/>
                    </a:prstGeom>
                    <a:noFill/>
                  </pic:spPr>
                </pic:pic>
              </a:graphicData>
            </a:graphic>
            <wp14:sizeRelH relativeFrom="margin">
              <wp14:pctWidth>0</wp14:pctWidth>
            </wp14:sizeRelH>
            <wp14:sizeRelV relativeFrom="margin">
              <wp14:pctHeight>0</wp14:pctHeight>
            </wp14:sizeRelV>
          </wp:anchor>
        </w:drawing>
      </w:r>
      <w:r w:rsidR="00F83EED">
        <w:rPr>
          <w:rFonts w:ascii="Times New Roman" w:hAnsi="Times New Roman"/>
          <w:b/>
          <w:sz w:val="24"/>
          <w:szCs w:val="24"/>
        </w:rPr>
        <w:t xml:space="preserve">During the </w:t>
      </w:r>
      <w:r w:rsidR="00121BA8">
        <w:rPr>
          <w:rFonts w:ascii="Times New Roman" w:hAnsi="Times New Roman"/>
          <w:b/>
          <w:sz w:val="24"/>
          <w:szCs w:val="24"/>
        </w:rPr>
        <w:t xml:space="preserve">Russian-Ukrainian </w:t>
      </w:r>
      <w:proofErr w:type="gramStart"/>
      <w:r w:rsidR="00F83EED">
        <w:rPr>
          <w:rFonts w:ascii="Times New Roman" w:hAnsi="Times New Roman"/>
          <w:b/>
          <w:sz w:val="24"/>
          <w:szCs w:val="24"/>
        </w:rPr>
        <w:t>crisis</w:t>
      </w:r>
      <w:proofErr w:type="gramEnd"/>
      <w:r w:rsidR="005B0154">
        <w:rPr>
          <w:rFonts w:ascii="Times New Roman" w:hAnsi="Times New Roman"/>
          <w:b/>
          <w:sz w:val="24"/>
          <w:szCs w:val="24"/>
        </w:rPr>
        <w:t xml:space="preserve"> t</w:t>
      </w:r>
      <w:r w:rsidR="001253DC" w:rsidRPr="001253DC">
        <w:rPr>
          <w:rFonts w:ascii="Times New Roman" w:hAnsi="Times New Roman"/>
          <w:b/>
          <w:sz w:val="24"/>
          <w:szCs w:val="24"/>
        </w:rPr>
        <w:t xml:space="preserve">he banking system </w:t>
      </w:r>
      <w:r w:rsidR="005B0154">
        <w:rPr>
          <w:rFonts w:ascii="Times New Roman" w:hAnsi="Times New Roman"/>
          <w:b/>
          <w:sz w:val="24"/>
          <w:szCs w:val="24"/>
        </w:rPr>
        <w:t>succeeded to remain</w:t>
      </w:r>
      <w:r w:rsidR="001253DC" w:rsidRPr="001253DC">
        <w:rPr>
          <w:rFonts w:ascii="Times New Roman" w:hAnsi="Times New Roman"/>
          <w:b/>
          <w:sz w:val="24"/>
          <w:szCs w:val="24"/>
        </w:rPr>
        <w:t xml:space="preserve"> well capitalized</w:t>
      </w:r>
      <w:r w:rsidR="00494372">
        <w:rPr>
          <w:rFonts w:ascii="Times New Roman" w:hAnsi="Times New Roman"/>
          <w:b/>
          <w:sz w:val="24"/>
          <w:szCs w:val="24"/>
        </w:rPr>
        <w:t>, liquid</w:t>
      </w:r>
      <w:r w:rsidR="001253DC" w:rsidRPr="001253DC">
        <w:rPr>
          <w:rFonts w:ascii="Times New Roman" w:hAnsi="Times New Roman"/>
          <w:b/>
          <w:sz w:val="24"/>
          <w:szCs w:val="24"/>
        </w:rPr>
        <w:t xml:space="preserve"> and profitable</w:t>
      </w:r>
      <w:r w:rsidR="006E758C">
        <w:rPr>
          <w:rFonts w:ascii="Times New Roman" w:hAnsi="Times New Roman"/>
          <w:b/>
          <w:sz w:val="24"/>
          <w:szCs w:val="24"/>
        </w:rPr>
        <w:t>.</w:t>
      </w:r>
      <w:r w:rsidR="00494372">
        <w:rPr>
          <w:rFonts w:ascii="Times New Roman" w:hAnsi="Times New Roman"/>
          <w:b/>
          <w:sz w:val="24"/>
          <w:szCs w:val="24"/>
        </w:rPr>
        <w:t xml:space="preserve"> </w:t>
      </w:r>
      <w:r w:rsidR="00F83EED">
        <w:rPr>
          <w:rFonts w:ascii="Times New Roman" w:hAnsi="Times New Roman"/>
          <w:sz w:val="24"/>
          <w:szCs w:val="24"/>
        </w:rPr>
        <w:t xml:space="preserve">It showed an ability to support the economy in complex conditions and further meet the requirements of its clients. </w:t>
      </w:r>
      <w:r w:rsidR="00F22EBD">
        <w:rPr>
          <w:rFonts w:ascii="Times New Roman" w:hAnsi="Times New Roman"/>
          <w:sz w:val="24"/>
          <w:szCs w:val="24"/>
        </w:rPr>
        <w:t xml:space="preserve">At the end of </w:t>
      </w:r>
      <w:r w:rsidR="00214838">
        <w:rPr>
          <w:rFonts w:ascii="Times New Roman" w:hAnsi="Times New Roman"/>
          <w:sz w:val="24"/>
          <w:szCs w:val="24"/>
        </w:rPr>
        <w:t>202</w:t>
      </w:r>
      <w:r w:rsidR="00121BA8">
        <w:rPr>
          <w:rFonts w:ascii="Times New Roman" w:hAnsi="Times New Roman"/>
          <w:sz w:val="24"/>
          <w:szCs w:val="24"/>
        </w:rPr>
        <w:t>2</w:t>
      </w:r>
      <w:r w:rsidR="00F22EBD">
        <w:rPr>
          <w:rFonts w:ascii="Times New Roman" w:hAnsi="Times New Roman"/>
          <w:sz w:val="24"/>
          <w:szCs w:val="24"/>
        </w:rPr>
        <w:t xml:space="preserve">, total deposit growth reached </w:t>
      </w:r>
      <w:r w:rsidR="00121BA8">
        <w:rPr>
          <w:rFonts w:ascii="Times New Roman" w:hAnsi="Times New Roman"/>
          <w:sz w:val="24"/>
          <w:szCs w:val="24"/>
        </w:rPr>
        <w:t>4.9</w:t>
      </w:r>
      <w:r w:rsidR="005B0154">
        <w:rPr>
          <w:rFonts w:ascii="Times New Roman" w:hAnsi="Times New Roman"/>
          <w:sz w:val="24"/>
          <w:szCs w:val="24"/>
        </w:rPr>
        <w:t>% on annual level</w:t>
      </w:r>
      <w:r w:rsidR="00F22EBD">
        <w:rPr>
          <w:rFonts w:ascii="Times New Roman" w:hAnsi="Times New Roman"/>
          <w:sz w:val="24"/>
          <w:szCs w:val="24"/>
        </w:rPr>
        <w:t xml:space="preserve">. Herein, </w:t>
      </w:r>
      <w:r w:rsidR="006740E2">
        <w:rPr>
          <w:rFonts w:ascii="Times New Roman" w:hAnsi="Times New Roman"/>
          <w:sz w:val="24"/>
          <w:szCs w:val="24"/>
        </w:rPr>
        <w:t xml:space="preserve">corporate deposits recorded growth of </w:t>
      </w:r>
      <w:r w:rsidR="00AB65B4">
        <w:rPr>
          <w:rFonts w:ascii="Times New Roman" w:hAnsi="Times New Roman"/>
          <w:sz w:val="24"/>
          <w:szCs w:val="24"/>
        </w:rPr>
        <w:t>3.7</w:t>
      </w:r>
      <w:r w:rsidR="006740E2">
        <w:rPr>
          <w:rFonts w:ascii="Times New Roman" w:hAnsi="Times New Roman"/>
          <w:sz w:val="24"/>
          <w:szCs w:val="24"/>
        </w:rPr>
        <w:t xml:space="preserve">%, while retail deposits increased by </w:t>
      </w:r>
      <w:r w:rsidR="00AB65B4">
        <w:rPr>
          <w:rFonts w:ascii="Times New Roman" w:hAnsi="Times New Roman"/>
          <w:sz w:val="24"/>
          <w:szCs w:val="24"/>
        </w:rPr>
        <w:t>5.8</w:t>
      </w:r>
      <w:r w:rsidR="006740E2">
        <w:rPr>
          <w:rFonts w:ascii="Times New Roman" w:hAnsi="Times New Roman"/>
          <w:sz w:val="24"/>
          <w:szCs w:val="24"/>
        </w:rPr>
        <w:t>%</w:t>
      </w:r>
      <w:r w:rsidR="00F22EBD">
        <w:rPr>
          <w:rFonts w:ascii="Times New Roman" w:hAnsi="Times New Roman"/>
          <w:sz w:val="24"/>
          <w:szCs w:val="24"/>
        </w:rPr>
        <w:t xml:space="preserve">. The credit growth at the end of </w:t>
      </w:r>
      <w:r w:rsidR="00214838">
        <w:rPr>
          <w:rFonts w:ascii="Times New Roman" w:hAnsi="Times New Roman"/>
          <w:sz w:val="24"/>
          <w:szCs w:val="24"/>
        </w:rPr>
        <w:t>the year</w:t>
      </w:r>
      <w:r w:rsidR="00F22EBD">
        <w:rPr>
          <w:rFonts w:ascii="Times New Roman" w:hAnsi="Times New Roman"/>
          <w:sz w:val="24"/>
          <w:szCs w:val="24"/>
        </w:rPr>
        <w:t xml:space="preserve"> </w:t>
      </w:r>
      <w:r w:rsidR="00214838">
        <w:rPr>
          <w:rFonts w:ascii="Times New Roman" w:hAnsi="Times New Roman"/>
          <w:sz w:val="24"/>
          <w:szCs w:val="24"/>
        </w:rPr>
        <w:t>reached</w:t>
      </w:r>
      <w:r w:rsidR="00F22EBD">
        <w:rPr>
          <w:rFonts w:ascii="Times New Roman" w:hAnsi="Times New Roman"/>
          <w:sz w:val="24"/>
          <w:szCs w:val="24"/>
        </w:rPr>
        <w:t xml:space="preserve"> </w:t>
      </w:r>
      <w:r w:rsidR="00AB65B4">
        <w:rPr>
          <w:rFonts w:ascii="Times New Roman" w:hAnsi="Times New Roman"/>
          <w:sz w:val="24"/>
          <w:szCs w:val="24"/>
        </w:rPr>
        <w:t>9.4</w:t>
      </w:r>
      <w:r w:rsidR="005B0154">
        <w:rPr>
          <w:rFonts w:ascii="Times New Roman" w:hAnsi="Times New Roman"/>
          <w:sz w:val="24"/>
          <w:szCs w:val="24"/>
        </w:rPr>
        <w:t>%</w:t>
      </w:r>
      <w:r w:rsidR="00F22EBD">
        <w:rPr>
          <w:rFonts w:ascii="Times New Roman" w:hAnsi="Times New Roman"/>
          <w:sz w:val="24"/>
          <w:szCs w:val="24"/>
        </w:rPr>
        <w:t xml:space="preserve">. </w:t>
      </w:r>
      <w:r w:rsidR="00A831DB">
        <w:rPr>
          <w:rFonts w:ascii="Times New Roman" w:hAnsi="Times New Roman"/>
          <w:sz w:val="24"/>
          <w:szCs w:val="24"/>
        </w:rPr>
        <w:t>The</w:t>
      </w:r>
      <w:r w:rsidR="00F22EBD">
        <w:rPr>
          <w:rFonts w:ascii="Times New Roman" w:hAnsi="Times New Roman"/>
          <w:sz w:val="24"/>
          <w:szCs w:val="24"/>
        </w:rPr>
        <w:t xml:space="preserve"> retail loans grew by </w:t>
      </w:r>
      <w:r w:rsidR="00214838">
        <w:rPr>
          <w:rFonts w:ascii="Times New Roman" w:hAnsi="Times New Roman"/>
          <w:sz w:val="24"/>
          <w:szCs w:val="24"/>
        </w:rPr>
        <w:t>7.</w:t>
      </w:r>
      <w:r w:rsidR="00AB65B4">
        <w:rPr>
          <w:rFonts w:ascii="Times New Roman" w:hAnsi="Times New Roman"/>
          <w:sz w:val="24"/>
          <w:szCs w:val="24"/>
        </w:rPr>
        <w:t>3</w:t>
      </w:r>
      <w:r w:rsidR="00F22EBD">
        <w:rPr>
          <w:rFonts w:ascii="Times New Roman" w:hAnsi="Times New Roman"/>
          <w:sz w:val="24"/>
          <w:szCs w:val="24"/>
        </w:rPr>
        <w:t xml:space="preserve">%, while corporate loans were higher by </w:t>
      </w:r>
      <w:r w:rsidR="00AB65B4">
        <w:rPr>
          <w:rFonts w:ascii="Times New Roman" w:hAnsi="Times New Roman"/>
          <w:sz w:val="24"/>
          <w:szCs w:val="24"/>
        </w:rPr>
        <w:t>11.5</w:t>
      </w:r>
      <w:r w:rsidR="00F22EBD">
        <w:rPr>
          <w:rFonts w:ascii="Times New Roman" w:hAnsi="Times New Roman"/>
          <w:sz w:val="24"/>
          <w:szCs w:val="24"/>
        </w:rPr>
        <w:t xml:space="preserve">%. </w:t>
      </w:r>
      <w:r w:rsidR="00214838">
        <w:rPr>
          <w:rFonts w:ascii="Times New Roman" w:hAnsi="Times New Roman"/>
          <w:sz w:val="24"/>
          <w:szCs w:val="24"/>
        </w:rPr>
        <w:t>NPE level</w:t>
      </w:r>
      <w:r w:rsidR="00945078">
        <w:rPr>
          <w:rFonts w:ascii="Times New Roman" w:hAnsi="Times New Roman"/>
          <w:sz w:val="24"/>
          <w:szCs w:val="24"/>
        </w:rPr>
        <w:t xml:space="preserve"> </w:t>
      </w:r>
      <w:r w:rsidR="0020003C">
        <w:rPr>
          <w:rFonts w:ascii="Times New Roman" w:hAnsi="Times New Roman"/>
          <w:sz w:val="24"/>
          <w:szCs w:val="24"/>
        </w:rPr>
        <w:t xml:space="preserve">continued its downward trend reaching </w:t>
      </w:r>
      <w:r w:rsidR="0001694D">
        <w:rPr>
          <w:rFonts w:ascii="Times New Roman" w:hAnsi="Times New Roman"/>
          <w:sz w:val="24"/>
          <w:szCs w:val="24"/>
        </w:rPr>
        <w:t>the level of -</w:t>
      </w:r>
      <w:r w:rsidR="00AB65B4">
        <w:rPr>
          <w:rFonts w:ascii="Times New Roman" w:hAnsi="Times New Roman"/>
          <w:sz w:val="24"/>
          <w:szCs w:val="24"/>
        </w:rPr>
        <w:t>2.9</w:t>
      </w:r>
      <w:r w:rsidR="0020003C">
        <w:rPr>
          <w:rFonts w:ascii="Times New Roman" w:hAnsi="Times New Roman"/>
          <w:sz w:val="24"/>
          <w:szCs w:val="24"/>
        </w:rPr>
        <w:t xml:space="preserve">% as </w:t>
      </w:r>
      <w:r w:rsidR="00BA5353">
        <w:rPr>
          <w:rFonts w:ascii="Times New Roman" w:hAnsi="Times New Roman"/>
          <w:sz w:val="24"/>
          <w:szCs w:val="24"/>
        </w:rPr>
        <w:t xml:space="preserve">of </w:t>
      </w:r>
      <w:r w:rsidR="0020003C">
        <w:rPr>
          <w:rFonts w:ascii="Times New Roman" w:hAnsi="Times New Roman"/>
          <w:sz w:val="24"/>
          <w:szCs w:val="24"/>
        </w:rPr>
        <w:t>31.12.202</w:t>
      </w:r>
      <w:r w:rsidR="00AB65B4">
        <w:rPr>
          <w:rFonts w:ascii="Times New Roman" w:hAnsi="Times New Roman"/>
          <w:sz w:val="24"/>
          <w:szCs w:val="24"/>
        </w:rPr>
        <w:t>2</w:t>
      </w:r>
      <w:r w:rsidR="00F22EBD">
        <w:rPr>
          <w:rFonts w:ascii="Times New Roman" w:hAnsi="Times New Roman"/>
          <w:sz w:val="24"/>
          <w:szCs w:val="24"/>
        </w:rPr>
        <w:t xml:space="preserve">. </w:t>
      </w:r>
      <w:r w:rsidR="00BC6A39">
        <w:rPr>
          <w:rFonts w:ascii="Times New Roman" w:hAnsi="Times New Roman"/>
          <w:sz w:val="24"/>
          <w:szCs w:val="24"/>
        </w:rPr>
        <w:t>T</w:t>
      </w:r>
      <w:r w:rsidR="00F22EBD">
        <w:rPr>
          <w:rFonts w:ascii="Times New Roman" w:hAnsi="Times New Roman"/>
          <w:sz w:val="24"/>
          <w:szCs w:val="24"/>
        </w:rPr>
        <w:t xml:space="preserve">he loans to deposits ratio at the end of the year </w:t>
      </w:r>
      <w:r w:rsidR="00AB65B4">
        <w:rPr>
          <w:rFonts w:ascii="Times New Roman" w:hAnsi="Times New Roman"/>
          <w:sz w:val="24"/>
          <w:szCs w:val="24"/>
        </w:rPr>
        <w:t>was</w:t>
      </w:r>
      <w:r w:rsidR="00F22EBD">
        <w:rPr>
          <w:rFonts w:ascii="Times New Roman" w:hAnsi="Times New Roman"/>
          <w:sz w:val="24"/>
          <w:szCs w:val="24"/>
        </w:rPr>
        <w:t xml:space="preserve"> </w:t>
      </w:r>
      <w:r w:rsidR="006740E2">
        <w:rPr>
          <w:rFonts w:ascii="Times New Roman" w:hAnsi="Times New Roman"/>
          <w:sz w:val="24"/>
          <w:szCs w:val="24"/>
        </w:rPr>
        <w:t>8</w:t>
      </w:r>
      <w:r w:rsidR="00AB65B4">
        <w:rPr>
          <w:rFonts w:ascii="Times New Roman" w:hAnsi="Times New Roman"/>
          <w:sz w:val="24"/>
          <w:szCs w:val="24"/>
        </w:rPr>
        <w:t>6</w:t>
      </w:r>
      <w:r w:rsidR="006740E2">
        <w:rPr>
          <w:rFonts w:ascii="Times New Roman" w:hAnsi="Times New Roman"/>
          <w:sz w:val="24"/>
          <w:szCs w:val="24"/>
        </w:rPr>
        <w:t>.</w:t>
      </w:r>
      <w:r w:rsidR="00AB65B4">
        <w:rPr>
          <w:rFonts w:ascii="Times New Roman" w:hAnsi="Times New Roman"/>
          <w:sz w:val="24"/>
          <w:szCs w:val="24"/>
        </w:rPr>
        <w:t>1</w:t>
      </w:r>
      <w:r w:rsidR="00F22EBD">
        <w:rPr>
          <w:rFonts w:ascii="Times New Roman" w:hAnsi="Times New Roman"/>
          <w:sz w:val="24"/>
          <w:szCs w:val="24"/>
        </w:rPr>
        <w:t xml:space="preserve">%. The capital adequacy ratio </w:t>
      </w:r>
      <w:r w:rsidR="004769BB">
        <w:rPr>
          <w:rFonts w:ascii="Times New Roman" w:hAnsi="Times New Roman"/>
          <w:sz w:val="24"/>
          <w:szCs w:val="24"/>
        </w:rPr>
        <w:t>of the banking sector as of 3</w:t>
      </w:r>
      <w:r w:rsidR="0020003C">
        <w:rPr>
          <w:rFonts w:ascii="Times New Roman" w:hAnsi="Times New Roman"/>
          <w:sz w:val="24"/>
          <w:szCs w:val="24"/>
        </w:rPr>
        <w:t>1</w:t>
      </w:r>
      <w:r w:rsidR="004769BB">
        <w:rPr>
          <w:rFonts w:ascii="Times New Roman" w:hAnsi="Times New Roman"/>
          <w:sz w:val="24"/>
          <w:szCs w:val="24"/>
        </w:rPr>
        <w:t>.</w:t>
      </w:r>
      <w:r w:rsidR="0020003C">
        <w:rPr>
          <w:rFonts w:ascii="Times New Roman" w:hAnsi="Times New Roman"/>
          <w:sz w:val="24"/>
          <w:szCs w:val="24"/>
        </w:rPr>
        <w:t>12</w:t>
      </w:r>
      <w:r w:rsidR="004769BB">
        <w:rPr>
          <w:rFonts w:ascii="Times New Roman" w:hAnsi="Times New Roman"/>
          <w:sz w:val="24"/>
          <w:szCs w:val="24"/>
        </w:rPr>
        <w:t>.202</w:t>
      </w:r>
      <w:r w:rsidR="00AB65B4">
        <w:rPr>
          <w:rFonts w:ascii="Times New Roman" w:hAnsi="Times New Roman"/>
          <w:sz w:val="24"/>
          <w:szCs w:val="24"/>
        </w:rPr>
        <w:t>2</w:t>
      </w:r>
      <w:r w:rsidR="004769BB">
        <w:rPr>
          <w:rFonts w:ascii="Times New Roman" w:hAnsi="Times New Roman"/>
          <w:sz w:val="24"/>
          <w:szCs w:val="24"/>
        </w:rPr>
        <w:t xml:space="preserve"> was </w:t>
      </w:r>
      <w:r w:rsidR="00BC6A39">
        <w:rPr>
          <w:rFonts w:ascii="Times New Roman" w:hAnsi="Times New Roman"/>
          <w:sz w:val="24"/>
          <w:szCs w:val="24"/>
        </w:rPr>
        <w:t>17.</w:t>
      </w:r>
      <w:r w:rsidR="00AB65B4">
        <w:rPr>
          <w:rFonts w:ascii="Times New Roman" w:hAnsi="Times New Roman"/>
          <w:sz w:val="24"/>
          <w:szCs w:val="24"/>
        </w:rPr>
        <w:t>7</w:t>
      </w:r>
      <w:r w:rsidR="004769BB">
        <w:rPr>
          <w:rFonts w:ascii="Times New Roman" w:hAnsi="Times New Roman"/>
          <w:sz w:val="24"/>
          <w:szCs w:val="24"/>
        </w:rPr>
        <w:t>%</w:t>
      </w:r>
      <w:r w:rsidR="0075295C">
        <w:rPr>
          <w:rFonts w:ascii="Times New Roman" w:hAnsi="Times New Roman"/>
          <w:sz w:val="24"/>
          <w:szCs w:val="24"/>
        </w:rPr>
        <w:t xml:space="preserve">. </w:t>
      </w:r>
      <w:r w:rsidR="00BC4775">
        <w:rPr>
          <w:rFonts w:ascii="Times New Roman" w:hAnsi="Times New Roman"/>
          <w:sz w:val="24"/>
          <w:szCs w:val="24"/>
        </w:rPr>
        <w:t xml:space="preserve">The profitability ratios ROA and ROE </w:t>
      </w:r>
      <w:r w:rsidR="004769BB">
        <w:rPr>
          <w:rFonts w:ascii="Times New Roman" w:hAnsi="Times New Roman"/>
          <w:sz w:val="24"/>
          <w:szCs w:val="24"/>
        </w:rPr>
        <w:t xml:space="preserve">were </w:t>
      </w:r>
      <w:r w:rsidR="00AB65B4">
        <w:rPr>
          <w:rFonts w:ascii="Times New Roman" w:hAnsi="Times New Roman"/>
          <w:sz w:val="24"/>
          <w:szCs w:val="24"/>
        </w:rPr>
        <w:t>at the level of</w:t>
      </w:r>
      <w:r w:rsidR="004769BB">
        <w:rPr>
          <w:rFonts w:ascii="Times New Roman" w:hAnsi="Times New Roman"/>
          <w:sz w:val="24"/>
          <w:szCs w:val="24"/>
        </w:rPr>
        <w:t xml:space="preserve"> 1.</w:t>
      </w:r>
      <w:r w:rsidR="0020003C">
        <w:rPr>
          <w:rFonts w:ascii="Times New Roman" w:hAnsi="Times New Roman"/>
          <w:sz w:val="24"/>
          <w:szCs w:val="24"/>
        </w:rPr>
        <w:t>5</w:t>
      </w:r>
      <w:r w:rsidR="004769BB">
        <w:rPr>
          <w:rFonts w:ascii="Times New Roman" w:hAnsi="Times New Roman"/>
          <w:sz w:val="24"/>
          <w:szCs w:val="24"/>
        </w:rPr>
        <w:t xml:space="preserve">% and </w:t>
      </w:r>
      <w:r w:rsidR="0020003C">
        <w:rPr>
          <w:rFonts w:ascii="Times New Roman" w:hAnsi="Times New Roman"/>
          <w:sz w:val="24"/>
          <w:szCs w:val="24"/>
        </w:rPr>
        <w:t>12.</w:t>
      </w:r>
      <w:r w:rsidR="00AB65B4">
        <w:rPr>
          <w:rFonts w:ascii="Times New Roman" w:hAnsi="Times New Roman"/>
          <w:sz w:val="24"/>
          <w:szCs w:val="24"/>
        </w:rPr>
        <w:t>2</w:t>
      </w:r>
      <w:r w:rsidR="004769BB">
        <w:rPr>
          <w:rFonts w:ascii="Times New Roman" w:hAnsi="Times New Roman"/>
          <w:sz w:val="24"/>
          <w:szCs w:val="24"/>
        </w:rPr>
        <w:t>% respectively</w:t>
      </w:r>
      <w:r w:rsidR="00D4463C">
        <w:rPr>
          <w:rFonts w:ascii="Times New Roman" w:hAnsi="Times New Roman"/>
          <w:sz w:val="24"/>
          <w:szCs w:val="24"/>
        </w:rPr>
        <w:t xml:space="preserve">. </w:t>
      </w:r>
      <w:r w:rsidR="00F46996" w:rsidRPr="00F46996">
        <w:rPr>
          <w:rFonts w:ascii="Times New Roman" w:hAnsi="Times New Roman"/>
          <w:sz w:val="24"/>
          <w:szCs w:val="24"/>
        </w:rPr>
        <w:t xml:space="preserve">Despite the strong shocks that our economy faced, stability was preserved, but the risks </w:t>
      </w:r>
      <w:r w:rsidR="00AB65B4">
        <w:rPr>
          <w:rFonts w:ascii="Times New Roman" w:hAnsi="Times New Roman"/>
          <w:sz w:val="24"/>
          <w:szCs w:val="24"/>
        </w:rPr>
        <w:t>require</w:t>
      </w:r>
      <w:r w:rsidR="00F46996" w:rsidRPr="00F46996">
        <w:rPr>
          <w:rFonts w:ascii="Times New Roman" w:hAnsi="Times New Roman"/>
          <w:sz w:val="24"/>
          <w:szCs w:val="24"/>
        </w:rPr>
        <w:t xml:space="preserve"> further vigilant monitoring and caution.</w:t>
      </w:r>
    </w:p>
    <w:p w14:paraId="592A7F5D" w14:textId="45930283" w:rsidR="00C107D0" w:rsidRPr="00444075" w:rsidRDefault="00C107D0" w:rsidP="00BB27D7">
      <w:pPr>
        <w:pStyle w:val="Heading2"/>
        <w:spacing w:before="240" w:line="276" w:lineRule="auto"/>
        <w:jc w:val="both"/>
        <w:rPr>
          <w:sz w:val="28"/>
          <w:szCs w:val="28"/>
        </w:rPr>
      </w:pPr>
      <w:bookmarkStart w:id="6" w:name="_Toc133313244"/>
      <w:r w:rsidRPr="00444075">
        <w:rPr>
          <w:sz w:val="28"/>
          <w:szCs w:val="28"/>
        </w:rPr>
        <w:lastRenderedPageBreak/>
        <w:t>Basic Macroeconomic Indicators</w:t>
      </w:r>
      <w:bookmarkEnd w:id="6"/>
    </w:p>
    <w:p w14:paraId="134EEB59" w14:textId="77777777" w:rsidR="00A13EE2" w:rsidRDefault="00A13EE2" w:rsidP="00BB27D7">
      <w:pPr>
        <w:spacing w:after="0"/>
        <w:rPr>
          <w:rFonts w:ascii="Times New Roman" w:eastAsia="Times New Roman" w:hAnsi="Times New Roman"/>
          <w:b/>
          <w:sz w:val="28"/>
          <w:szCs w:val="28"/>
        </w:rPr>
      </w:pPr>
      <w:r w:rsidRPr="008228D9">
        <w:rPr>
          <w:rFonts w:ascii="Times New Roman" w:hAnsi="Times New Roman"/>
          <w:noProof/>
        </w:rPr>
        <w:drawing>
          <wp:inline distT="0" distB="0" distL="0" distR="0" wp14:anchorId="789EA641" wp14:editId="3DC14C2B">
            <wp:extent cx="5321808" cy="6400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21808" cy="6400800"/>
                    </a:xfrm>
                    <a:prstGeom prst="rect">
                      <a:avLst/>
                    </a:prstGeom>
                    <a:noFill/>
                    <a:ln>
                      <a:noFill/>
                    </a:ln>
                  </pic:spPr>
                </pic:pic>
              </a:graphicData>
            </a:graphic>
          </wp:inline>
        </w:drawing>
      </w:r>
      <w:r>
        <w:rPr>
          <w:b/>
          <w:sz w:val="28"/>
          <w:szCs w:val="28"/>
        </w:rPr>
        <w:br w:type="page"/>
      </w:r>
    </w:p>
    <w:p w14:paraId="55A77672" w14:textId="77777777" w:rsidR="009E1300" w:rsidRPr="00932791" w:rsidRDefault="009E1300" w:rsidP="00BB27D7">
      <w:pPr>
        <w:pStyle w:val="Heading2"/>
        <w:spacing w:before="240" w:line="276" w:lineRule="auto"/>
        <w:jc w:val="both"/>
        <w:rPr>
          <w:b w:val="0"/>
          <w:sz w:val="28"/>
          <w:szCs w:val="28"/>
        </w:rPr>
      </w:pPr>
      <w:bookmarkStart w:id="7" w:name="_Toc133313245"/>
      <w:r w:rsidRPr="00932791">
        <w:rPr>
          <w:sz w:val="28"/>
          <w:szCs w:val="28"/>
        </w:rPr>
        <w:lastRenderedPageBreak/>
        <w:t>Banking sector &amp; SB</w:t>
      </w:r>
      <w:bookmarkEnd w:id="7"/>
    </w:p>
    <w:p w14:paraId="1477C756" w14:textId="77777777" w:rsidR="009E1300" w:rsidRDefault="009E1300" w:rsidP="00BB27D7">
      <w:pPr>
        <w:spacing w:after="0"/>
        <w:rPr>
          <w:rFonts w:ascii="Times New Roman" w:hAnsi="Times New Roman"/>
          <w:sz w:val="20"/>
          <w:szCs w:val="20"/>
        </w:rPr>
      </w:pPr>
    </w:p>
    <w:tbl>
      <w:tblPr>
        <w:tblW w:w="8944" w:type="dxa"/>
        <w:tblLook w:val="04A0" w:firstRow="1" w:lastRow="0" w:firstColumn="1" w:lastColumn="0" w:noHBand="0" w:noVBand="1"/>
      </w:tblPr>
      <w:tblGrid>
        <w:gridCol w:w="3292"/>
        <w:gridCol w:w="364"/>
        <w:gridCol w:w="1323"/>
        <w:gridCol w:w="364"/>
        <w:gridCol w:w="2037"/>
        <w:gridCol w:w="364"/>
        <w:gridCol w:w="1200"/>
      </w:tblGrid>
      <w:tr w:rsidR="009E1300" w:rsidRPr="004E7DDC" w14:paraId="18858818" w14:textId="77777777" w:rsidTr="00FF3C4A">
        <w:trPr>
          <w:trHeight w:val="409"/>
        </w:trPr>
        <w:tc>
          <w:tcPr>
            <w:tcW w:w="3292" w:type="dxa"/>
            <w:tcBorders>
              <w:top w:val="nil"/>
              <w:left w:val="nil"/>
              <w:bottom w:val="nil"/>
              <w:right w:val="nil"/>
            </w:tcBorders>
            <w:shd w:val="clear" w:color="auto" w:fill="auto"/>
            <w:noWrap/>
            <w:vAlign w:val="center"/>
            <w:hideMark/>
          </w:tcPr>
          <w:p w14:paraId="5226F280"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in EUR million</w:t>
            </w:r>
          </w:p>
        </w:tc>
        <w:tc>
          <w:tcPr>
            <w:tcW w:w="364" w:type="dxa"/>
            <w:tcBorders>
              <w:top w:val="nil"/>
              <w:left w:val="nil"/>
              <w:bottom w:val="nil"/>
              <w:right w:val="nil"/>
            </w:tcBorders>
            <w:shd w:val="clear" w:color="auto" w:fill="auto"/>
            <w:noWrap/>
            <w:vAlign w:val="bottom"/>
            <w:hideMark/>
          </w:tcPr>
          <w:p w14:paraId="3B32048C"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bottom"/>
            <w:hideMark/>
          </w:tcPr>
          <w:p w14:paraId="08E545DB" w14:textId="77777777" w:rsidR="009E1300" w:rsidRPr="004E7DDC" w:rsidRDefault="009E1300" w:rsidP="00BB27D7">
            <w:pPr>
              <w:spacing w:after="0"/>
              <w:rPr>
                <w:rFonts w:ascii="Times New Roman" w:eastAsia="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5EB5919D" w14:textId="77777777" w:rsidR="009E1300" w:rsidRPr="004E7DDC" w:rsidRDefault="009E1300" w:rsidP="00BB27D7">
            <w:pPr>
              <w:spacing w:after="0"/>
              <w:rPr>
                <w:rFonts w:ascii="Times New Roman" w:eastAsia="Times New Roman" w:hAnsi="Times New Roman"/>
                <w:sz w:val="20"/>
                <w:szCs w:val="20"/>
              </w:rPr>
            </w:pPr>
          </w:p>
        </w:tc>
        <w:tc>
          <w:tcPr>
            <w:tcW w:w="2037" w:type="dxa"/>
            <w:tcBorders>
              <w:top w:val="nil"/>
              <w:left w:val="nil"/>
              <w:bottom w:val="nil"/>
              <w:right w:val="nil"/>
            </w:tcBorders>
            <w:shd w:val="clear" w:color="auto" w:fill="auto"/>
            <w:noWrap/>
            <w:vAlign w:val="bottom"/>
            <w:hideMark/>
          </w:tcPr>
          <w:p w14:paraId="76A01092" w14:textId="77777777" w:rsidR="009E1300" w:rsidRPr="004E7DDC" w:rsidRDefault="009E1300" w:rsidP="00BB27D7">
            <w:pPr>
              <w:spacing w:after="0"/>
              <w:rPr>
                <w:rFonts w:ascii="Times New Roman" w:eastAsia="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75A89763" w14:textId="77777777" w:rsidR="009E1300" w:rsidRPr="004E7DDC" w:rsidRDefault="009E1300" w:rsidP="00BB27D7">
            <w:pPr>
              <w:spacing w:after="0"/>
              <w:rPr>
                <w:rFonts w:ascii="Times New Roman" w:eastAsia="Times New Roman" w:hAnsi="Times New Roman"/>
                <w:sz w:val="20"/>
                <w:szCs w:val="20"/>
              </w:rPr>
            </w:pPr>
          </w:p>
        </w:tc>
        <w:tc>
          <w:tcPr>
            <w:tcW w:w="1200" w:type="dxa"/>
            <w:tcBorders>
              <w:top w:val="nil"/>
              <w:left w:val="nil"/>
              <w:bottom w:val="nil"/>
              <w:right w:val="nil"/>
            </w:tcBorders>
            <w:shd w:val="clear" w:color="auto" w:fill="auto"/>
            <w:noWrap/>
            <w:vAlign w:val="bottom"/>
            <w:hideMark/>
          </w:tcPr>
          <w:p w14:paraId="5FC4B5F6" w14:textId="77777777" w:rsidR="009E1300" w:rsidRPr="004E7DDC" w:rsidRDefault="009E1300" w:rsidP="00BB27D7">
            <w:pPr>
              <w:spacing w:after="0"/>
              <w:rPr>
                <w:rFonts w:ascii="Times New Roman" w:eastAsia="Times New Roman" w:hAnsi="Times New Roman"/>
                <w:sz w:val="20"/>
                <w:szCs w:val="20"/>
              </w:rPr>
            </w:pPr>
          </w:p>
        </w:tc>
      </w:tr>
      <w:tr w:rsidR="009E1300" w:rsidRPr="004E7DDC" w14:paraId="365036AE" w14:textId="77777777" w:rsidTr="00FF3C4A">
        <w:trPr>
          <w:trHeight w:val="1000"/>
        </w:trPr>
        <w:tc>
          <w:tcPr>
            <w:tcW w:w="3292" w:type="dxa"/>
            <w:tcBorders>
              <w:top w:val="nil"/>
              <w:left w:val="nil"/>
              <w:bottom w:val="single" w:sz="8" w:space="0" w:color="auto"/>
              <w:right w:val="nil"/>
            </w:tcBorders>
            <w:shd w:val="clear" w:color="auto" w:fill="auto"/>
            <w:noWrap/>
            <w:vAlign w:val="center"/>
            <w:hideMark/>
          </w:tcPr>
          <w:p w14:paraId="55C2BF82" w14:textId="77777777" w:rsidR="009E1300" w:rsidRPr="004E7DDC" w:rsidRDefault="009E1300" w:rsidP="00BB27D7">
            <w:pPr>
              <w:spacing w:after="0"/>
              <w:rPr>
                <w:rFonts w:ascii="Times New Roman" w:eastAsia="Times New Roman" w:hAnsi="Times New Roman"/>
                <w:b/>
                <w:bCs/>
                <w:color w:val="000000"/>
              </w:rPr>
            </w:pPr>
            <w:r w:rsidRPr="004E7DDC">
              <w:rPr>
                <w:rFonts w:ascii="Times New Roman" w:eastAsia="Times New Roman" w:hAnsi="Times New Roman"/>
                <w:b/>
                <w:bCs/>
                <w:color w:val="000000"/>
              </w:rPr>
              <w:t>Position/Indicator</w:t>
            </w:r>
          </w:p>
        </w:tc>
        <w:tc>
          <w:tcPr>
            <w:tcW w:w="364" w:type="dxa"/>
            <w:tcBorders>
              <w:top w:val="nil"/>
              <w:left w:val="nil"/>
              <w:bottom w:val="nil"/>
              <w:right w:val="nil"/>
            </w:tcBorders>
            <w:shd w:val="clear" w:color="auto" w:fill="auto"/>
            <w:vAlign w:val="bottom"/>
            <w:hideMark/>
          </w:tcPr>
          <w:p w14:paraId="2B39C04F" w14:textId="77777777" w:rsidR="009E1300" w:rsidRPr="004E7DDC" w:rsidRDefault="009E1300" w:rsidP="00BB27D7">
            <w:pPr>
              <w:spacing w:after="0"/>
              <w:rPr>
                <w:rFonts w:ascii="Times New Roman" w:eastAsia="Times New Roman" w:hAnsi="Times New Roman"/>
                <w:b/>
                <w:bCs/>
                <w:color w:val="000000"/>
              </w:rPr>
            </w:pPr>
          </w:p>
        </w:tc>
        <w:tc>
          <w:tcPr>
            <w:tcW w:w="1323" w:type="dxa"/>
            <w:tcBorders>
              <w:top w:val="nil"/>
              <w:left w:val="nil"/>
              <w:bottom w:val="single" w:sz="8" w:space="0" w:color="auto"/>
              <w:right w:val="nil"/>
            </w:tcBorders>
            <w:shd w:val="clear" w:color="auto" w:fill="auto"/>
            <w:vAlign w:val="center"/>
            <w:hideMark/>
          </w:tcPr>
          <w:p w14:paraId="6193679F" w14:textId="77777777" w:rsidR="009E1300" w:rsidRPr="004E7DDC" w:rsidRDefault="009E1300" w:rsidP="00BB27D7">
            <w:pPr>
              <w:spacing w:after="0"/>
              <w:jc w:val="center"/>
              <w:rPr>
                <w:rFonts w:ascii="Times New Roman" w:eastAsia="Times New Roman" w:hAnsi="Times New Roman"/>
                <w:b/>
                <w:bCs/>
                <w:color w:val="000000"/>
              </w:rPr>
            </w:pPr>
            <w:r w:rsidRPr="004E7DDC">
              <w:rPr>
                <w:rFonts w:ascii="Times New Roman" w:eastAsia="Times New Roman" w:hAnsi="Times New Roman"/>
                <w:b/>
                <w:bCs/>
                <w:color w:val="000000"/>
              </w:rPr>
              <w:t>Banking sector</w:t>
            </w:r>
          </w:p>
        </w:tc>
        <w:tc>
          <w:tcPr>
            <w:tcW w:w="364" w:type="dxa"/>
            <w:tcBorders>
              <w:top w:val="nil"/>
              <w:left w:val="nil"/>
              <w:bottom w:val="nil"/>
              <w:right w:val="nil"/>
            </w:tcBorders>
            <w:shd w:val="clear" w:color="auto" w:fill="auto"/>
            <w:vAlign w:val="bottom"/>
            <w:hideMark/>
          </w:tcPr>
          <w:p w14:paraId="6EFB1F31" w14:textId="77777777" w:rsidR="009E1300" w:rsidRPr="004E7DDC" w:rsidRDefault="009E1300" w:rsidP="00BB27D7">
            <w:pPr>
              <w:spacing w:after="0"/>
              <w:jc w:val="center"/>
              <w:rPr>
                <w:rFonts w:ascii="Times New Roman" w:eastAsia="Times New Roman" w:hAnsi="Times New Roman"/>
                <w:b/>
                <w:bCs/>
                <w:color w:val="000000"/>
              </w:rPr>
            </w:pPr>
          </w:p>
        </w:tc>
        <w:tc>
          <w:tcPr>
            <w:tcW w:w="2037" w:type="dxa"/>
            <w:tcBorders>
              <w:top w:val="nil"/>
              <w:left w:val="nil"/>
              <w:bottom w:val="single" w:sz="8" w:space="0" w:color="auto"/>
              <w:right w:val="nil"/>
            </w:tcBorders>
            <w:shd w:val="clear" w:color="auto" w:fill="auto"/>
            <w:noWrap/>
            <w:vAlign w:val="center"/>
            <w:hideMark/>
          </w:tcPr>
          <w:p w14:paraId="32E8923D" w14:textId="77777777" w:rsidR="009E1300" w:rsidRPr="004E7DDC" w:rsidRDefault="009E1300" w:rsidP="00BB27D7">
            <w:pPr>
              <w:spacing w:after="0"/>
              <w:jc w:val="center"/>
              <w:rPr>
                <w:rFonts w:ascii="Times New Roman" w:eastAsia="Times New Roman" w:hAnsi="Times New Roman"/>
                <w:b/>
                <w:bCs/>
                <w:color w:val="000000"/>
              </w:rPr>
            </w:pPr>
            <w:r w:rsidRPr="004E7DDC">
              <w:rPr>
                <w:rFonts w:ascii="Times New Roman" w:eastAsia="Times New Roman" w:hAnsi="Times New Roman"/>
                <w:b/>
                <w:bCs/>
                <w:color w:val="000000"/>
              </w:rPr>
              <w:t>SB</w:t>
            </w:r>
          </w:p>
        </w:tc>
        <w:tc>
          <w:tcPr>
            <w:tcW w:w="364" w:type="dxa"/>
            <w:tcBorders>
              <w:top w:val="nil"/>
              <w:left w:val="nil"/>
              <w:bottom w:val="nil"/>
              <w:right w:val="nil"/>
            </w:tcBorders>
            <w:shd w:val="clear" w:color="auto" w:fill="auto"/>
            <w:vAlign w:val="bottom"/>
            <w:hideMark/>
          </w:tcPr>
          <w:p w14:paraId="1F3EF652" w14:textId="77777777" w:rsidR="009E1300" w:rsidRPr="004E7DDC" w:rsidRDefault="009E1300" w:rsidP="00BB27D7">
            <w:pPr>
              <w:spacing w:after="0"/>
              <w:jc w:val="center"/>
              <w:rPr>
                <w:rFonts w:ascii="Times New Roman" w:eastAsia="Times New Roman" w:hAnsi="Times New Roman"/>
                <w:b/>
                <w:bCs/>
                <w:color w:val="000000"/>
              </w:rPr>
            </w:pPr>
          </w:p>
        </w:tc>
        <w:tc>
          <w:tcPr>
            <w:tcW w:w="1200" w:type="dxa"/>
            <w:tcBorders>
              <w:top w:val="nil"/>
              <w:left w:val="nil"/>
              <w:bottom w:val="single" w:sz="8" w:space="0" w:color="auto"/>
              <w:right w:val="nil"/>
            </w:tcBorders>
            <w:shd w:val="clear" w:color="auto" w:fill="auto"/>
            <w:vAlign w:val="center"/>
            <w:hideMark/>
          </w:tcPr>
          <w:p w14:paraId="4D7C5831" w14:textId="77777777" w:rsidR="009E1300" w:rsidRPr="004E7DDC" w:rsidRDefault="009E1300" w:rsidP="00BB27D7">
            <w:pPr>
              <w:spacing w:after="0"/>
              <w:jc w:val="center"/>
              <w:rPr>
                <w:rFonts w:ascii="Times New Roman" w:eastAsia="Times New Roman" w:hAnsi="Times New Roman"/>
                <w:b/>
                <w:bCs/>
                <w:color w:val="000000"/>
              </w:rPr>
            </w:pPr>
            <w:r w:rsidRPr="004E7DDC">
              <w:rPr>
                <w:rFonts w:ascii="Times New Roman" w:eastAsia="Times New Roman" w:hAnsi="Times New Roman"/>
                <w:b/>
                <w:bCs/>
                <w:color w:val="000000"/>
              </w:rPr>
              <w:t>Market share</w:t>
            </w:r>
          </w:p>
        </w:tc>
      </w:tr>
      <w:tr w:rsidR="009E1300" w:rsidRPr="004E7DDC" w14:paraId="1EBF8564" w14:textId="77777777" w:rsidTr="00FF3C4A">
        <w:trPr>
          <w:trHeight w:val="327"/>
        </w:trPr>
        <w:tc>
          <w:tcPr>
            <w:tcW w:w="3292" w:type="dxa"/>
            <w:tcBorders>
              <w:top w:val="nil"/>
              <w:left w:val="nil"/>
              <w:bottom w:val="nil"/>
              <w:right w:val="nil"/>
            </w:tcBorders>
            <w:shd w:val="clear" w:color="auto" w:fill="auto"/>
            <w:noWrap/>
            <w:vAlign w:val="center"/>
            <w:hideMark/>
          </w:tcPr>
          <w:p w14:paraId="3E4E73BF"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 xml:space="preserve">Total assets </w:t>
            </w:r>
          </w:p>
        </w:tc>
        <w:tc>
          <w:tcPr>
            <w:tcW w:w="364" w:type="dxa"/>
            <w:tcBorders>
              <w:top w:val="nil"/>
              <w:left w:val="nil"/>
              <w:bottom w:val="nil"/>
              <w:right w:val="nil"/>
            </w:tcBorders>
            <w:shd w:val="clear" w:color="auto" w:fill="auto"/>
            <w:noWrap/>
            <w:vAlign w:val="bottom"/>
            <w:hideMark/>
          </w:tcPr>
          <w:p w14:paraId="62BB4B9D"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center"/>
            <w:hideMark/>
          </w:tcPr>
          <w:p w14:paraId="4650AF16"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11,127.3</w:t>
            </w:r>
          </w:p>
        </w:tc>
        <w:tc>
          <w:tcPr>
            <w:tcW w:w="364" w:type="dxa"/>
            <w:tcBorders>
              <w:top w:val="nil"/>
              <w:left w:val="nil"/>
              <w:bottom w:val="nil"/>
              <w:right w:val="nil"/>
            </w:tcBorders>
            <w:shd w:val="clear" w:color="auto" w:fill="auto"/>
            <w:noWrap/>
            <w:vAlign w:val="bottom"/>
            <w:hideMark/>
          </w:tcPr>
          <w:p w14:paraId="2059ABCC" w14:textId="77777777" w:rsidR="009E1300" w:rsidRPr="004E7DDC" w:rsidRDefault="009E1300" w:rsidP="00BB27D7">
            <w:pPr>
              <w:spacing w:after="0"/>
              <w:jc w:val="right"/>
              <w:rPr>
                <w:rFonts w:ascii="Times New Roman" w:eastAsia="Times New Roman" w:hAnsi="Times New Roman"/>
              </w:rPr>
            </w:pPr>
          </w:p>
        </w:tc>
        <w:tc>
          <w:tcPr>
            <w:tcW w:w="2037" w:type="dxa"/>
            <w:tcBorders>
              <w:top w:val="nil"/>
              <w:left w:val="nil"/>
              <w:bottom w:val="nil"/>
              <w:right w:val="nil"/>
            </w:tcBorders>
            <w:shd w:val="clear" w:color="auto" w:fill="auto"/>
            <w:noWrap/>
            <w:vAlign w:val="center"/>
            <w:hideMark/>
          </w:tcPr>
          <w:p w14:paraId="2B206B8E"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1,996.7</w:t>
            </w:r>
          </w:p>
        </w:tc>
        <w:tc>
          <w:tcPr>
            <w:tcW w:w="364" w:type="dxa"/>
            <w:tcBorders>
              <w:top w:val="nil"/>
              <w:left w:val="nil"/>
              <w:bottom w:val="nil"/>
              <w:right w:val="nil"/>
            </w:tcBorders>
            <w:shd w:val="clear" w:color="auto" w:fill="auto"/>
            <w:noWrap/>
            <w:vAlign w:val="bottom"/>
            <w:hideMark/>
          </w:tcPr>
          <w:p w14:paraId="15CAF424" w14:textId="77777777" w:rsidR="009E1300" w:rsidRPr="004E7DDC" w:rsidRDefault="009E1300" w:rsidP="00BB27D7">
            <w:pPr>
              <w:spacing w:after="0"/>
              <w:jc w:val="right"/>
              <w:rPr>
                <w:rFonts w:ascii="Times New Roman" w:eastAsia="Times New Roman" w:hAnsi="Times New Roman"/>
              </w:rPr>
            </w:pPr>
          </w:p>
        </w:tc>
        <w:tc>
          <w:tcPr>
            <w:tcW w:w="1200" w:type="dxa"/>
            <w:tcBorders>
              <w:top w:val="nil"/>
              <w:left w:val="nil"/>
              <w:bottom w:val="nil"/>
              <w:right w:val="nil"/>
            </w:tcBorders>
            <w:shd w:val="clear" w:color="auto" w:fill="auto"/>
            <w:noWrap/>
            <w:vAlign w:val="center"/>
            <w:hideMark/>
          </w:tcPr>
          <w:p w14:paraId="2604BC7B" w14:textId="77777777" w:rsidR="009E1300" w:rsidRPr="004E7DDC" w:rsidRDefault="009E1300" w:rsidP="00BB27D7">
            <w:pPr>
              <w:spacing w:after="0"/>
              <w:jc w:val="right"/>
              <w:rPr>
                <w:rFonts w:ascii="Times New Roman" w:eastAsia="Times New Roman" w:hAnsi="Times New Roman"/>
                <w:color w:val="000000"/>
              </w:rPr>
            </w:pPr>
            <w:r w:rsidRPr="004E7DDC">
              <w:rPr>
                <w:rFonts w:ascii="Times New Roman" w:eastAsia="Times New Roman" w:hAnsi="Times New Roman"/>
                <w:color w:val="000000"/>
              </w:rPr>
              <w:t>17.9%</w:t>
            </w:r>
          </w:p>
        </w:tc>
      </w:tr>
      <w:tr w:rsidR="009E1300" w:rsidRPr="004E7DDC" w14:paraId="0D20E98A" w14:textId="77777777" w:rsidTr="00FF3C4A">
        <w:trPr>
          <w:trHeight w:val="327"/>
        </w:trPr>
        <w:tc>
          <w:tcPr>
            <w:tcW w:w="3292" w:type="dxa"/>
            <w:tcBorders>
              <w:top w:val="nil"/>
              <w:left w:val="nil"/>
              <w:bottom w:val="nil"/>
              <w:right w:val="nil"/>
            </w:tcBorders>
            <w:shd w:val="clear" w:color="auto" w:fill="auto"/>
            <w:noWrap/>
            <w:vAlign w:val="center"/>
            <w:hideMark/>
          </w:tcPr>
          <w:p w14:paraId="346D047A"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 xml:space="preserve">Total loans </w:t>
            </w:r>
          </w:p>
        </w:tc>
        <w:tc>
          <w:tcPr>
            <w:tcW w:w="364" w:type="dxa"/>
            <w:tcBorders>
              <w:top w:val="nil"/>
              <w:left w:val="nil"/>
              <w:bottom w:val="nil"/>
              <w:right w:val="nil"/>
            </w:tcBorders>
            <w:shd w:val="clear" w:color="auto" w:fill="auto"/>
            <w:noWrap/>
            <w:vAlign w:val="bottom"/>
            <w:hideMark/>
          </w:tcPr>
          <w:p w14:paraId="55518A2B"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center"/>
            <w:hideMark/>
          </w:tcPr>
          <w:p w14:paraId="342E8942"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6,776.0</w:t>
            </w:r>
          </w:p>
        </w:tc>
        <w:tc>
          <w:tcPr>
            <w:tcW w:w="364" w:type="dxa"/>
            <w:tcBorders>
              <w:top w:val="nil"/>
              <w:left w:val="nil"/>
              <w:bottom w:val="nil"/>
              <w:right w:val="nil"/>
            </w:tcBorders>
            <w:shd w:val="clear" w:color="auto" w:fill="auto"/>
            <w:noWrap/>
            <w:vAlign w:val="bottom"/>
            <w:hideMark/>
          </w:tcPr>
          <w:p w14:paraId="7854898E" w14:textId="77777777" w:rsidR="009E1300" w:rsidRPr="004E7DDC" w:rsidRDefault="009E1300" w:rsidP="00BB27D7">
            <w:pPr>
              <w:spacing w:after="0"/>
              <w:jc w:val="right"/>
              <w:rPr>
                <w:rFonts w:ascii="Times New Roman" w:eastAsia="Times New Roman" w:hAnsi="Times New Roman"/>
              </w:rPr>
            </w:pPr>
          </w:p>
        </w:tc>
        <w:tc>
          <w:tcPr>
            <w:tcW w:w="2037" w:type="dxa"/>
            <w:tcBorders>
              <w:top w:val="nil"/>
              <w:left w:val="nil"/>
              <w:bottom w:val="nil"/>
              <w:right w:val="nil"/>
            </w:tcBorders>
            <w:shd w:val="clear" w:color="auto" w:fill="auto"/>
            <w:noWrap/>
            <w:vAlign w:val="center"/>
            <w:hideMark/>
          </w:tcPr>
          <w:p w14:paraId="5E2E11F5"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1,449.1</w:t>
            </w:r>
          </w:p>
        </w:tc>
        <w:tc>
          <w:tcPr>
            <w:tcW w:w="364" w:type="dxa"/>
            <w:tcBorders>
              <w:top w:val="nil"/>
              <w:left w:val="nil"/>
              <w:bottom w:val="nil"/>
              <w:right w:val="nil"/>
            </w:tcBorders>
            <w:shd w:val="clear" w:color="auto" w:fill="auto"/>
            <w:noWrap/>
            <w:vAlign w:val="bottom"/>
            <w:hideMark/>
          </w:tcPr>
          <w:p w14:paraId="2873CA22" w14:textId="77777777" w:rsidR="009E1300" w:rsidRPr="004E7DDC" w:rsidRDefault="009E1300" w:rsidP="00BB27D7">
            <w:pPr>
              <w:spacing w:after="0"/>
              <w:jc w:val="right"/>
              <w:rPr>
                <w:rFonts w:ascii="Times New Roman" w:eastAsia="Times New Roman" w:hAnsi="Times New Roman"/>
              </w:rPr>
            </w:pPr>
          </w:p>
        </w:tc>
        <w:tc>
          <w:tcPr>
            <w:tcW w:w="1200" w:type="dxa"/>
            <w:tcBorders>
              <w:top w:val="nil"/>
              <w:left w:val="nil"/>
              <w:bottom w:val="nil"/>
              <w:right w:val="nil"/>
            </w:tcBorders>
            <w:shd w:val="clear" w:color="auto" w:fill="auto"/>
            <w:noWrap/>
            <w:vAlign w:val="center"/>
            <w:hideMark/>
          </w:tcPr>
          <w:p w14:paraId="7D1E43EE" w14:textId="77777777" w:rsidR="009E1300" w:rsidRPr="004E7DDC" w:rsidRDefault="009E1300" w:rsidP="00BB27D7">
            <w:pPr>
              <w:spacing w:after="0"/>
              <w:jc w:val="right"/>
              <w:rPr>
                <w:rFonts w:ascii="Times New Roman" w:eastAsia="Times New Roman" w:hAnsi="Times New Roman"/>
                <w:color w:val="000000"/>
              </w:rPr>
            </w:pPr>
            <w:r w:rsidRPr="004E7DDC">
              <w:rPr>
                <w:rFonts w:ascii="Times New Roman" w:eastAsia="Times New Roman" w:hAnsi="Times New Roman"/>
                <w:color w:val="000000"/>
              </w:rPr>
              <w:t>21.4%</w:t>
            </w:r>
          </w:p>
        </w:tc>
      </w:tr>
      <w:tr w:rsidR="009E1300" w:rsidRPr="004E7DDC" w14:paraId="419A2BA2" w14:textId="77777777" w:rsidTr="00FF3C4A">
        <w:trPr>
          <w:trHeight w:val="327"/>
        </w:trPr>
        <w:tc>
          <w:tcPr>
            <w:tcW w:w="3292" w:type="dxa"/>
            <w:tcBorders>
              <w:top w:val="nil"/>
              <w:left w:val="nil"/>
              <w:bottom w:val="nil"/>
              <w:right w:val="nil"/>
            </w:tcBorders>
            <w:shd w:val="clear" w:color="auto" w:fill="auto"/>
            <w:noWrap/>
            <w:vAlign w:val="center"/>
            <w:hideMark/>
          </w:tcPr>
          <w:p w14:paraId="42AC1226"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 xml:space="preserve">Total deposits </w:t>
            </w:r>
          </w:p>
        </w:tc>
        <w:tc>
          <w:tcPr>
            <w:tcW w:w="364" w:type="dxa"/>
            <w:tcBorders>
              <w:top w:val="nil"/>
              <w:left w:val="nil"/>
              <w:bottom w:val="nil"/>
              <w:right w:val="nil"/>
            </w:tcBorders>
            <w:shd w:val="clear" w:color="auto" w:fill="auto"/>
            <w:noWrap/>
            <w:vAlign w:val="bottom"/>
            <w:hideMark/>
          </w:tcPr>
          <w:p w14:paraId="5E410C6D"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center"/>
            <w:hideMark/>
          </w:tcPr>
          <w:p w14:paraId="00869C86"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7,573.4</w:t>
            </w:r>
          </w:p>
        </w:tc>
        <w:tc>
          <w:tcPr>
            <w:tcW w:w="364" w:type="dxa"/>
            <w:tcBorders>
              <w:top w:val="nil"/>
              <w:left w:val="nil"/>
              <w:bottom w:val="nil"/>
              <w:right w:val="nil"/>
            </w:tcBorders>
            <w:shd w:val="clear" w:color="auto" w:fill="auto"/>
            <w:noWrap/>
            <w:vAlign w:val="bottom"/>
            <w:hideMark/>
          </w:tcPr>
          <w:p w14:paraId="472F7BDF" w14:textId="77777777" w:rsidR="009E1300" w:rsidRPr="004E7DDC" w:rsidRDefault="009E1300" w:rsidP="00BB27D7">
            <w:pPr>
              <w:spacing w:after="0"/>
              <w:jc w:val="right"/>
              <w:rPr>
                <w:rFonts w:ascii="Times New Roman" w:eastAsia="Times New Roman" w:hAnsi="Times New Roman"/>
              </w:rPr>
            </w:pPr>
          </w:p>
        </w:tc>
        <w:tc>
          <w:tcPr>
            <w:tcW w:w="2037" w:type="dxa"/>
            <w:tcBorders>
              <w:top w:val="nil"/>
              <w:left w:val="nil"/>
              <w:bottom w:val="nil"/>
              <w:right w:val="nil"/>
            </w:tcBorders>
            <w:shd w:val="clear" w:color="auto" w:fill="auto"/>
            <w:noWrap/>
            <w:vAlign w:val="center"/>
            <w:hideMark/>
          </w:tcPr>
          <w:p w14:paraId="03B006E3"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1,535.0</w:t>
            </w:r>
          </w:p>
        </w:tc>
        <w:tc>
          <w:tcPr>
            <w:tcW w:w="364" w:type="dxa"/>
            <w:tcBorders>
              <w:top w:val="nil"/>
              <w:left w:val="nil"/>
              <w:bottom w:val="nil"/>
              <w:right w:val="nil"/>
            </w:tcBorders>
            <w:shd w:val="clear" w:color="auto" w:fill="auto"/>
            <w:noWrap/>
            <w:vAlign w:val="bottom"/>
            <w:hideMark/>
          </w:tcPr>
          <w:p w14:paraId="1304EE7C" w14:textId="77777777" w:rsidR="009E1300" w:rsidRPr="004E7DDC" w:rsidRDefault="009E1300" w:rsidP="00BB27D7">
            <w:pPr>
              <w:spacing w:after="0"/>
              <w:jc w:val="right"/>
              <w:rPr>
                <w:rFonts w:ascii="Times New Roman" w:eastAsia="Times New Roman" w:hAnsi="Times New Roman"/>
              </w:rPr>
            </w:pPr>
          </w:p>
        </w:tc>
        <w:tc>
          <w:tcPr>
            <w:tcW w:w="1200" w:type="dxa"/>
            <w:tcBorders>
              <w:top w:val="nil"/>
              <w:left w:val="nil"/>
              <w:bottom w:val="nil"/>
              <w:right w:val="nil"/>
            </w:tcBorders>
            <w:shd w:val="clear" w:color="auto" w:fill="auto"/>
            <w:noWrap/>
            <w:vAlign w:val="center"/>
            <w:hideMark/>
          </w:tcPr>
          <w:p w14:paraId="3F3DD17B" w14:textId="77777777" w:rsidR="009E1300" w:rsidRPr="004E7DDC" w:rsidRDefault="009E1300" w:rsidP="00BB27D7">
            <w:pPr>
              <w:spacing w:after="0"/>
              <w:jc w:val="right"/>
              <w:rPr>
                <w:rFonts w:ascii="Times New Roman" w:eastAsia="Times New Roman" w:hAnsi="Times New Roman"/>
                <w:color w:val="000000"/>
              </w:rPr>
            </w:pPr>
            <w:r w:rsidRPr="004E7DDC">
              <w:rPr>
                <w:rFonts w:ascii="Times New Roman" w:eastAsia="Times New Roman" w:hAnsi="Times New Roman"/>
                <w:color w:val="000000"/>
              </w:rPr>
              <w:t>20.</w:t>
            </w:r>
            <w:r>
              <w:rPr>
                <w:rFonts w:ascii="Times New Roman" w:eastAsia="Times New Roman" w:hAnsi="Times New Roman"/>
                <w:color w:val="000000"/>
              </w:rPr>
              <w:t>1</w:t>
            </w:r>
            <w:r w:rsidRPr="004E7DDC">
              <w:rPr>
                <w:rFonts w:ascii="Times New Roman" w:eastAsia="Times New Roman" w:hAnsi="Times New Roman"/>
                <w:color w:val="000000"/>
              </w:rPr>
              <w:t>%</w:t>
            </w:r>
          </w:p>
        </w:tc>
      </w:tr>
      <w:tr w:rsidR="009E1300" w:rsidRPr="004E7DDC" w14:paraId="12E1E055" w14:textId="77777777" w:rsidTr="00FF3C4A">
        <w:trPr>
          <w:trHeight w:val="327"/>
        </w:trPr>
        <w:tc>
          <w:tcPr>
            <w:tcW w:w="3292" w:type="dxa"/>
            <w:tcBorders>
              <w:top w:val="nil"/>
              <w:left w:val="nil"/>
              <w:bottom w:val="nil"/>
              <w:right w:val="nil"/>
            </w:tcBorders>
            <w:shd w:val="clear" w:color="auto" w:fill="auto"/>
            <w:noWrap/>
            <w:vAlign w:val="center"/>
            <w:hideMark/>
          </w:tcPr>
          <w:p w14:paraId="5288B86C"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Loans growth-retail</w:t>
            </w:r>
          </w:p>
        </w:tc>
        <w:tc>
          <w:tcPr>
            <w:tcW w:w="364" w:type="dxa"/>
            <w:tcBorders>
              <w:top w:val="nil"/>
              <w:left w:val="nil"/>
              <w:bottom w:val="nil"/>
              <w:right w:val="nil"/>
            </w:tcBorders>
            <w:shd w:val="clear" w:color="auto" w:fill="auto"/>
            <w:noWrap/>
            <w:vAlign w:val="center"/>
            <w:hideMark/>
          </w:tcPr>
          <w:p w14:paraId="6217E784"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center"/>
            <w:hideMark/>
          </w:tcPr>
          <w:p w14:paraId="4A199C74" w14:textId="77777777" w:rsidR="009E1300" w:rsidRPr="004E7DDC" w:rsidRDefault="009E1300" w:rsidP="00BB27D7">
            <w:pPr>
              <w:spacing w:after="0"/>
              <w:jc w:val="right"/>
              <w:rPr>
                <w:rFonts w:ascii="Times New Roman" w:eastAsia="Times New Roman" w:hAnsi="Times New Roman"/>
                <w:sz w:val="20"/>
                <w:szCs w:val="20"/>
              </w:rPr>
            </w:pPr>
            <w:r w:rsidRPr="004E7DDC">
              <w:rPr>
                <w:rFonts w:ascii="Times New Roman" w:eastAsia="Times New Roman" w:hAnsi="Times New Roman"/>
                <w:sz w:val="20"/>
                <w:szCs w:val="20"/>
              </w:rPr>
              <w:t>7.5%</w:t>
            </w:r>
          </w:p>
        </w:tc>
        <w:tc>
          <w:tcPr>
            <w:tcW w:w="364" w:type="dxa"/>
            <w:tcBorders>
              <w:top w:val="nil"/>
              <w:left w:val="nil"/>
              <w:bottom w:val="nil"/>
              <w:right w:val="nil"/>
            </w:tcBorders>
            <w:shd w:val="clear" w:color="auto" w:fill="auto"/>
            <w:noWrap/>
            <w:vAlign w:val="center"/>
            <w:hideMark/>
          </w:tcPr>
          <w:p w14:paraId="5393DE63" w14:textId="77777777" w:rsidR="009E1300" w:rsidRPr="004E7DDC" w:rsidRDefault="009E1300" w:rsidP="00BB27D7">
            <w:pPr>
              <w:spacing w:after="0"/>
              <w:jc w:val="right"/>
              <w:rPr>
                <w:rFonts w:ascii="Times New Roman" w:eastAsia="Times New Roman" w:hAnsi="Times New Roman"/>
                <w:sz w:val="20"/>
                <w:szCs w:val="20"/>
              </w:rPr>
            </w:pPr>
          </w:p>
        </w:tc>
        <w:tc>
          <w:tcPr>
            <w:tcW w:w="2037" w:type="dxa"/>
            <w:tcBorders>
              <w:top w:val="nil"/>
              <w:left w:val="nil"/>
              <w:bottom w:val="nil"/>
              <w:right w:val="nil"/>
            </w:tcBorders>
            <w:shd w:val="clear" w:color="auto" w:fill="auto"/>
            <w:noWrap/>
            <w:vAlign w:val="center"/>
            <w:hideMark/>
          </w:tcPr>
          <w:p w14:paraId="6AC76A68" w14:textId="77777777" w:rsidR="009E1300" w:rsidRPr="004E7DDC" w:rsidRDefault="009E1300" w:rsidP="00BB27D7">
            <w:pPr>
              <w:spacing w:after="0"/>
              <w:jc w:val="right"/>
              <w:rPr>
                <w:rFonts w:ascii="Times New Roman" w:eastAsia="Times New Roman" w:hAnsi="Times New Roman"/>
              </w:rPr>
            </w:pPr>
            <w:r>
              <w:rPr>
                <w:rFonts w:ascii="Times New Roman" w:eastAsia="Times New Roman" w:hAnsi="Times New Roman"/>
              </w:rPr>
              <w:t>6.8</w:t>
            </w:r>
            <w:r w:rsidRPr="004E7DDC">
              <w:rPr>
                <w:rFonts w:ascii="Times New Roman" w:eastAsia="Times New Roman" w:hAnsi="Times New Roman"/>
              </w:rPr>
              <w:t>%</w:t>
            </w:r>
          </w:p>
        </w:tc>
        <w:tc>
          <w:tcPr>
            <w:tcW w:w="364" w:type="dxa"/>
            <w:tcBorders>
              <w:top w:val="nil"/>
              <w:left w:val="nil"/>
              <w:bottom w:val="nil"/>
              <w:right w:val="nil"/>
            </w:tcBorders>
            <w:shd w:val="clear" w:color="auto" w:fill="auto"/>
            <w:noWrap/>
            <w:vAlign w:val="center"/>
            <w:hideMark/>
          </w:tcPr>
          <w:p w14:paraId="7F4A0DF1" w14:textId="77777777" w:rsidR="009E1300" w:rsidRPr="004E7DDC" w:rsidRDefault="009E1300" w:rsidP="00BB27D7">
            <w:pPr>
              <w:spacing w:after="0"/>
              <w:jc w:val="right"/>
              <w:rPr>
                <w:rFonts w:ascii="Times New Roman" w:eastAsia="Times New Roman" w:hAnsi="Times New Roman"/>
              </w:rPr>
            </w:pPr>
          </w:p>
        </w:tc>
        <w:tc>
          <w:tcPr>
            <w:tcW w:w="1200" w:type="dxa"/>
            <w:tcBorders>
              <w:top w:val="nil"/>
              <w:left w:val="nil"/>
              <w:bottom w:val="nil"/>
              <w:right w:val="nil"/>
            </w:tcBorders>
            <w:shd w:val="clear" w:color="auto" w:fill="auto"/>
            <w:noWrap/>
            <w:vAlign w:val="bottom"/>
            <w:hideMark/>
          </w:tcPr>
          <w:p w14:paraId="5705C19F" w14:textId="77777777" w:rsidR="009E1300" w:rsidRPr="004E7DDC" w:rsidRDefault="009E1300" w:rsidP="00BB27D7">
            <w:pPr>
              <w:spacing w:after="0"/>
              <w:rPr>
                <w:rFonts w:ascii="Times New Roman" w:eastAsia="Times New Roman" w:hAnsi="Times New Roman"/>
                <w:sz w:val="20"/>
                <w:szCs w:val="20"/>
              </w:rPr>
            </w:pPr>
          </w:p>
        </w:tc>
      </w:tr>
      <w:tr w:rsidR="009E1300" w:rsidRPr="004E7DDC" w14:paraId="2B575EB4" w14:textId="77777777" w:rsidTr="00FF3C4A">
        <w:trPr>
          <w:trHeight w:val="327"/>
        </w:trPr>
        <w:tc>
          <w:tcPr>
            <w:tcW w:w="3292" w:type="dxa"/>
            <w:tcBorders>
              <w:top w:val="nil"/>
              <w:left w:val="nil"/>
              <w:bottom w:val="nil"/>
              <w:right w:val="nil"/>
            </w:tcBorders>
            <w:shd w:val="clear" w:color="auto" w:fill="auto"/>
            <w:noWrap/>
            <w:vAlign w:val="center"/>
            <w:hideMark/>
          </w:tcPr>
          <w:p w14:paraId="7E67E21C"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Loans growth-corporate</w:t>
            </w:r>
          </w:p>
        </w:tc>
        <w:tc>
          <w:tcPr>
            <w:tcW w:w="364" w:type="dxa"/>
            <w:tcBorders>
              <w:top w:val="nil"/>
              <w:left w:val="nil"/>
              <w:bottom w:val="nil"/>
              <w:right w:val="nil"/>
            </w:tcBorders>
            <w:shd w:val="clear" w:color="auto" w:fill="auto"/>
            <w:noWrap/>
            <w:vAlign w:val="center"/>
            <w:hideMark/>
          </w:tcPr>
          <w:p w14:paraId="725A4614"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center"/>
            <w:hideMark/>
          </w:tcPr>
          <w:p w14:paraId="0C3F5B7D" w14:textId="77777777" w:rsidR="009E1300" w:rsidRPr="004E7DDC" w:rsidRDefault="009E1300" w:rsidP="00BB27D7">
            <w:pPr>
              <w:spacing w:after="0"/>
              <w:jc w:val="right"/>
              <w:rPr>
                <w:rFonts w:ascii="Times New Roman" w:eastAsia="Times New Roman" w:hAnsi="Times New Roman"/>
                <w:sz w:val="20"/>
                <w:szCs w:val="20"/>
              </w:rPr>
            </w:pPr>
            <w:r w:rsidRPr="004E7DDC">
              <w:rPr>
                <w:rFonts w:ascii="Times New Roman" w:eastAsia="Times New Roman" w:hAnsi="Times New Roman"/>
                <w:sz w:val="20"/>
                <w:szCs w:val="20"/>
              </w:rPr>
              <w:t>11.4%</w:t>
            </w:r>
          </w:p>
        </w:tc>
        <w:tc>
          <w:tcPr>
            <w:tcW w:w="364" w:type="dxa"/>
            <w:tcBorders>
              <w:top w:val="nil"/>
              <w:left w:val="nil"/>
              <w:bottom w:val="nil"/>
              <w:right w:val="nil"/>
            </w:tcBorders>
            <w:shd w:val="clear" w:color="auto" w:fill="auto"/>
            <w:noWrap/>
            <w:vAlign w:val="center"/>
            <w:hideMark/>
          </w:tcPr>
          <w:p w14:paraId="75A58560" w14:textId="77777777" w:rsidR="009E1300" w:rsidRPr="004E7DDC" w:rsidRDefault="009E1300" w:rsidP="00BB27D7">
            <w:pPr>
              <w:spacing w:after="0"/>
              <w:jc w:val="right"/>
              <w:rPr>
                <w:rFonts w:ascii="Times New Roman" w:eastAsia="Times New Roman" w:hAnsi="Times New Roman"/>
                <w:sz w:val="20"/>
                <w:szCs w:val="20"/>
              </w:rPr>
            </w:pPr>
          </w:p>
        </w:tc>
        <w:tc>
          <w:tcPr>
            <w:tcW w:w="2037" w:type="dxa"/>
            <w:tcBorders>
              <w:top w:val="nil"/>
              <w:left w:val="nil"/>
              <w:bottom w:val="nil"/>
              <w:right w:val="nil"/>
            </w:tcBorders>
            <w:shd w:val="clear" w:color="auto" w:fill="auto"/>
            <w:noWrap/>
            <w:vAlign w:val="center"/>
            <w:hideMark/>
          </w:tcPr>
          <w:p w14:paraId="69FAB234"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17.</w:t>
            </w:r>
            <w:r>
              <w:rPr>
                <w:rFonts w:ascii="Times New Roman" w:eastAsia="Times New Roman" w:hAnsi="Times New Roman"/>
              </w:rPr>
              <w:t>8</w:t>
            </w:r>
            <w:r w:rsidRPr="004E7DDC">
              <w:rPr>
                <w:rFonts w:ascii="Times New Roman" w:eastAsia="Times New Roman" w:hAnsi="Times New Roman"/>
              </w:rPr>
              <w:t>%</w:t>
            </w:r>
          </w:p>
        </w:tc>
        <w:tc>
          <w:tcPr>
            <w:tcW w:w="364" w:type="dxa"/>
            <w:tcBorders>
              <w:top w:val="nil"/>
              <w:left w:val="nil"/>
              <w:bottom w:val="nil"/>
              <w:right w:val="nil"/>
            </w:tcBorders>
            <w:shd w:val="clear" w:color="auto" w:fill="auto"/>
            <w:noWrap/>
            <w:vAlign w:val="center"/>
            <w:hideMark/>
          </w:tcPr>
          <w:p w14:paraId="51935852" w14:textId="77777777" w:rsidR="009E1300" w:rsidRPr="004E7DDC" w:rsidRDefault="009E1300" w:rsidP="00BB27D7">
            <w:pPr>
              <w:spacing w:after="0"/>
              <w:jc w:val="right"/>
              <w:rPr>
                <w:rFonts w:ascii="Times New Roman" w:eastAsia="Times New Roman" w:hAnsi="Times New Roman"/>
              </w:rPr>
            </w:pPr>
          </w:p>
        </w:tc>
        <w:tc>
          <w:tcPr>
            <w:tcW w:w="1200" w:type="dxa"/>
            <w:tcBorders>
              <w:top w:val="nil"/>
              <w:left w:val="nil"/>
              <w:bottom w:val="nil"/>
              <w:right w:val="nil"/>
            </w:tcBorders>
            <w:shd w:val="clear" w:color="auto" w:fill="auto"/>
            <w:noWrap/>
            <w:vAlign w:val="bottom"/>
            <w:hideMark/>
          </w:tcPr>
          <w:p w14:paraId="1CB01D0E" w14:textId="77777777" w:rsidR="009E1300" w:rsidRPr="004E7DDC" w:rsidRDefault="009E1300" w:rsidP="00BB27D7">
            <w:pPr>
              <w:spacing w:after="0"/>
              <w:rPr>
                <w:rFonts w:ascii="Times New Roman" w:eastAsia="Times New Roman" w:hAnsi="Times New Roman"/>
                <w:sz w:val="20"/>
                <w:szCs w:val="20"/>
              </w:rPr>
            </w:pPr>
          </w:p>
        </w:tc>
      </w:tr>
      <w:tr w:rsidR="009E1300" w:rsidRPr="004E7DDC" w14:paraId="2B7E9753" w14:textId="77777777" w:rsidTr="00FF3C4A">
        <w:trPr>
          <w:trHeight w:val="327"/>
        </w:trPr>
        <w:tc>
          <w:tcPr>
            <w:tcW w:w="3292" w:type="dxa"/>
            <w:tcBorders>
              <w:top w:val="nil"/>
              <w:left w:val="nil"/>
              <w:bottom w:val="nil"/>
              <w:right w:val="nil"/>
            </w:tcBorders>
            <w:shd w:val="clear" w:color="auto" w:fill="auto"/>
            <w:noWrap/>
            <w:vAlign w:val="center"/>
            <w:hideMark/>
          </w:tcPr>
          <w:p w14:paraId="51D8F735"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Deposits growth</w:t>
            </w:r>
          </w:p>
        </w:tc>
        <w:tc>
          <w:tcPr>
            <w:tcW w:w="364" w:type="dxa"/>
            <w:tcBorders>
              <w:top w:val="nil"/>
              <w:left w:val="nil"/>
              <w:bottom w:val="nil"/>
              <w:right w:val="nil"/>
            </w:tcBorders>
            <w:shd w:val="clear" w:color="auto" w:fill="auto"/>
            <w:noWrap/>
            <w:vAlign w:val="center"/>
            <w:hideMark/>
          </w:tcPr>
          <w:p w14:paraId="0B90819A"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center"/>
            <w:hideMark/>
          </w:tcPr>
          <w:p w14:paraId="41C8A026" w14:textId="77777777" w:rsidR="009E1300" w:rsidRPr="004E7DDC" w:rsidRDefault="009E1300" w:rsidP="00BB27D7">
            <w:pPr>
              <w:spacing w:after="0"/>
              <w:jc w:val="right"/>
              <w:rPr>
                <w:rFonts w:ascii="Times New Roman" w:eastAsia="Times New Roman" w:hAnsi="Times New Roman"/>
                <w:sz w:val="20"/>
                <w:szCs w:val="20"/>
              </w:rPr>
            </w:pPr>
            <w:r w:rsidRPr="004E7DDC">
              <w:rPr>
                <w:rFonts w:ascii="Times New Roman" w:eastAsia="Times New Roman" w:hAnsi="Times New Roman"/>
                <w:sz w:val="20"/>
                <w:szCs w:val="20"/>
              </w:rPr>
              <w:t>5.1%</w:t>
            </w:r>
          </w:p>
        </w:tc>
        <w:tc>
          <w:tcPr>
            <w:tcW w:w="364" w:type="dxa"/>
            <w:tcBorders>
              <w:top w:val="nil"/>
              <w:left w:val="nil"/>
              <w:bottom w:val="nil"/>
              <w:right w:val="nil"/>
            </w:tcBorders>
            <w:shd w:val="clear" w:color="auto" w:fill="auto"/>
            <w:noWrap/>
            <w:vAlign w:val="center"/>
            <w:hideMark/>
          </w:tcPr>
          <w:p w14:paraId="48B4BC47" w14:textId="77777777" w:rsidR="009E1300" w:rsidRPr="004E7DDC" w:rsidRDefault="009E1300" w:rsidP="00BB27D7">
            <w:pPr>
              <w:spacing w:after="0"/>
              <w:jc w:val="right"/>
              <w:rPr>
                <w:rFonts w:ascii="Times New Roman" w:eastAsia="Times New Roman" w:hAnsi="Times New Roman"/>
                <w:sz w:val="20"/>
                <w:szCs w:val="20"/>
              </w:rPr>
            </w:pPr>
          </w:p>
        </w:tc>
        <w:tc>
          <w:tcPr>
            <w:tcW w:w="2037" w:type="dxa"/>
            <w:tcBorders>
              <w:top w:val="nil"/>
              <w:left w:val="nil"/>
              <w:bottom w:val="nil"/>
              <w:right w:val="nil"/>
            </w:tcBorders>
            <w:shd w:val="clear" w:color="auto" w:fill="auto"/>
            <w:noWrap/>
            <w:vAlign w:val="center"/>
            <w:hideMark/>
          </w:tcPr>
          <w:p w14:paraId="58A7CDE7" w14:textId="77777777" w:rsidR="009E1300" w:rsidRPr="004E7DDC" w:rsidRDefault="009E1300" w:rsidP="00BB27D7">
            <w:pPr>
              <w:spacing w:after="0"/>
              <w:jc w:val="right"/>
              <w:rPr>
                <w:rFonts w:ascii="Times New Roman" w:eastAsia="Times New Roman" w:hAnsi="Times New Roman"/>
              </w:rPr>
            </w:pPr>
            <w:r>
              <w:rPr>
                <w:rFonts w:ascii="Times New Roman" w:eastAsia="Times New Roman" w:hAnsi="Times New Roman"/>
              </w:rPr>
              <w:t>5.5</w:t>
            </w:r>
            <w:r w:rsidRPr="004E7DDC">
              <w:rPr>
                <w:rFonts w:ascii="Times New Roman" w:eastAsia="Times New Roman" w:hAnsi="Times New Roman"/>
              </w:rPr>
              <w:t>%</w:t>
            </w:r>
          </w:p>
        </w:tc>
        <w:tc>
          <w:tcPr>
            <w:tcW w:w="364" w:type="dxa"/>
            <w:tcBorders>
              <w:top w:val="nil"/>
              <w:left w:val="nil"/>
              <w:bottom w:val="nil"/>
              <w:right w:val="nil"/>
            </w:tcBorders>
            <w:shd w:val="clear" w:color="auto" w:fill="auto"/>
            <w:noWrap/>
            <w:vAlign w:val="center"/>
            <w:hideMark/>
          </w:tcPr>
          <w:p w14:paraId="3892F627" w14:textId="77777777" w:rsidR="009E1300" w:rsidRPr="004E7DDC" w:rsidRDefault="009E1300" w:rsidP="00BB27D7">
            <w:pPr>
              <w:spacing w:after="0"/>
              <w:jc w:val="right"/>
              <w:rPr>
                <w:rFonts w:ascii="Times New Roman" w:eastAsia="Times New Roman" w:hAnsi="Times New Roman"/>
              </w:rPr>
            </w:pPr>
          </w:p>
        </w:tc>
        <w:tc>
          <w:tcPr>
            <w:tcW w:w="1200" w:type="dxa"/>
            <w:tcBorders>
              <w:top w:val="nil"/>
              <w:left w:val="nil"/>
              <w:bottom w:val="nil"/>
              <w:right w:val="nil"/>
            </w:tcBorders>
            <w:shd w:val="clear" w:color="auto" w:fill="auto"/>
            <w:noWrap/>
            <w:vAlign w:val="bottom"/>
            <w:hideMark/>
          </w:tcPr>
          <w:p w14:paraId="78FA0AD5" w14:textId="77777777" w:rsidR="009E1300" w:rsidRPr="004E7DDC" w:rsidRDefault="009E1300" w:rsidP="00BB27D7">
            <w:pPr>
              <w:spacing w:after="0"/>
              <w:rPr>
                <w:rFonts w:ascii="Times New Roman" w:eastAsia="Times New Roman" w:hAnsi="Times New Roman"/>
                <w:sz w:val="20"/>
                <w:szCs w:val="20"/>
              </w:rPr>
            </w:pPr>
          </w:p>
        </w:tc>
      </w:tr>
      <w:tr w:rsidR="009E1300" w:rsidRPr="004E7DDC" w14:paraId="04C49D04" w14:textId="77777777" w:rsidTr="00FF3C4A">
        <w:trPr>
          <w:trHeight w:val="327"/>
        </w:trPr>
        <w:tc>
          <w:tcPr>
            <w:tcW w:w="3292" w:type="dxa"/>
            <w:tcBorders>
              <w:top w:val="nil"/>
              <w:left w:val="nil"/>
              <w:bottom w:val="nil"/>
              <w:right w:val="nil"/>
            </w:tcBorders>
            <w:shd w:val="clear" w:color="auto" w:fill="auto"/>
            <w:noWrap/>
            <w:vAlign w:val="bottom"/>
            <w:hideMark/>
          </w:tcPr>
          <w:p w14:paraId="32800E11" w14:textId="77777777" w:rsidR="009E1300" w:rsidRPr="004E7DDC" w:rsidRDefault="009E1300" w:rsidP="00BB27D7">
            <w:pPr>
              <w:spacing w:after="0"/>
              <w:rPr>
                <w:rFonts w:ascii="Times New Roman" w:eastAsia="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75A85D84" w14:textId="77777777" w:rsidR="009E1300" w:rsidRPr="004E7DDC" w:rsidRDefault="009E1300" w:rsidP="00BB27D7">
            <w:pPr>
              <w:spacing w:after="0"/>
              <w:rPr>
                <w:rFonts w:ascii="Times New Roman" w:eastAsia="Times New Roman" w:hAnsi="Times New Roman"/>
                <w:sz w:val="20"/>
                <w:szCs w:val="20"/>
              </w:rPr>
            </w:pPr>
          </w:p>
        </w:tc>
        <w:tc>
          <w:tcPr>
            <w:tcW w:w="1323" w:type="dxa"/>
            <w:tcBorders>
              <w:top w:val="nil"/>
              <w:left w:val="nil"/>
              <w:bottom w:val="nil"/>
              <w:right w:val="nil"/>
            </w:tcBorders>
            <w:shd w:val="clear" w:color="auto" w:fill="auto"/>
            <w:noWrap/>
            <w:vAlign w:val="bottom"/>
            <w:hideMark/>
          </w:tcPr>
          <w:p w14:paraId="57188BC2" w14:textId="77777777" w:rsidR="009E1300" w:rsidRPr="004E7DDC" w:rsidRDefault="009E1300" w:rsidP="00BB27D7">
            <w:pPr>
              <w:spacing w:after="0"/>
              <w:rPr>
                <w:rFonts w:ascii="Times New Roman" w:eastAsia="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63B68696" w14:textId="77777777" w:rsidR="009E1300" w:rsidRPr="004E7DDC" w:rsidRDefault="009E1300" w:rsidP="00BB27D7">
            <w:pPr>
              <w:spacing w:after="0"/>
              <w:rPr>
                <w:rFonts w:ascii="Times New Roman" w:eastAsia="Times New Roman" w:hAnsi="Times New Roman"/>
                <w:sz w:val="20"/>
                <w:szCs w:val="20"/>
              </w:rPr>
            </w:pPr>
          </w:p>
        </w:tc>
        <w:tc>
          <w:tcPr>
            <w:tcW w:w="2037" w:type="dxa"/>
            <w:tcBorders>
              <w:top w:val="nil"/>
              <w:left w:val="nil"/>
              <w:bottom w:val="nil"/>
              <w:right w:val="nil"/>
            </w:tcBorders>
            <w:shd w:val="clear" w:color="auto" w:fill="auto"/>
            <w:noWrap/>
            <w:vAlign w:val="bottom"/>
            <w:hideMark/>
          </w:tcPr>
          <w:p w14:paraId="6C562505" w14:textId="77777777" w:rsidR="009E1300" w:rsidRPr="004E7DDC" w:rsidRDefault="009E1300" w:rsidP="00BB27D7">
            <w:pPr>
              <w:spacing w:after="0"/>
              <w:rPr>
                <w:rFonts w:ascii="Times New Roman" w:eastAsia="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3FD72CAC" w14:textId="77777777" w:rsidR="009E1300" w:rsidRPr="004E7DDC" w:rsidRDefault="009E1300" w:rsidP="00BB27D7">
            <w:pPr>
              <w:spacing w:after="0"/>
              <w:rPr>
                <w:rFonts w:ascii="Times New Roman" w:eastAsia="Times New Roman" w:hAnsi="Times New Roman"/>
                <w:sz w:val="20"/>
                <w:szCs w:val="20"/>
              </w:rPr>
            </w:pPr>
          </w:p>
        </w:tc>
        <w:tc>
          <w:tcPr>
            <w:tcW w:w="1200" w:type="dxa"/>
            <w:tcBorders>
              <w:top w:val="nil"/>
              <w:left w:val="nil"/>
              <w:bottom w:val="nil"/>
              <w:right w:val="nil"/>
            </w:tcBorders>
            <w:shd w:val="clear" w:color="auto" w:fill="auto"/>
            <w:noWrap/>
            <w:vAlign w:val="bottom"/>
            <w:hideMark/>
          </w:tcPr>
          <w:p w14:paraId="3CD9A611" w14:textId="77777777" w:rsidR="009E1300" w:rsidRPr="004E7DDC" w:rsidRDefault="009E1300" w:rsidP="00BB27D7">
            <w:pPr>
              <w:spacing w:after="0"/>
              <w:rPr>
                <w:rFonts w:ascii="Times New Roman" w:eastAsia="Times New Roman" w:hAnsi="Times New Roman"/>
                <w:sz w:val="20"/>
                <w:szCs w:val="20"/>
              </w:rPr>
            </w:pPr>
          </w:p>
        </w:tc>
      </w:tr>
      <w:tr w:rsidR="009E1300" w:rsidRPr="004E7DDC" w14:paraId="46409E86" w14:textId="77777777" w:rsidTr="00FF3C4A">
        <w:trPr>
          <w:trHeight w:val="327"/>
        </w:trPr>
        <w:tc>
          <w:tcPr>
            <w:tcW w:w="3292" w:type="dxa"/>
            <w:tcBorders>
              <w:top w:val="nil"/>
              <w:left w:val="nil"/>
              <w:bottom w:val="nil"/>
              <w:right w:val="nil"/>
            </w:tcBorders>
            <w:shd w:val="clear" w:color="auto" w:fill="auto"/>
            <w:noWrap/>
            <w:vAlign w:val="center"/>
            <w:hideMark/>
          </w:tcPr>
          <w:p w14:paraId="05C856D5"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ROA</w:t>
            </w:r>
          </w:p>
        </w:tc>
        <w:tc>
          <w:tcPr>
            <w:tcW w:w="364" w:type="dxa"/>
            <w:tcBorders>
              <w:top w:val="nil"/>
              <w:left w:val="nil"/>
              <w:bottom w:val="nil"/>
              <w:right w:val="nil"/>
            </w:tcBorders>
            <w:shd w:val="clear" w:color="auto" w:fill="auto"/>
            <w:noWrap/>
            <w:vAlign w:val="bottom"/>
            <w:hideMark/>
          </w:tcPr>
          <w:p w14:paraId="71B7DB94"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center"/>
            <w:hideMark/>
          </w:tcPr>
          <w:p w14:paraId="356FB16E"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1.5%</w:t>
            </w:r>
          </w:p>
        </w:tc>
        <w:tc>
          <w:tcPr>
            <w:tcW w:w="364" w:type="dxa"/>
            <w:tcBorders>
              <w:top w:val="nil"/>
              <w:left w:val="nil"/>
              <w:bottom w:val="nil"/>
              <w:right w:val="nil"/>
            </w:tcBorders>
            <w:shd w:val="clear" w:color="auto" w:fill="auto"/>
            <w:noWrap/>
            <w:vAlign w:val="bottom"/>
            <w:hideMark/>
          </w:tcPr>
          <w:p w14:paraId="18F69BC2" w14:textId="77777777" w:rsidR="009E1300" w:rsidRPr="004E7DDC" w:rsidRDefault="009E1300" w:rsidP="00BB27D7">
            <w:pPr>
              <w:spacing w:after="0"/>
              <w:jc w:val="right"/>
              <w:rPr>
                <w:rFonts w:ascii="Times New Roman" w:eastAsia="Times New Roman" w:hAnsi="Times New Roman"/>
              </w:rPr>
            </w:pPr>
          </w:p>
        </w:tc>
        <w:tc>
          <w:tcPr>
            <w:tcW w:w="2037" w:type="dxa"/>
            <w:tcBorders>
              <w:top w:val="nil"/>
              <w:left w:val="nil"/>
              <w:bottom w:val="nil"/>
              <w:right w:val="nil"/>
            </w:tcBorders>
            <w:shd w:val="clear" w:color="auto" w:fill="auto"/>
            <w:noWrap/>
            <w:vAlign w:val="center"/>
            <w:hideMark/>
          </w:tcPr>
          <w:p w14:paraId="47C2304D"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2.0%</w:t>
            </w:r>
          </w:p>
        </w:tc>
        <w:tc>
          <w:tcPr>
            <w:tcW w:w="364" w:type="dxa"/>
            <w:tcBorders>
              <w:top w:val="nil"/>
              <w:left w:val="nil"/>
              <w:bottom w:val="nil"/>
              <w:right w:val="nil"/>
            </w:tcBorders>
            <w:shd w:val="clear" w:color="auto" w:fill="auto"/>
            <w:noWrap/>
            <w:vAlign w:val="bottom"/>
            <w:hideMark/>
          </w:tcPr>
          <w:p w14:paraId="7FC3D71B" w14:textId="77777777" w:rsidR="009E1300" w:rsidRPr="004E7DDC" w:rsidRDefault="009E1300" w:rsidP="00BB27D7">
            <w:pPr>
              <w:spacing w:after="0"/>
              <w:jc w:val="right"/>
              <w:rPr>
                <w:rFonts w:ascii="Times New Roman" w:eastAsia="Times New Roman" w:hAnsi="Times New Roman"/>
              </w:rPr>
            </w:pPr>
          </w:p>
        </w:tc>
        <w:tc>
          <w:tcPr>
            <w:tcW w:w="1200" w:type="dxa"/>
            <w:tcBorders>
              <w:top w:val="nil"/>
              <w:left w:val="nil"/>
              <w:bottom w:val="nil"/>
              <w:right w:val="nil"/>
            </w:tcBorders>
            <w:shd w:val="clear" w:color="auto" w:fill="auto"/>
            <w:noWrap/>
            <w:vAlign w:val="bottom"/>
            <w:hideMark/>
          </w:tcPr>
          <w:p w14:paraId="17201E8C" w14:textId="77777777" w:rsidR="009E1300" w:rsidRPr="004E7DDC" w:rsidRDefault="009E1300" w:rsidP="00BB27D7">
            <w:pPr>
              <w:spacing w:after="0"/>
              <w:rPr>
                <w:rFonts w:ascii="Times New Roman" w:eastAsia="Times New Roman" w:hAnsi="Times New Roman"/>
                <w:sz w:val="20"/>
                <w:szCs w:val="20"/>
              </w:rPr>
            </w:pPr>
          </w:p>
        </w:tc>
      </w:tr>
      <w:tr w:rsidR="009E1300" w:rsidRPr="004E7DDC" w14:paraId="071392F7" w14:textId="77777777" w:rsidTr="00FF3C4A">
        <w:trPr>
          <w:trHeight w:val="327"/>
        </w:trPr>
        <w:tc>
          <w:tcPr>
            <w:tcW w:w="3292" w:type="dxa"/>
            <w:tcBorders>
              <w:top w:val="nil"/>
              <w:left w:val="nil"/>
              <w:bottom w:val="nil"/>
              <w:right w:val="nil"/>
            </w:tcBorders>
            <w:shd w:val="clear" w:color="auto" w:fill="auto"/>
            <w:noWrap/>
            <w:vAlign w:val="center"/>
            <w:hideMark/>
          </w:tcPr>
          <w:p w14:paraId="380E6754"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ROE</w:t>
            </w:r>
          </w:p>
        </w:tc>
        <w:tc>
          <w:tcPr>
            <w:tcW w:w="364" w:type="dxa"/>
            <w:tcBorders>
              <w:top w:val="nil"/>
              <w:left w:val="nil"/>
              <w:bottom w:val="nil"/>
              <w:right w:val="nil"/>
            </w:tcBorders>
            <w:shd w:val="clear" w:color="auto" w:fill="auto"/>
            <w:noWrap/>
            <w:vAlign w:val="bottom"/>
            <w:hideMark/>
          </w:tcPr>
          <w:p w14:paraId="1B9EC388"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center"/>
            <w:hideMark/>
          </w:tcPr>
          <w:p w14:paraId="34BFECDB"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12.2%</w:t>
            </w:r>
          </w:p>
        </w:tc>
        <w:tc>
          <w:tcPr>
            <w:tcW w:w="364" w:type="dxa"/>
            <w:tcBorders>
              <w:top w:val="nil"/>
              <w:left w:val="nil"/>
              <w:bottom w:val="nil"/>
              <w:right w:val="nil"/>
            </w:tcBorders>
            <w:shd w:val="clear" w:color="auto" w:fill="auto"/>
            <w:noWrap/>
            <w:vAlign w:val="bottom"/>
            <w:hideMark/>
          </w:tcPr>
          <w:p w14:paraId="41EE6D18" w14:textId="77777777" w:rsidR="009E1300" w:rsidRPr="004E7DDC" w:rsidRDefault="009E1300" w:rsidP="00BB27D7">
            <w:pPr>
              <w:spacing w:after="0"/>
              <w:jc w:val="right"/>
              <w:rPr>
                <w:rFonts w:ascii="Times New Roman" w:eastAsia="Times New Roman" w:hAnsi="Times New Roman"/>
              </w:rPr>
            </w:pPr>
          </w:p>
        </w:tc>
        <w:tc>
          <w:tcPr>
            <w:tcW w:w="2037" w:type="dxa"/>
            <w:tcBorders>
              <w:top w:val="nil"/>
              <w:left w:val="nil"/>
              <w:bottom w:val="nil"/>
              <w:right w:val="nil"/>
            </w:tcBorders>
            <w:shd w:val="clear" w:color="auto" w:fill="auto"/>
            <w:noWrap/>
            <w:vAlign w:val="center"/>
            <w:hideMark/>
          </w:tcPr>
          <w:p w14:paraId="72DBFBE5"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11.3%</w:t>
            </w:r>
          </w:p>
        </w:tc>
        <w:tc>
          <w:tcPr>
            <w:tcW w:w="364" w:type="dxa"/>
            <w:tcBorders>
              <w:top w:val="nil"/>
              <w:left w:val="nil"/>
              <w:bottom w:val="nil"/>
              <w:right w:val="nil"/>
            </w:tcBorders>
            <w:shd w:val="clear" w:color="auto" w:fill="auto"/>
            <w:noWrap/>
            <w:vAlign w:val="bottom"/>
            <w:hideMark/>
          </w:tcPr>
          <w:p w14:paraId="7C5B79A6" w14:textId="77777777" w:rsidR="009E1300" w:rsidRPr="004E7DDC" w:rsidRDefault="009E1300" w:rsidP="00BB27D7">
            <w:pPr>
              <w:spacing w:after="0"/>
              <w:jc w:val="right"/>
              <w:rPr>
                <w:rFonts w:ascii="Times New Roman" w:eastAsia="Times New Roman" w:hAnsi="Times New Roman"/>
              </w:rPr>
            </w:pPr>
          </w:p>
        </w:tc>
        <w:tc>
          <w:tcPr>
            <w:tcW w:w="1200" w:type="dxa"/>
            <w:tcBorders>
              <w:top w:val="nil"/>
              <w:left w:val="nil"/>
              <w:bottom w:val="nil"/>
              <w:right w:val="nil"/>
            </w:tcBorders>
            <w:shd w:val="clear" w:color="auto" w:fill="auto"/>
            <w:noWrap/>
            <w:vAlign w:val="bottom"/>
            <w:hideMark/>
          </w:tcPr>
          <w:p w14:paraId="5C56C013" w14:textId="77777777" w:rsidR="009E1300" w:rsidRPr="004E7DDC" w:rsidRDefault="009E1300" w:rsidP="00BB27D7">
            <w:pPr>
              <w:spacing w:after="0"/>
              <w:rPr>
                <w:rFonts w:ascii="Times New Roman" w:eastAsia="Times New Roman" w:hAnsi="Times New Roman"/>
                <w:sz w:val="20"/>
                <w:szCs w:val="20"/>
              </w:rPr>
            </w:pPr>
          </w:p>
        </w:tc>
      </w:tr>
      <w:tr w:rsidR="009E1300" w:rsidRPr="004E7DDC" w14:paraId="1C2E3B23" w14:textId="77777777" w:rsidTr="00FF3C4A">
        <w:trPr>
          <w:trHeight w:val="327"/>
        </w:trPr>
        <w:tc>
          <w:tcPr>
            <w:tcW w:w="3292" w:type="dxa"/>
            <w:tcBorders>
              <w:top w:val="nil"/>
              <w:left w:val="nil"/>
              <w:bottom w:val="nil"/>
              <w:right w:val="nil"/>
            </w:tcBorders>
            <w:shd w:val="clear" w:color="auto" w:fill="auto"/>
            <w:noWrap/>
            <w:vAlign w:val="center"/>
            <w:hideMark/>
          </w:tcPr>
          <w:p w14:paraId="14F9BD17"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C</w:t>
            </w:r>
            <w:proofErr w:type="gramStart"/>
            <w:r w:rsidRPr="004E7DDC">
              <w:rPr>
                <w:rFonts w:ascii="Times New Roman" w:eastAsia="Times New Roman" w:hAnsi="Times New Roman"/>
                <w:color w:val="000000"/>
              </w:rPr>
              <w:t>:I</w:t>
            </w:r>
            <w:proofErr w:type="gramEnd"/>
            <w:r w:rsidRPr="004E7DDC">
              <w:rPr>
                <w:rFonts w:ascii="Times New Roman" w:eastAsia="Times New Roman" w:hAnsi="Times New Roman"/>
                <w:color w:val="000000"/>
              </w:rPr>
              <w:t xml:space="preserve"> </w:t>
            </w:r>
          </w:p>
        </w:tc>
        <w:tc>
          <w:tcPr>
            <w:tcW w:w="364" w:type="dxa"/>
            <w:tcBorders>
              <w:top w:val="nil"/>
              <w:left w:val="nil"/>
              <w:bottom w:val="nil"/>
              <w:right w:val="nil"/>
            </w:tcBorders>
            <w:shd w:val="clear" w:color="auto" w:fill="auto"/>
            <w:noWrap/>
            <w:vAlign w:val="bottom"/>
            <w:hideMark/>
          </w:tcPr>
          <w:p w14:paraId="4BD7C70A"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center"/>
            <w:hideMark/>
          </w:tcPr>
          <w:p w14:paraId="2FFBA080"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47.8%</w:t>
            </w:r>
          </w:p>
        </w:tc>
        <w:tc>
          <w:tcPr>
            <w:tcW w:w="364" w:type="dxa"/>
            <w:tcBorders>
              <w:top w:val="nil"/>
              <w:left w:val="nil"/>
              <w:bottom w:val="nil"/>
              <w:right w:val="nil"/>
            </w:tcBorders>
            <w:shd w:val="clear" w:color="auto" w:fill="auto"/>
            <w:noWrap/>
            <w:vAlign w:val="bottom"/>
            <w:hideMark/>
          </w:tcPr>
          <w:p w14:paraId="63492E7B" w14:textId="77777777" w:rsidR="009E1300" w:rsidRPr="004E7DDC" w:rsidRDefault="009E1300" w:rsidP="00BB27D7">
            <w:pPr>
              <w:spacing w:after="0"/>
              <w:jc w:val="right"/>
              <w:rPr>
                <w:rFonts w:ascii="Times New Roman" w:eastAsia="Times New Roman" w:hAnsi="Times New Roman"/>
              </w:rPr>
            </w:pPr>
          </w:p>
        </w:tc>
        <w:tc>
          <w:tcPr>
            <w:tcW w:w="2037" w:type="dxa"/>
            <w:tcBorders>
              <w:top w:val="nil"/>
              <w:left w:val="nil"/>
              <w:bottom w:val="nil"/>
              <w:right w:val="nil"/>
            </w:tcBorders>
            <w:shd w:val="clear" w:color="auto" w:fill="auto"/>
            <w:noWrap/>
            <w:vAlign w:val="center"/>
            <w:hideMark/>
          </w:tcPr>
          <w:p w14:paraId="098918AD"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33.8%</w:t>
            </w:r>
          </w:p>
        </w:tc>
        <w:tc>
          <w:tcPr>
            <w:tcW w:w="364" w:type="dxa"/>
            <w:tcBorders>
              <w:top w:val="nil"/>
              <w:left w:val="nil"/>
              <w:bottom w:val="nil"/>
              <w:right w:val="nil"/>
            </w:tcBorders>
            <w:shd w:val="clear" w:color="auto" w:fill="auto"/>
            <w:noWrap/>
            <w:vAlign w:val="bottom"/>
            <w:hideMark/>
          </w:tcPr>
          <w:p w14:paraId="6B845F37" w14:textId="77777777" w:rsidR="009E1300" w:rsidRPr="004E7DDC" w:rsidRDefault="009E1300" w:rsidP="00BB27D7">
            <w:pPr>
              <w:spacing w:after="0"/>
              <w:jc w:val="right"/>
              <w:rPr>
                <w:rFonts w:ascii="Times New Roman" w:eastAsia="Times New Roman" w:hAnsi="Times New Roman"/>
              </w:rPr>
            </w:pPr>
          </w:p>
        </w:tc>
        <w:tc>
          <w:tcPr>
            <w:tcW w:w="1200" w:type="dxa"/>
            <w:tcBorders>
              <w:top w:val="nil"/>
              <w:left w:val="nil"/>
              <w:bottom w:val="nil"/>
              <w:right w:val="nil"/>
            </w:tcBorders>
            <w:shd w:val="clear" w:color="auto" w:fill="auto"/>
            <w:noWrap/>
            <w:vAlign w:val="bottom"/>
            <w:hideMark/>
          </w:tcPr>
          <w:p w14:paraId="5045ADED" w14:textId="77777777" w:rsidR="009E1300" w:rsidRPr="004E7DDC" w:rsidRDefault="009E1300" w:rsidP="00BB27D7">
            <w:pPr>
              <w:spacing w:after="0"/>
              <w:rPr>
                <w:rFonts w:ascii="Times New Roman" w:eastAsia="Times New Roman" w:hAnsi="Times New Roman"/>
                <w:sz w:val="20"/>
                <w:szCs w:val="20"/>
              </w:rPr>
            </w:pPr>
          </w:p>
        </w:tc>
      </w:tr>
      <w:tr w:rsidR="009E1300" w:rsidRPr="004E7DDC" w14:paraId="23382D0C" w14:textId="77777777" w:rsidTr="00FF3C4A">
        <w:trPr>
          <w:trHeight w:val="327"/>
        </w:trPr>
        <w:tc>
          <w:tcPr>
            <w:tcW w:w="3292" w:type="dxa"/>
            <w:tcBorders>
              <w:top w:val="nil"/>
              <w:left w:val="nil"/>
              <w:bottom w:val="nil"/>
              <w:right w:val="nil"/>
            </w:tcBorders>
            <w:shd w:val="clear" w:color="auto" w:fill="auto"/>
            <w:noWrap/>
            <w:vAlign w:val="center"/>
            <w:hideMark/>
          </w:tcPr>
          <w:p w14:paraId="349F5F9E"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NIM</w:t>
            </w:r>
          </w:p>
        </w:tc>
        <w:tc>
          <w:tcPr>
            <w:tcW w:w="364" w:type="dxa"/>
            <w:tcBorders>
              <w:top w:val="nil"/>
              <w:left w:val="nil"/>
              <w:bottom w:val="nil"/>
              <w:right w:val="nil"/>
            </w:tcBorders>
            <w:shd w:val="clear" w:color="auto" w:fill="auto"/>
            <w:noWrap/>
            <w:vAlign w:val="bottom"/>
            <w:hideMark/>
          </w:tcPr>
          <w:p w14:paraId="61240930"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center"/>
            <w:hideMark/>
          </w:tcPr>
          <w:p w14:paraId="3E8159A5"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2.7%</w:t>
            </w:r>
          </w:p>
        </w:tc>
        <w:tc>
          <w:tcPr>
            <w:tcW w:w="364" w:type="dxa"/>
            <w:tcBorders>
              <w:top w:val="nil"/>
              <w:left w:val="nil"/>
              <w:bottom w:val="nil"/>
              <w:right w:val="nil"/>
            </w:tcBorders>
            <w:shd w:val="clear" w:color="auto" w:fill="auto"/>
            <w:noWrap/>
            <w:vAlign w:val="bottom"/>
            <w:hideMark/>
          </w:tcPr>
          <w:p w14:paraId="0358D54E" w14:textId="77777777" w:rsidR="009E1300" w:rsidRPr="004E7DDC" w:rsidRDefault="009E1300" w:rsidP="00BB27D7">
            <w:pPr>
              <w:spacing w:after="0"/>
              <w:jc w:val="right"/>
              <w:rPr>
                <w:rFonts w:ascii="Times New Roman" w:eastAsia="Times New Roman" w:hAnsi="Times New Roman"/>
              </w:rPr>
            </w:pPr>
          </w:p>
        </w:tc>
        <w:tc>
          <w:tcPr>
            <w:tcW w:w="2037" w:type="dxa"/>
            <w:tcBorders>
              <w:top w:val="nil"/>
              <w:left w:val="nil"/>
              <w:bottom w:val="nil"/>
              <w:right w:val="nil"/>
            </w:tcBorders>
            <w:shd w:val="clear" w:color="auto" w:fill="auto"/>
            <w:noWrap/>
            <w:vAlign w:val="center"/>
            <w:hideMark/>
          </w:tcPr>
          <w:p w14:paraId="01FBB3F5"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4.1%</w:t>
            </w:r>
          </w:p>
        </w:tc>
        <w:tc>
          <w:tcPr>
            <w:tcW w:w="364" w:type="dxa"/>
            <w:tcBorders>
              <w:top w:val="nil"/>
              <w:left w:val="nil"/>
              <w:bottom w:val="nil"/>
              <w:right w:val="nil"/>
            </w:tcBorders>
            <w:shd w:val="clear" w:color="auto" w:fill="auto"/>
            <w:noWrap/>
            <w:vAlign w:val="bottom"/>
            <w:hideMark/>
          </w:tcPr>
          <w:p w14:paraId="30336E55" w14:textId="77777777" w:rsidR="009E1300" w:rsidRPr="004E7DDC" w:rsidRDefault="009E1300" w:rsidP="00BB27D7">
            <w:pPr>
              <w:spacing w:after="0"/>
              <w:jc w:val="right"/>
              <w:rPr>
                <w:rFonts w:ascii="Times New Roman" w:eastAsia="Times New Roman" w:hAnsi="Times New Roman"/>
              </w:rPr>
            </w:pPr>
          </w:p>
        </w:tc>
        <w:tc>
          <w:tcPr>
            <w:tcW w:w="1200" w:type="dxa"/>
            <w:tcBorders>
              <w:top w:val="nil"/>
              <w:left w:val="nil"/>
              <w:bottom w:val="nil"/>
              <w:right w:val="nil"/>
            </w:tcBorders>
            <w:shd w:val="clear" w:color="auto" w:fill="auto"/>
            <w:noWrap/>
            <w:vAlign w:val="bottom"/>
            <w:hideMark/>
          </w:tcPr>
          <w:p w14:paraId="401C92CA" w14:textId="77777777" w:rsidR="009E1300" w:rsidRPr="004E7DDC" w:rsidRDefault="009E1300" w:rsidP="00BB27D7">
            <w:pPr>
              <w:spacing w:after="0"/>
              <w:rPr>
                <w:rFonts w:ascii="Times New Roman" w:eastAsia="Times New Roman" w:hAnsi="Times New Roman"/>
                <w:sz w:val="20"/>
                <w:szCs w:val="20"/>
              </w:rPr>
            </w:pPr>
          </w:p>
        </w:tc>
      </w:tr>
      <w:tr w:rsidR="009E1300" w:rsidRPr="004E7DDC" w14:paraId="0D7790F7" w14:textId="77777777" w:rsidTr="00FF3C4A">
        <w:trPr>
          <w:trHeight w:val="327"/>
        </w:trPr>
        <w:tc>
          <w:tcPr>
            <w:tcW w:w="3292" w:type="dxa"/>
            <w:tcBorders>
              <w:top w:val="nil"/>
              <w:left w:val="nil"/>
              <w:bottom w:val="nil"/>
              <w:right w:val="nil"/>
            </w:tcBorders>
            <w:shd w:val="clear" w:color="auto" w:fill="auto"/>
            <w:noWrap/>
            <w:vAlign w:val="center"/>
            <w:hideMark/>
          </w:tcPr>
          <w:p w14:paraId="3D24DAC9"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NPE</w:t>
            </w:r>
          </w:p>
        </w:tc>
        <w:tc>
          <w:tcPr>
            <w:tcW w:w="364" w:type="dxa"/>
            <w:tcBorders>
              <w:top w:val="nil"/>
              <w:left w:val="nil"/>
              <w:bottom w:val="nil"/>
              <w:right w:val="nil"/>
            </w:tcBorders>
            <w:shd w:val="clear" w:color="auto" w:fill="auto"/>
            <w:noWrap/>
            <w:vAlign w:val="bottom"/>
            <w:hideMark/>
          </w:tcPr>
          <w:p w14:paraId="49EA180D"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center"/>
            <w:hideMark/>
          </w:tcPr>
          <w:p w14:paraId="34A98C0E"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2.9%</w:t>
            </w:r>
          </w:p>
        </w:tc>
        <w:tc>
          <w:tcPr>
            <w:tcW w:w="364" w:type="dxa"/>
            <w:tcBorders>
              <w:top w:val="nil"/>
              <w:left w:val="nil"/>
              <w:bottom w:val="nil"/>
              <w:right w:val="nil"/>
            </w:tcBorders>
            <w:shd w:val="clear" w:color="auto" w:fill="auto"/>
            <w:noWrap/>
            <w:vAlign w:val="bottom"/>
            <w:hideMark/>
          </w:tcPr>
          <w:p w14:paraId="676ECD0D" w14:textId="77777777" w:rsidR="009E1300" w:rsidRPr="004E7DDC" w:rsidRDefault="009E1300" w:rsidP="00BB27D7">
            <w:pPr>
              <w:spacing w:after="0"/>
              <w:jc w:val="right"/>
              <w:rPr>
                <w:rFonts w:ascii="Times New Roman" w:eastAsia="Times New Roman" w:hAnsi="Times New Roman"/>
              </w:rPr>
            </w:pPr>
          </w:p>
        </w:tc>
        <w:tc>
          <w:tcPr>
            <w:tcW w:w="2037" w:type="dxa"/>
            <w:tcBorders>
              <w:top w:val="nil"/>
              <w:left w:val="nil"/>
              <w:bottom w:val="nil"/>
              <w:right w:val="nil"/>
            </w:tcBorders>
            <w:shd w:val="clear" w:color="auto" w:fill="auto"/>
            <w:noWrap/>
            <w:vAlign w:val="center"/>
            <w:hideMark/>
          </w:tcPr>
          <w:p w14:paraId="20BD4F01"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3.9%</w:t>
            </w:r>
          </w:p>
        </w:tc>
        <w:tc>
          <w:tcPr>
            <w:tcW w:w="364" w:type="dxa"/>
            <w:tcBorders>
              <w:top w:val="nil"/>
              <w:left w:val="nil"/>
              <w:bottom w:val="nil"/>
              <w:right w:val="nil"/>
            </w:tcBorders>
            <w:shd w:val="clear" w:color="auto" w:fill="auto"/>
            <w:noWrap/>
            <w:vAlign w:val="bottom"/>
            <w:hideMark/>
          </w:tcPr>
          <w:p w14:paraId="198CA6B1" w14:textId="77777777" w:rsidR="009E1300" w:rsidRPr="004E7DDC" w:rsidRDefault="009E1300" w:rsidP="00BB27D7">
            <w:pPr>
              <w:spacing w:after="0"/>
              <w:jc w:val="right"/>
              <w:rPr>
                <w:rFonts w:ascii="Times New Roman" w:eastAsia="Times New Roman" w:hAnsi="Times New Roman"/>
              </w:rPr>
            </w:pPr>
          </w:p>
        </w:tc>
        <w:tc>
          <w:tcPr>
            <w:tcW w:w="1200" w:type="dxa"/>
            <w:tcBorders>
              <w:top w:val="nil"/>
              <w:left w:val="nil"/>
              <w:bottom w:val="nil"/>
              <w:right w:val="nil"/>
            </w:tcBorders>
            <w:shd w:val="clear" w:color="auto" w:fill="auto"/>
            <w:noWrap/>
            <w:vAlign w:val="bottom"/>
            <w:hideMark/>
          </w:tcPr>
          <w:p w14:paraId="43E39929" w14:textId="77777777" w:rsidR="009E1300" w:rsidRPr="004E7DDC" w:rsidRDefault="009E1300" w:rsidP="00BB27D7">
            <w:pPr>
              <w:spacing w:after="0"/>
              <w:rPr>
                <w:rFonts w:ascii="Times New Roman" w:eastAsia="Times New Roman" w:hAnsi="Times New Roman"/>
                <w:sz w:val="20"/>
                <w:szCs w:val="20"/>
              </w:rPr>
            </w:pPr>
          </w:p>
        </w:tc>
      </w:tr>
      <w:tr w:rsidR="009E1300" w:rsidRPr="004E7DDC" w14:paraId="65D41736" w14:textId="77777777" w:rsidTr="00FF3C4A">
        <w:trPr>
          <w:trHeight w:val="327"/>
        </w:trPr>
        <w:tc>
          <w:tcPr>
            <w:tcW w:w="3292" w:type="dxa"/>
            <w:tcBorders>
              <w:top w:val="nil"/>
              <w:left w:val="nil"/>
              <w:bottom w:val="nil"/>
              <w:right w:val="nil"/>
            </w:tcBorders>
            <w:shd w:val="clear" w:color="auto" w:fill="auto"/>
            <w:noWrap/>
            <w:vAlign w:val="center"/>
            <w:hideMark/>
          </w:tcPr>
          <w:p w14:paraId="3F0109C1" w14:textId="77777777" w:rsidR="009E1300" w:rsidRPr="004E7DDC" w:rsidRDefault="009E1300" w:rsidP="00BB27D7">
            <w:pPr>
              <w:spacing w:after="0"/>
              <w:rPr>
                <w:rFonts w:ascii="Times New Roman" w:eastAsia="Times New Roman" w:hAnsi="Times New Roman"/>
                <w:color w:val="000000"/>
              </w:rPr>
            </w:pPr>
            <w:r w:rsidRPr="004E7DDC">
              <w:rPr>
                <w:rFonts w:ascii="Times New Roman" w:eastAsia="Times New Roman" w:hAnsi="Times New Roman"/>
                <w:color w:val="000000"/>
              </w:rPr>
              <w:t>CAR</w:t>
            </w:r>
          </w:p>
        </w:tc>
        <w:tc>
          <w:tcPr>
            <w:tcW w:w="364" w:type="dxa"/>
            <w:tcBorders>
              <w:top w:val="nil"/>
              <w:left w:val="nil"/>
              <w:bottom w:val="nil"/>
              <w:right w:val="nil"/>
            </w:tcBorders>
            <w:shd w:val="clear" w:color="auto" w:fill="auto"/>
            <w:noWrap/>
            <w:vAlign w:val="bottom"/>
            <w:hideMark/>
          </w:tcPr>
          <w:p w14:paraId="25E00988" w14:textId="77777777" w:rsidR="009E1300" w:rsidRPr="004E7DDC" w:rsidRDefault="009E1300" w:rsidP="00BB27D7">
            <w:pPr>
              <w:spacing w:after="0"/>
              <w:rPr>
                <w:rFonts w:ascii="Times New Roman" w:eastAsia="Times New Roman" w:hAnsi="Times New Roman"/>
                <w:color w:val="000000"/>
              </w:rPr>
            </w:pPr>
          </w:p>
        </w:tc>
        <w:tc>
          <w:tcPr>
            <w:tcW w:w="1323" w:type="dxa"/>
            <w:tcBorders>
              <w:top w:val="nil"/>
              <w:left w:val="nil"/>
              <w:bottom w:val="nil"/>
              <w:right w:val="nil"/>
            </w:tcBorders>
            <w:shd w:val="clear" w:color="auto" w:fill="auto"/>
            <w:noWrap/>
            <w:vAlign w:val="center"/>
            <w:hideMark/>
          </w:tcPr>
          <w:p w14:paraId="1EDA66C6" w14:textId="77777777" w:rsidR="009E1300" w:rsidRPr="004E7DDC" w:rsidRDefault="009E1300" w:rsidP="00BB27D7">
            <w:pPr>
              <w:spacing w:after="0"/>
              <w:jc w:val="right"/>
              <w:rPr>
                <w:rFonts w:ascii="Times New Roman" w:eastAsia="Times New Roman" w:hAnsi="Times New Roman"/>
              </w:rPr>
            </w:pPr>
            <w:r w:rsidRPr="004E7DDC">
              <w:rPr>
                <w:rFonts w:ascii="Times New Roman" w:eastAsia="Times New Roman" w:hAnsi="Times New Roman"/>
              </w:rPr>
              <w:t>17.7%</w:t>
            </w:r>
          </w:p>
        </w:tc>
        <w:tc>
          <w:tcPr>
            <w:tcW w:w="364" w:type="dxa"/>
            <w:tcBorders>
              <w:top w:val="nil"/>
              <w:left w:val="nil"/>
              <w:bottom w:val="nil"/>
              <w:right w:val="nil"/>
            </w:tcBorders>
            <w:shd w:val="clear" w:color="auto" w:fill="auto"/>
            <w:noWrap/>
            <w:vAlign w:val="bottom"/>
            <w:hideMark/>
          </w:tcPr>
          <w:p w14:paraId="3BA56E88" w14:textId="77777777" w:rsidR="009E1300" w:rsidRPr="004E7DDC" w:rsidRDefault="009E1300" w:rsidP="00BB27D7">
            <w:pPr>
              <w:spacing w:after="0"/>
              <w:jc w:val="right"/>
              <w:rPr>
                <w:rFonts w:ascii="Times New Roman" w:eastAsia="Times New Roman" w:hAnsi="Times New Roman"/>
              </w:rPr>
            </w:pPr>
          </w:p>
        </w:tc>
        <w:tc>
          <w:tcPr>
            <w:tcW w:w="2037" w:type="dxa"/>
            <w:tcBorders>
              <w:top w:val="nil"/>
              <w:left w:val="nil"/>
              <w:bottom w:val="nil"/>
              <w:right w:val="nil"/>
            </w:tcBorders>
            <w:shd w:val="clear" w:color="auto" w:fill="auto"/>
            <w:noWrap/>
            <w:vAlign w:val="center"/>
            <w:hideMark/>
          </w:tcPr>
          <w:p w14:paraId="548E1E83" w14:textId="77777777" w:rsidR="009E1300" w:rsidRPr="004E7DDC" w:rsidRDefault="009E1300" w:rsidP="00BB27D7">
            <w:pPr>
              <w:spacing w:after="0"/>
              <w:jc w:val="right"/>
              <w:rPr>
                <w:rFonts w:ascii="Times New Roman" w:eastAsia="Times New Roman" w:hAnsi="Times New Roman"/>
                <w:color w:val="000000"/>
              </w:rPr>
            </w:pPr>
            <w:r w:rsidRPr="004E7DDC">
              <w:rPr>
                <w:rFonts w:ascii="Times New Roman" w:eastAsia="Times New Roman" w:hAnsi="Times New Roman"/>
                <w:color w:val="000000"/>
              </w:rPr>
              <w:t>16.6%</w:t>
            </w:r>
          </w:p>
        </w:tc>
        <w:tc>
          <w:tcPr>
            <w:tcW w:w="364" w:type="dxa"/>
            <w:tcBorders>
              <w:top w:val="nil"/>
              <w:left w:val="nil"/>
              <w:bottom w:val="nil"/>
              <w:right w:val="nil"/>
            </w:tcBorders>
            <w:shd w:val="clear" w:color="auto" w:fill="auto"/>
            <w:noWrap/>
            <w:vAlign w:val="bottom"/>
            <w:hideMark/>
          </w:tcPr>
          <w:p w14:paraId="6B356FE3" w14:textId="77777777" w:rsidR="009E1300" w:rsidRPr="004E7DDC" w:rsidRDefault="009E1300" w:rsidP="00BB27D7">
            <w:pPr>
              <w:spacing w:after="0"/>
              <w:jc w:val="right"/>
              <w:rPr>
                <w:rFonts w:ascii="Times New Roman" w:eastAsia="Times New Roman" w:hAnsi="Times New Roman"/>
                <w:color w:val="000000"/>
              </w:rPr>
            </w:pPr>
          </w:p>
        </w:tc>
        <w:tc>
          <w:tcPr>
            <w:tcW w:w="1200" w:type="dxa"/>
            <w:tcBorders>
              <w:top w:val="nil"/>
              <w:left w:val="nil"/>
              <w:bottom w:val="nil"/>
              <w:right w:val="nil"/>
            </w:tcBorders>
            <w:shd w:val="clear" w:color="auto" w:fill="auto"/>
            <w:noWrap/>
            <w:vAlign w:val="bottom"/>
            <w:hideMark/>
          </w:tcPr>
          <w:p w14:paraId="7C1251AB" w14:textId="77777777" w:rsidR="009E1300" w:rsidRPr="004E7DDC" w:rsidRDefault="009E1300" w:rsidP="00BB27D7">
            <w:pPr>
              <w:spacing w:after="0"/>
              <w:rPr>
                <w:rFonts w:ascii="Times New Roman" w:eastAsia="Times New Roman" w:hAnsi="Times New Roman"/>
                <w:sz w:val="20"/>
                <w:szCs w:val="20"/>
              </w:rPr>
            </w:pPr>
          </w:p>
        </w:tc>
      </w:tr>
    </w:tbl>
    <w:p w14:paraId="148B69D5" w14:textId="77777777" w:rsidR="009E1300" w:rsidRPr="00E351EB" w:rsidRDefault="009E1300" w:rsidP="00BB27D7">
      <w:pPr>
        <w:spacing w:after="0"/>
        <w:rPr>
          <w:rFonts w:ascii="Times New Roman" w:hAnsi="Times New Roman"/>
          <w:sz w:val="20"/>
          <w:szCs w:val="20"/>
        </w:rPr>
      </w:pPr>
    </w:p>
    <w:p w14:paraId="4367C37B" w14:textId="77777777" w:rsidR="009E1300" w:rsidRPr="00932791" w:rsidRDefault="009E1300" w:rsidP="00BB27D7">
      <w:pPr>
        <w:rPr>
          <w:i/>
          <w:sz w:val="20"/>
        </w:rPr>
      </w:pPr>
      <w:r w:rsidRPr="00932791">
        <w:rPr>
          <w:rFonts w:ascii="Times New Roman" w:hAnsi="Times New Roman"/>
          <w:i/>
          <w:sz w:val="20"/>
          <w:szCs w:val="20"/>
        </w:rPr>
        <w:t>Source: The data and reports for the banking sector from the NBRNM Supervision</w:t>
      </w:r>
    </w:p>
    <w:p w14:paraId="7EC31AE0" w14:textId="519F70FF" w:rsidR="009E1300" w:rsidRPr="00D27D9C" w:rsidRDefault="009E1300" w:rsidP="00BB27D7">
      <w:pPr>
        <w:jc w:val="both"/>
        <w:rPr>
          <w:szCs w:val="24"/>
        </w:rPr>
      </w:pPr>
      <w:r w:rsidRPr="00D27D9C">
        <w:rPr>
          <w:rFonts w:ascii="Times New Roman" w:hAnsi="Times New Roman"/>
          <w:sz w:val="24"/>
          <w:szCs w:val="24"/>
        </w:rPr>
        <w:t xml:space="preserve">Stopanska Banka AD Skopje </w:t>
      </w:r>
      <w:r w:rsidR="0001694D">
        <w:rPr>
          <w:rFonts w:ascii="Times New Roman" w:hAnsi="Times New Roman"/>
          <w:sz w:val="24"/>
          <w:szCs w:val="24"/>
        </w:rPr>
        <w:t>participates with</w:t>
      </w:r>
      <w:r w:rsidR="0001694D" w:rsidRPr="00D27D9C">
        <w:rPr>
          <w:rFonts w:ascii="Times New Roman" w:hAnsi="Times New Roman"/>
          <w:sz w:val="24"/>
          <w:szCs w:val="24"/>
        </w:rPr>
        <w:t xml:space="preserve"> </w:t>
      </w:r>
      <w:r w:rsidRPr="00D27D9C">
        <w:rPr>
          <w:rFonts w:ascii="Times New Roman" w:hAnsi="Times New Roman"/>
          <w:sz w:val="24"/>
          <w:szCs w:val="24"/>
        </w:rPr>
        <w:t>18% of the total banking sector assets and almost 1/5</w:t>
      </w:r>
      <w:r w:rsidRPr="00D27D9C">
        <w:rPr>
          <w:rFonts w:ascii="Times New Roman" w:hAnsi="Times New Roman"/>
          <w:sz w:val="24"/>
          <w:szCs w:val="24"/>
          <w:vertAlign w:val="superscript"/>
        </w:rPr>
        <w:t xml:space="preserve"> </w:t>
      </w:r>
      <w:r w:rsidRPr="00D27D9C">
        <w:rPr>
          <w:rFonts w:ascii="Times New Roman" w:hAnsi="Times New Roman"/>
          <w:sz w:val="24"/>
          <w:szCs w:val="24"/>
        </w:rPr>
        <w:t>of both deposits and loans. In 202</w:t>
      </w:r>
      <w:r>
        <w:rPr>
          <w:rFonts w:ascii="Times New Roman" w:hAnsi="Times New Roman"/>
          <w:sz w:val="24"/>
          <w:szCs w:val="24"/>
        </w:rPr>
        <w:t>2</w:t>
      </w:r>
      <w:r w:rsidRPr="00D27D9C">
        <w:rPr>
          <w:rFonts w:ascii="Times New Roman" w:hAnsi="Times New Roman"/>
          <w:sz w:val="24"/>
          <w:szCs w:val="24"/>
        </w:rPr>
        <w:t>, the rea</w:t>
      </w:r>
      <w:r>
        <w:rPr>
          <w:rFonts w:ascii="Times New Roman" w:hAnsi="Times New Roman"/>
          <w:sz w:val="24"/>
          <w:szCs w:val="24"/>
        </w:rPr>
        <w:t>lized growth rate of gross loans was 10</w:t>
      </w:r>
      <w:r w:rsidRPr="00D27D9C">
        <w:rPr>
          <w:rFonts w:ascii="Times New Roman" w:hAnsi="Times New Roman"/>
          <w:sz w:val="24"/>
          <w:szCs w:val="24"/>
        </w:rPr>
        <w:t>.</w:t>
      </w:r>
      <w:r>
        <w:rPr>
          <w:rFonts w:ascii="Times New Roman" w:hAnsi="Times New Roman"/>
          <w:sz w:val="24"/>
          <w:szCs w:val="24"/>
        </w:rPr>
        <w:t>7</w:t>
      </w:r>
      <w:r w:rsidRPr="00D27D9C">
        <w:rPr>
          <w:rFonts w:ascii="Times New Roman" w:hAnsi="Times New Roman"/>
          <w:sz w:val="24"/>
          <w:szCs w:val="24"/>
        </w:rPr>
        <w:t xml:space="preserve">% and </w:t>
      </w:r>
      <w:r>
        <w:rPr>
          <w:rFonts w:ascii="Times New Roman" w:hAnsi="Times New Roman"/>
          <w:sz w:val="24"/>
          <w:szCs w:val="24"/>
        </w:rPr>
        <w:t xml:space="preserve">5.5 </w:t>
      </w:r>
      <w:r w:rsidRPr="00D27D9C">
        <w:rPr>
          <w:rFonts w:ascii="Times New Roman" w:hAnsi="Times New Roman"/>
          <w:sz w:val="24"/>
          <w:szCs w:val="24"/>
        </w:rPr>
        <w:t>% of deposits. During 202</w:t>
      </w:r>
      <w:r>
        <w:rPr>
          <w:rFonts w:ascii="Times New Roman" w:hAnsi="Times New Roman"/>
          <w:sz w:val="24"/>
          <w:szCs w:val="24"/>
        </w:rPr>
        <w:t>2</w:t>
      </w:r>
      <w:r w:rsidRPr="00D27D9C">
        <w:rPr>
          <w:rFonts w:ascii="Times New Roman" w:hAnsi="Times New Roman"/>
          <w:sz w:val="24"/>
          <w:szCs w:val="24"/>
        </w:rPr>
        <w:t>, the performance of the Bank was in many aspects higher compared to the total banking sector as shown above. Namely, ROA 2.</w:t>
      </w:r>
      <w:r>
        <w:rPr>
          <w:rFonts w:ascii="Times New Roman" w:hAnsi="Times New Roman"/>
          <w:sz w:val="24"/>
          <w:szCs w:val="24"/>
        </w:rPr>
        <w:t>0</w:t>
      </w:r>
      <w:r w:rsidRPr="00D27D9C">
        <w:rPr>
          <w:rFonts w:ascii="Times New Roman" w:hAnsi="Times New Roman"/>
          <w:sz w:val="24"/>
          <w:szCs w:val="24"/>
        </w:rPr>
        <w:t>% vs. 1.5%, NIM 4.1% vs. 2.</w:t>
      </w:r>
      <w:r>
        <w:rPr>
          <w:rFonts w:ascii="Times New Roman" w:hAnsi="Times New Roman"/>
          <w:sz w:val="24"/>
          <w:szCs w:val="24"/>
        </w:rPr>
        <w:t>7</w:t>
      </w:r>
      <w:r w:rsidRPr="00D27D9C">
        <w:rPr>
          <w:rFonts w:ascii="Times New Roman" w:hAnsi="Times New Roman"/>
          <w:sz w:val="24"/>
          <w:szCs w:val="24"/>
        </w:rPr>
        <w:t>% and the cost-to income ratio well below the banking sector with remarkable 3</w:t>
      </w:r>
      <w:r>
        <w:rPr>
          <w:rFonts w:ascii="Times New Roman" w:hAnsi="Times New Roman"/>
          <w:sz w:val="24"/>
          <w:szCs w:val="24"/>
        </w:rPr>
        <w:t>3</w:t>
      </w:r>
      <w:r w:rsidRPr="00D27D9C">
        <w:rPr>
          <w:rFonts w:ascii="Times New Roman" w:hAnsi="Times New Roman"/>
          <w:sz w:val="24"/>
          <w:szCs w:val="24"/>
        </w:rPr>
        <w:t>.</w:t>
      </w:r>
      <w:r>
        <w:rPr>
          <w:rFonts w:ascii="Times New Roman" w:hAnsi="Times New Roman"/>
          <w:sz w:val="24"/>
          <w:szCs w:val="24"/>
        </w:rPr>
        <w:t>8</w:t>
      </w:r>
      <w:r w:rsidRPr="00D27D9C">
        <w:rPr>
          <w:rFonts w:ascii="Times New Roman" w:hAnsi="Times New Roman"/>
          <w:sz w:val="24"/>
          <w:szCs w:val="24"/>
        </w:rPr>
        <w:t>% vs. 47.</w:t>
      </w:r>
      <w:r>
        <w:rPr>
          <w:rFonts w:ascii="Times New Roman" w:hAnsi="Times New Roman"/>
          <w:sz w:val="24"/>
          <w:szCs w:val="24"/>
        </w:rPr>
        <w:t>8</w:t>
      </w:r>
      <w:r w:rsidRPr="00D27D9C">
        <w:rPr>
          <w:rFonts w:ascii="Times New Roman" w:hAnsi="Times New Roman"/>
          <w:sz w:val="24"/>
          <w:szCs w:val="24"/>
        </w:rPr>
        <w:t xml:space="preserve">%. The capital adequacy ratio was </w:t>
      </w:r>
      <w:r>
        <w:rPr>
          <w:rFonts w:ascii="Times New Roman" w:hAnsi="Times New Roman"/>
          <w:sz w:val="24"/>
          <w:szCs w:val="24"/>
        </w:rPr>
        <w:t>16.6</w:t>
      </w:r>
      <w:r w:rsidRPr="00D27D9C">
        <w:rPr>
          <w:rFonts w:ascii="Times New Roman" w:hAnsi="Times New Roman"/>
          <w:sz w:val="24"/>
          <w:szCs w:val="24"/>
        </w:rPr>
        <w:t>%.</w:t>
      </w:r>
    </w:p>
    <w:p w14:paraId="1DEAF15F" w14:textId="281CF1E4" w:rsidR="009E1300" w:rsidRDefault="009E1300" w:rsidP="00BB27D7">
      <w:pPr>
        <w:spacing w:after="120"/>
        <w:jc w:val="both"/>
        <w:rPr>
          <w:rFonts w:ascii="Times New Roman" w:hAnsi="Times New Roman"/>
          <w:b/>
          <w:sz w:val="28"/>
          <w:szCs w:val="28"/>
        </w:rPr>
      </w:pPr>
    </w:p>
    <w:p w14:paraId="79788EBE" w14:textId="41975D69" w:rsidR="00AE6243" w:rsidRDefault="00AE6243" w:rsidP="00BB27D7">
      <w:pPr>
        <w:spacing w:after="120"/>
        <w:jc w:val="both"/>
        <w:rPr>
          <w:rFonts w:ascii="Times New Roman" w:hAnsi="Times New Roman"/>
          <w:b/>
          <w:sz w:val="28"/>
          <w:szCs w:val="28"/>
        </w:rPr>
      </w:pPr>
    </w:p>
    <w:p w14:paraId="66E76C05" w14:textId="01AA8902" w:rsidR="00AE6243" w:rsidRDefault="00AE6243" w:rsidP="00BB27D7">
      <w:pPr>
        <w:spacing w:after="120"/>
        <w:jc w:val="both"/>
        <w:rPr>
          <w:rFonts w:ascii="Times New Roman" w:hAnsi="Times New Roman"/>
          <w:b/>
          <w:sz w:val="28"/>
          <w:szCs w:val="28"/>
        </w:rPr>
      </w:pPr>
    </w:p>
    <w:p w14:paraId="0656BDCA" w14:textId="74BC5C13" w:rsidR="00AE6243" w:rsidRDefault="00AE6243" w:rsidP="00BB27D7">
      <w:pPr>
        <w:spacing w:after="120"/>
        <w:jc w:val="both"/>
        <w:rPr>
          <w:rFonts w:ascii="Times New Roman" w:hAnsi="Times New Roman"/>
          <w:b/>
          <w:sz w:val="28"/>
          <w:szCs w:val="28"/>
        </w:rPr>
      </w:pPr>
    </w:p>
    <w:p w14:paraId="79253F7B" w14:textId="68631E3C" w:rsidR="00AE6243" w:rsidRDefault="00AE6243" w:rsidP="00BB27D7">
      <w:pPr>
        <w:spacing w:after="120"/>
        <w:jc w:val="both"/>
        <w:rPr>
          <w:rFonts w:ascii="Times New Roman" w:hAnsi="Times New Roman"/>
          <w:b/>
          <w:sz w:val="28"/>
          <w:szCs w:val="28"/>
        </w:rPr>
      </w:pPr>
    </w:p>
    <w:p w14:paraId="3D8BDB62" w14:textId="513262FB" w:rsidR="00AE6243" w:rsidRDefault="00AE6243" w:rsidP="00BB27D7">
      <w:pPr>
        <w:spacing w:after="120"/>
        <w:jc w:val="both"/>
        <w:rPr>
          <w:rFonts w:ascii="Times New Roman" w:hAnsi="Times New Roman"/>
          <w:b/>
          <w:sz w:val="28"/>
          <w:szCs w:val="28"/>
        </w:rPr>
      </w:pPr>
    </w:p>
    <w:p w14:paraId="150C1C57" w14:textId="77777777" w:rsidR="00AE6243" w:rsidRDefault="00AE6243" w:rsidP="00BB27D7">
      <w:pPr>
        <w:spacing w:after="120"/>
        <w:jc w:val="both"/>
        <w:rPr>
          <w:rFonts w:ascii="Times New Roman" w:hAnsi="Times New Roman"/>
          <w:b/>
          <w:sz w:val="28"/>
          <w:szCs w:val="28"/>
        </w:rPr>
      </w:pPr>
    </w:p>
    <w:p w14:paraId="593A95DD" w14:textId="77777777" w:rsidR="009E1300" w:rsidRPr="00932791" w:rsidRDefault="009E1300" w:rsidP="00BB27D7">
      <w:pPr>
        <w:pStyle w:val="Heading2"/>
        <w:spacing w:before="240" w:line="276" w:lineRule="auto"/>
        <w:jc w:val="both"/>
        <w:rPr>
          <w:b w:val="0"/>
          <w:sz w:val="28"/>
          <w:szCs w:val="28"/>
        </w:rPr>
      </w:pPr>
      <w:bookmarkStart w:id="8" w:name="_Toc133313246"/>
      <w:r w:rsidRPr="00932791">
        <w:rPr>
          <w:sz w:val="28"/>
          <w:szCs w:val="28"/>
        </w:rPr>
        <w:lastRenderedPageBreak/>
        <w:t>Financial Performance</w:t>
      </w:r>
      <w:bookmarkEnd w:id="8"/>
    </w:p>
    <w:p w14:paraId="37941CA6" w14:textId="77777777" w:rsidR="009E1300" w:rsidRPr="0034674A" w:rsidRDefault="009E1300" w:rsidP="00BB27D7">
      <w:pPr>
        <w:spacing w:before="240"/>
        <w:jc w:val="both"/>
        <w:rPr>
          <w:rFonts w:ascii="Times New Roman" w:eastAsia="Times New Roman" w:hAnsi="Times New Roman"/>
          <w:sz w:val="24"/>
          <w:szCs w:val="24"/>
        </w:rPr>
      </w:pPr>
      <w:r w:rsidRPr="00FD3A1F">
        <w:rPr>
          <w:rFonts w:ascii="Times New Roman" w:eastAsia="Times New Roman" w:hAnsi="Times New Roman"/>
          <w:sz w:val="24"/>
          <w:szCs w:val="24"/>
        </w:rPr>
        <w:t>The most important aspects of the financial performance of the Bank have as follows:</w:t>
      </w:r>
    </w:p>
    <w:p w14:paraId="481BCC38" w14:textId="77777777" w:rsidR="009E1300" w:rsidRPr="0034674A" w:rsidRDefault="009E1300" w:rsidP="00BB27D7">
      <w:pPr>
        <w:spacing w:before="240" w:after="0"/>
        <w:jc w:val="both"/>
        <w:rPr>
          <w:rFonts w:ascii="Times New Roman" w:eastAsia="Times New Roman" w:hAnsi="Times New Roman"/>
          <w:b/>
          <w:i/>
          <w:iCs/>
          <w:sz w:val="24"/>
        </w:rPr>
      </w:pPr>
      <w:r w:rsidRPr="00932791">
        <w:rPr>
          <w:rFonts w:ascii="Times New Roman" w:eastAsia="Times New Roman" w:hAnsi="Times New Roman"/>
          <w:b/>
          <w:i/>
          <w:iCs/>
          <w:sz w:val="24"/>
        </w:rPr>
        <w:t>Interest income</w:t>
      </w:r>
    </w:p>
    <w:p w14:paraId="6D7657DC" w14:textId="6CBEC2DF" w:rsidR="009E1300" w:rsidRDefault="009E1300" w:rsidP="00BB27D7">
      <w:pPr>
        <w:spacing w:before="240"/>
        <w:jc w:val="both"/>
        <w:rPr>
          <w:rFonts w:ascii="Times New Roman" w:eastAsia="Times New Roman" w:hAnsi="Times New Roman"/>
          <w:sz w:val="24"/>
          <w:szCs w:val="24"/>
        </w:rPr>
      </w:pPr>
      <w:r w:rsidRPr="0034674A">
        <w:rPr>
          <w:rFonts w:ascii="Times New Roman" w:eastAsia="Times New Roman" w:hAnsi="Times New Roman"/>
          <w:sz w:val="24"/>
          <w:szCs w:val="24"/>
        </w:rPr>
        <w:t>During 20</w:t>
      </w:r>
      <w:r>
        <w:rPr>
          <w:rFonts w:ascii="Times New Roman" w:eastAsia="Times New Roman" w:hAnsi="Times New Roman"/>
          <w:sz w:val="24"/>
          <w:szCs w:val="24"/>
        </w:rPr>
        <w:t>22</w:t>
      </w:r>
      <w:r w:rsidRPr="0034674A">
        <w:rPr>
          <w:rFonts w:ascii="Times New Roman" w:eastAsia="Times New Roman" w:hAnsi="Times New Roman"/>
          <w:sz w:val="24"/>
          <w:szCs w:val="24"/>
        </w:rPr>
        <w:t>, the interest income from th</w:t>
      </w:r>
      <w:r>
        <w:rPr>
          <w:rFonts w:ascii="Times New Roman" w:eastAsia="Times New Roman" w:hAnsi="Times New Roman"/>
          <w:sz w:val="24"/>
          <w:szCs w:val="24"/>
        </w:rPr>
        <w:t>e retail loans amounted to EUR 50</w:t>
      </w:r>
      <w:r w:rsidRPr="0034674A">
        <w:rPr>
          <w:rFonts w:ascii="Times New Roman" w:eastAsia="Times New Roman" w:hAnsi="Times New Roman"/>
          <w:sz w:val="24"/>
          <w:szCs w:val="24"/>
        </w:rPr>
        <w:t>.</w:t>
      </w:r>
      <w:r>
        <w:rPr>
          <w:rFonts w:ascii="Times New Roman" w:eastAsia="Times New Roman" w:hAnsi="Times New Roman"/>
          <w:sz w:val="24"/>
          <w:szCs w:val="24"/>
        </w:rPr>
        <w:t xml:space="preserve">2 </w:t>
      </w:r>
      <w:proofErr w:type="gramStart"/>
      <w:r w:rsidRPr="0034674A">
        <w:rPr>
          <w:rFonts w:ascii="Times New Roman" w:eastAsia="Times New Roman" w:hAnsi="Times New Roman"/>
          <w:sz w:val="24"/>
          <w:szCs w:val="24"/>
        </w:rPr>
        <w:t>million</w:t>
      </w:r>
      <w:proofErr w:type="gramEnd"/>
      <w:r w:rsidRPr="0034674A">
        <w:rPr>
          <w:rFonts w:ascii="Times New Roman" w:eastAsia="Times New Roman" w:hAnsi="Times New Roman"/>
          <w:sz w:val="24"/>
          <w:szCs w:val="24"/>
        </w:rPr>
        <w:t>, having the biggest participation withi</w:t>
      </w:r>
      <w:r>
        <w:rPr>
          <w:rFonts w:ascii="Times New Roman" w:eastAsia="Times New Roman" w:hAnsi="Times New Roman"/>
          <w:sz w:val="24"/>
          <w:szCs w:val="24"/>
        </w:rPr>
        <w:t>n the total interest income of 69</w:t>
      </w:r>
      <w:r w:rsidRPr="0034674A">
        <w:rPr>
          <w:rFonts w:ascii="Times New Roman" w:eastAsia="Times New Roman" w:hAnsi="Times New Roman"/>
          <w:sz w:val="24"/>
          <w:szCs w:val="24"/>
        </w:rPr>
        <w:t>.</w:t>
      </w:r>
      <w:r>
        <w:rPr>
          <w:rFonts w:ascii="Times New Roman" w:eastAsia="Times New Roman" w:hAnsi="Times New Roman"/>
          <w:sz w:val="24"/>
          <w:szCs w:val="24"/>
        </w:rPr>
        <w:t>8%.</w:t>
      </w:r>
      <w:r w:rsidRPr="0034674A">
        <w:rPr>
          <w:rFonts w:ascii="Times New Roman" w:eastAsia="Times New Roman" w:hAnsi="Times New Roman"/>
          <w:sz w:val="24"/>
          <w:szCs w:val="24"/>
        </w:rPr>
        <w:t xml:space="preserve"> </w:t>
      </w:r>
      <w:r w:rsidR="005733D1">
        <w:rPr>
          <w:rFonts w:ascii="Times New Roman" w:eastAsia="Times New Roman" w:hAnsi="Times New Roman"/>
          <w:sz w:val="24"/>
          <w:szCs w:val="24"/>
        </w:rPr>
        <w:t>At</w:t>
      </w:r>
      <w:r w:rsidR="005733D1" w:rsidRPr="0034674A">
        <w:rPr>
          <w:rFonts w:ascii="Times New Roman" w:eastAsia="Times New Roman" w:hAnsi="Times New Roman"/>
          <w:sz w:val="24"/>
          <w:szCs w:val="24"/>
        </w:rPr>
        <w:t xml:space="preserve"> </w:t>
      </w:r>
      <w:r w:rsidRPr="0034674A">
        <w:rPr>
          <w:rFonts w:ascii="Times New Roman" w:eastAsia="Times New Roman" w:hAnsi="Times New Roman"/>
          <w:sz w:val="24"/>
          <w:szCs w:val="24"/>
        </w:rPr>
        <w:t>the same time,</w:t>
      </w:r>
      <w:r>
        <w:rPr>
          <w:rFonts w:ascii="Times New Roman" w:eastAsia="Times New Roman" w:hAnsi="Times New Roman"/>
          <w:sz w:val="24"/>
          <w:szCs w:val="24"/>
        </w:rPr>
        <w:t xml:space="preserve"> the interest income from </w:t>
      </w:r>
      <w:r w:rsidRPr="0034674A">
        <w:rPr>
          <w:rFonts w:ascii="Times New Roman" w:eastAsia="Times New Roman" w:hAnsi="Times New Roman"/>
          <w:sz w:val="24"/>
          <w:szCs w:val="24"/>
        </w:rPr>
        <w:t>corporate and other activities</w:t>
      </w:r>
      <w:r>
        <w:rPr>
          <w:rFonts w:ascii="Times New Roman" w:eastAsia="Times New Roman" w:hAnsi="Times New Roman"/>
          <w:sz w:val="24"/>
          <w:szCs w:val="24"/>
        </w:rPr>
        <w:t xml:space="preserve"> (investments in securities, interbank placements and other)</w:t>
      </w:r>
      <w:r w:rsidRPr="0034674A">
        <w:rPr>
          <w:rFonts w:ascii="Times New Roman" w:eastAsia="Times New Roman" w:hAnsi="Times New Roman"/>
          <w:sz w:val="24"/>
          <w:szCs w:val="24"/>
        </w:rPr>
        <w:t xml:space="preserve"> a</w:t>
      </w:r>
      <w:r>
        <w:rPr>
          <w:rFonts w:ascii="Times New Roman" w:eastAsia="Times New Roman" w:hAnsi="Times New Roman"/>
          <w:sz w:val="24"/>
          <w:szCs w:val="24"/>
        </w:rPr>
        <w:t>mounted to EUR 21</w:t>
      </w:r>
      <w:r w:rsidRPr="0034674A">
        <w:rPr>
          <w:rFonts w:ascii="Times New Roman" w:eastAsia="Times New Roman" w:hAnsi="Times New Roman"/>
          <w:sz w:val="24"/>
          <w:szCs w:val="24"/>
        </w:rPr>
        <w:t>.</w:t>
      </w:r>
      <w:r>
        <w:rPr>
          <w:rFonts w:ascii="Times New Roman" w:eastAsia="Times New Roman" w:hAnsi="Times New Roman"/>
          <w:sz w:val="24"/>
          <w:szCs w:val="24"/>
        </w:rPr>
        <w:t>8</w:t>
      </w:r>
      <w:r w:rsidRPr="0034674A">
        <w:rPr>
          <w:rFonts w:ascii="Times New Roman" w:eastAsia="Times New Roman" w:hAnsi="Times New Roman"/>
          <w:sz w:val="24"/>
          <w:szCs w:val="24"/>
        </w:rPr>
        <w:t xml:space="preserve"> million i.e. </w:t>
      </w:r>
      <w:r>
        <w:rPr>
          <w:rFonts w:ascii="Times New Roman" w:eastAsia="Times New Roman" w:hAnsi="Times New Roman"/>
          <w:sz w:val="24"/>
          <w:szCs w:val="24"/>
        </w:rPr>
        <w:t>in</w:t>
      </w:r>
      <w:r w:rsidRPr="0034674A">
        <w:rPr>
          <w:rFonts w:ascii="Times New Roman" w:eastAsia="Times New Roman" w:hAnsi="Times New Roman"/>
          <w:sz w:val="24"/>
          <w:szCs w:val="24"/>
        </w:rPr>
        <w:t xml:space="preserve">creased by </w:t>
      </w:r>
      <w:r>
        <w:rPr>
          <w:rFonts w:ascii="Times New Roman" w:eastAsia="Times New Roman" w:hAnsi="Times New Roman"/>
          <w:sz w:val="24"/>
          <w:szCs w:val="24"/>
        </w:rPr>
        <w:t>20</w:t>
      </w:r>
      <w:r w:rsidRPr="0034674A">
        <w:rPr>
          <w:rFonts w:ascii="Times New Roman" w:eastAsia="Times New Roman" w:hAnsi="Times New Roman"/>
          <w:sz w:val="24"/>
          <w:szCs w:val="24"/>
        </w:rPr>
        <w:t>.</w:t>
      </w:r>
      <w:r>
        <w:rPr>
          <w:rFonts w:ascii="Times New Roman" w:eastAsia="Times New Roman" w:hAnsi="Times New Roman"/>
          <w:sz w:val="24"/>
          <w:szCs w:val="24"/>
        </w:rPr>
        <w:t>4</w:t>
      </w:r>
      <w:r w:rsidRPr="0034674A">
        <w:rPr>
          <w:rFonts w:ascii="Times New Roman" w:eastAsia="Times New Roman" w:hAnsi="Times New Roman"/>
          <w:sz w:val="24"/>
          <w:szCs w:val="24"/>
        </w:rPr>
        <w:t>% compared to the previ</w:t>
      </w:r>
      <w:r>
        <w:rPr>
          <w:rFonts w:ascii="Times New Roman" w:eastAsia="Times New Roman" w:hAnsi="Times New Roman"/>
          <w:sz w:val="24"/>
          <w:szCs w:val="24"/>
        </w:rPr>
        <w:t>ous year. In the environment of</w:t>
      </w:r>
      <w:r w:rsidRPr="00160D48">
        <w:rPr>
          <w:rFonts w:ascii="Times New Roman" w:eastAsia="Times New Roman" w:hAnsi="Times New Roman"/>
          <w:sz w:val="24"/>
          <w:szCs w:val="24"/>
          <w:lang w:val="en"/>
        </w:rPr>
        <w:t xml:space="preserve"> high and fast-growing inflation and tightening of monetary p</w:t>
      </w:r>
      <w:r>
        <w:rPr>
          <w:rFonts w:ascii="Times New Roman" w:eastAsia="Times New Roman" w:hAnsi="Times New Roman"/>
          <w:sz w:val="24"/>
          <w:szCs w:val="24"/>
          <w:lang w:val="en"/>
        </w:rPr>
        <w:t>olicy by the central bank</w:t>
      </w:r>
      <w:r>
        <w:rPr>
          <w:rFonts w:ascii="Times New Roman" w:eastAsia="Times New Roman" w:hAnsi="Times New Roman"/>
          <w:sz w:val="24"/>
          <w:szCs w:val="24"/>
          <w:lang w:val="mk-MK"/>
        </w:rPr>
        <w:t>,</w:t>
      </w:r>
      <w:r w:rsidRPr="00160D48">
        <w:rPr>
          <w:rFonts w:ascii="Times New Roman" w:eastAsia="Times New Roman" w:hAnsi="Times New Roman"/>
          <w:sz w:val="24"/>
          <w:szCs w:val="24"/>
          <w:lang w:val="en"/>
        </w:rPr>
        <w:t xml:space="preserve"> which focuses on increasing interest rates</w:t>
      </w:r>
      <w:r w:rsidRPr="0034674A">
        <w:rPr>
          <w:rFonts w:ascii="Times New Roman" w:eastAsia="Times New Roman" w:hAnsi="Times New Roman"/>
          <w:sz w:val="24"/>
          <w:szCs w:val="24"/>
        </w:rPr>
        <w:t>,</w:t>
      </w:r>
      <w:r w:rsidRPr="0034674A">
        <w:t xml:space="preserve"> t</w:t>
      </w:r>
      <w:r w:rsidRPr="0034674A">
        <w:rPr>
          <w:rFonts w:ascii="Times New Roman" w:eastAsia="Times New Roman" w:hAnsi="Times New Roman"/>
          <w:sz w:val="24"/>
          <w:szCs w:val="24"/>
        </w:rPr>
        <w:t>he total interest income amounted t</w:t>
      </w:r>
      <w:r>
        <w:rPr>
          <w:rFonts w:ascii="Times New Roman" w:eastAsia="Times New Roman" w:hAnsi="Times New Roman"/>
          <w:sz w:val="24"/>
          <w:szCs w:val="24"/>
        </w:rPr>
        <w:t>o EUR 71</w:t>
      </w:r>
      <w:r w:rsidRPr="0034674A">
        <w:rPr>
          <w:rFonts w:ascii="Times New Roman" w:eastAsia="Times New Roman" w:hAnsi="Times New Roman"/>
          <w:sz w:val="24"/>
          <w:szCs w:val="24"/>
        </w:rPr>
        <w:t>.</w:t>
      </w:r>
      <w:r>
        <w:rPr>
          <w:rFonts w:ascii="Times New Roman" w:eastAsia="Times New Roman" w:hAnsi="Times New Roman"/>
          <w:sz w:val="24"/>
          <w:szCs w:val="24"/>
          <w:lang w:val="mk-MK"/>
        </w:rPr>
        <w:t>9</w:t>
      </w:r>
      <w:r>
        <w:rPr>
          <w:rFonts w:ascii="Times New Roman" w:eastAsia="Times New Roman" w:hAnsi="Times New Roman"/>
          <w:sz w:val="24"/>
          <w:szCs w:val="24"/>
        </w:rPr>
        <w:t xml:space="preserve"> </w:t>
      </w:r>
      <w:proofErr w:type="gramStart"/>
      <w:r w:rsidRPr="0034674A">
        <w:rPr>
          <w:rFonts w:ascii="Times New Roman" w:eastAsia="Times New Roman" w:hAnsi="Times New Roman"/>
          <w:sz w:val="24"/>
          <w:szCs w:val="24"/>
        </w:rPr>
        <w:t>million</w:t>
      </w:r>
      <w:proofErr w:type="gramEnd"/>
      <w:r w:rsidRPr="0034674A">
        <w:rPr>
          <w:rFonts w:ascii="Times New Roman" w:eastAsia="Times New Roman" w:hAnsi="Times New Roman"/>
          <w:sz w:val="24"/>
          <w:szCs w:val="24"/>
        </w:rPr>
        <w:t>.</w:t>
      </w:r>
      <w:r>
        <w:rPr>
          <w:rFonts w:ascii="Times New Roman" w:eastAsia="Times New Roman" w:hAnsi="Times New Roman"/>
          <w:sz w:val="24"/>
          <w:szCs w:val="24"/>
        </w:rPr>
        <w:t xml:space="preserve"> </w:t>
      </w:r>
    </w:p>
    <w:p w14:paraId="1273E02E" w14:textId="77777777" w:rsidR="009E1300" w:rsidRDefault="009E1300" w:rsidP="00BB27D7">
      <w:pPr>
        <w:spacing w:before="240" w:after="0"/>
        <w:jc w:val="both"/>
        <w:rPr>
          <w:rFonts w:ascii="Times New Roman" w:eastAsia="Times New Roman" w:hAnsi="Times New Roman"/>
          <w:sz w:val="24"/>
          <w:szCs w:val="24"/>
        </w:rPr>
      </w:pPr>
    </w:p>
    <w:tbl>
      <w:tblPr>
        <w:tblW w:w="7624" w:type="dxa"/>
        <w:tblLook w:val="04A0" w:firstRow="1" w:lastRow="0" w:firstColumn="1" w:lastColumn="0" w:noHBand="0" w:noVBand="1"/>
      </w:tblPr>
      <w:tblGrid>
        <w:gridCol w:w="3776"/>
        <w:gridCol w:w="1276"/>
        <w:gridCol w:w="1276"/>
        <w:gridCol w:w="1296"/>
      </w:tblGrid>
      <w:tr w:rsidR="009E1300" w:rsidRPr="00FD3A1F" w14:paraId="75199DEB" w14:textId="77777777" w:rsidTr="00FF3C4A">
        <w:trPr>
          <w:trHeight w:val="300"/>
        </w:trPr>
        <w:tc>
          <w:tcPr>
            <w:tcW w:w="3776" w:type="dxa"/>
            <w:tcBorders>
              <w:top w:val="nil"/>
              <w:left w:val="nil"/>
              <w:bottom w:val="nil"/>
              <w:right w:val="nil"/>
            </w:tcBorders>
            <w:shd w:val="clear" w:color="auto" w:fill="auto"/>
            <w:noWrap/>
            <w:vAlign w:val="bottom"/>
            <w:hideMark/>
          </w:tcPr>
          <w:p w14:paraId="026C0D66" w14:textId="77777777" w:rsidR="009E1300" w:rsidRPr="00932791" w:rsidRDefault="009E1300" w:rsidP="00BB27D7">
            <w:pPr>
              <w:spacing w:after="0"/>
              <w:rPr>
                <w:rFonts w:ascii="Times New Roman" w:eastAsia="Times New Roman" w:hAnsi="Times New Roman"/>
                <w:i/>
                <w:iCs/>
                <w:sz w:val="20"/>
                <w:szCs w:val="20"/>
              </w:rPr>
            </w:pPr>
            <w:r w:rsidRPr="00932791">
              <w:rPr>
                <w:rFonts w:ascii="Times New Roman" w:eastAsia="Times New Roman" w:hAnsi="Times New Roman"/>
                <w:i/>
                <w:iCs/>
                <w:sz w:val="20"/>
                <w:szCs w:val="20"/>
              </w:rPr>
              <w:t>in EUR million</w:t>
            </w:r>
          </w:p>
        </w:tc>
        <w:tc>
          <w:tcPr>
            <w:tcW w:w="1276" w:type="dxa"/>
            <w:tcBorders>
              <w:top w:val="nil"/>
              <w:left w:val="nil"/>
              <w:bottom w:val="nil"/>
              <w:right w:val="nil"/>
            </w:tcBorders>
            <w:shd w:val="clear" w:color="auto" w:fill="auto"/>
            <w:noWrap/>
            <w:vAlign w:val="bottom"/>
            <w:hideMark/>
          </w:tcPr>
          <w:p w14:paraId="064AAD84" w14:textId="77777777" w:rsidR="009E1300" w:rsidRPr="00932791" w:rsidRDefault="009E1300" w:rsidP="00BB27D7">
            <w:pPr>
              <w:spacing w:after="0"/>
              <w:rPr>
                <w:rFonts w:ascii="Times New Roman" w:eastAsia="Times New Roman" w:hAnsi="Times New Roman"/>
                <w:i/>
                <w:iCs/>
                <w:sz w:val="20"/>
                <w:szCs w:val="20"/>
              </w:rPr>
            </w:pPr>
          </w:p>
        </w:tc>
        <w:tc>
          <w:tcPr>
            <w:tcW w:w="1276" w:type="dxa"/>
            <w:tcBorders>
              <w:top w:val="nil"/>
              <w:left w:val="nil"/>
              <w:bottom w:val="nil"/>
              <w:right w:val="nil"/>
            </w:tcBorders>
            <w:shd w:val="clear" w:color="auto" w:fill="auto"/>
            <w:noWrap/>
            <w:vAlign w:val="bottom"/>
            <w:hideMark/>
          </w:tcPr>
          <w:p w14:paraId="79EF61EA" w14:textId="77777777" w:rsidR="009E1300" w:rsidRPr="00932791" w:rsidRDefault="009E1300" w:rsidP="00BB27D7">
            <w:pPr>
              <w:spacing w:after="0"/>
              <w:rPr>
                <w:rFonts w:ascii="Times New Roman" w:eastAsia="Times New Roman" w:hAnsi="Times New Roman"/>
                <w:sz w:val="20"/>
                <w:szCs w:val="20"/>
              </w:rPr>
            </w:pPr>
          </w:p>
        </w:tc>
        <w:tc>
          <w:tcPr>
            <w:tcW w:w="1296" w:type="dxa"/>
            <w:tcBorders>
              <w:top w:val="nil"/>
              <w:left w:val="nil"/>
              <w:bottom w:val="nil"/>
              <w:right w:val="nil"/>
            </w:tcBorders>
            <w:shd w:val="clear" w:color="auto" w:fill="auto"/>
            <w:noWrap/>
            <w:vAlign w:val="bottom"/>
            <w:hideMark/>
          </w:tcPr>
          <w:p w14:paraId="6F8C5158" w14:textId="77777777" w:rsidR="009E1300" w:rsidRPr="00932791" w:rsidRDefault="009E1300" w:rsidP="00BB27D7">
            <w:pPr>
              <w:spacing w:after="0"/>
              <w:rPr>
                <w:rFonts w:ascii="Times New Roman" w:eastAsia="Times New Roman" w:hAnsi="Times New Roman"/>
                <w:sz w:val="20"/>
                <w:szCs w:val="20"/>
              </w:rPr>
            </w:pPr>
          </w:p>
        </w:tc>
      </w:tr>
      <w:tr w:rsidR="009E1300" w:rsidRPr="00FD3A1F" w14:paraId="6198F544" w14:textId="77777777" w:rsidTr="00FF3C4A">
        <w:trPr>
          <w:trHeight w:val="405"/>
        </w:trPr>
        <w:tc>
          <w:tcPr>
            <w:tcW w:w="3776" w:type="dxa"/>
            <w:tcBorders>
              <w:top w:val="single" w:sz="4" w:space="0" w:color="auto"/>
              <w:left w:val="nil"/>
              <w:bottom w:val="single" w:sz="4" w:space="0" w:color="auto"/>
              <w:right w:val="nil"/>
            </w:tcBorders>
            <w:shd w:val="clear" w:color="auto" w:fill="auto"/>
            <w:noWrap/>
            <w:vAlign w:val="bottom"/>
            <w:hideMark/>
          </w:tcPr>
          <w:p w14:paraId="72CC316F"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w:t>
            </w:r>
          </w:p>
        </w:tc>
        <w:tc>
          <w:tcPr>
            <w:tcW w:w="1276" w:type="dxa"/>
            <w:tcBorders>
              <w:top w:val="single" w:sz="4" w:space="0" w:color="auto"/>
              <w:left w:val="nil"/>
              <w:bottom w:val="single" w:sz="4" w:space="0" w:color="auto"/>
              <w:right w:val="nil"/>
            </w:tcBorders>
            <w:shd w:val="clear" w:color="auto" w:fill="auto"/>
            <w:noWrap/>
            <w:vAlign w:val="bottom"/>
            <w:hideMark/>
          </w:tcPr>
          <w:p w14:paraId="1E917346"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2021</w:t>
            </w:r>
          </w:p>
        </w:tc>
        <w:tc>
          <w:tcPr>
            <w:tcW w:w="1276" w:type="dxa"/>
            <w:tcBorders>
              <w:top w:val="single" w:sz="4" w:space="0" w:color="auto"/>
              <w:left w:val="nil"/>
              <w:bottom w:val="single" w:sz="4" w:space="0" w:color="auto"/>
              <w:right w:val="nil"/>
            </w:tcBorders>
            <w:shd w:val="clear" w:color="auto" w:fill="auto"/>
            <w:noWrap/>
            <w:vAlign w:val="bottom"/>
            <w:hideMark/>
          </w:tcPr>
          <w:p w14:paraId="4D001953"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2022</w:t>
            </w:r>
          </w:p>
        </w:tc>
        <w:tc>
          <w:tcPr>
            <w:tcW w:w="1296" w:type="dxa"/>
            <w:tcBorders>
              <w:top w:val="single" w:sz="4" w:space="0" w:color="auto"/>
              <w:left w:val="nil"/>
              <w:bottom w:val="single" w:sz="4" w:space="0" w:color="auto"/>
              <w:right w:val="nil"/>
            </w:tcBorders>
            <w:shd w:val="clear" w:color="auto" w:fill="auto"/>
            <w:noWrap/>
            <w:vAlign w:val="bottom"/>
            <w:hideMark/>
          </w:tcPr>
          <w:p w14:paraId="17D85747"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 change</w:t>
            </w:r>
          </w:p>
        </w:tc>
      </w:tr>
      <w:tr w:rsidR="009E1300" w:rsidRPr="00FD3A1F" w14:paraId="09BF5F25" w14:textId="77777777" w:rsidTr="00FF3C4A">
        <w:trPr>
          <w:trHeight w:val="300"/>
        </w:trPr>
        <w:tc>
          <w:tcPr>
            <w:tcW w:w="3776" w:type="dxa"/>
            <w:tcBorders>
              <w:top w:val="nil"/>
              <w:left w:val="nil"/>
              <w:bottom w:val="nil"/>
              <w:right w:val="nil"/>
            </w:tcBorders>
            <w:shd w:val="clear" w:color="auto" w:fill="auto"/>
            <w:noWrap/>
            <w:vAlign w:val="bottom"/>
            <w:hideMark/>
          </w:tcPr>
          <w:p w14:paraId="44060D91" w14:textId="77777777" w:rsidR="009E1300" w:rsidRPr="00932791" w:rsidRDefault="009E1300"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Interest income</w:t>
            </w:r>
          </w:p>
        </w:tc>
        <w:tc>
          <w:tcPr>
            <w:tcW w:w="1276" w:type="dxa"/>
            <w:tcBorders>
              <w:top w:val="nil"/>
              <w:left w:val="nil"/>
              <w:bottom w:val="nil"/>
              <w:right w:val="nil"/>
            </w:tcBorders>
            <w:shd w:val="clear" w:color="auto" w:fill="auto"/>
            <w:noWrap/>
            <w:vAlign w:val="bottom"/>
            <w:hideMark/>
          </w:tcPr>
          <w:p w14:paraId="374341AD"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66.8</w:t>
            </w:r>
          </w:p>
        </w:tc>
        <w:tc>
          <w:tcPr>
            <w:tcW w:w="1276" w:type="dxa"/>
            <w:tcBorders>
              <w:top w:val="nil"/>
              <w:left w:val="nil"/>
              <w:bottom w:val="nil"/>
              <w:right w:val="nil"/>
            </w:tcBorders>
            <w:shd w:val="clear" w:color="auto" w:fill="auto"/>
            <w:noWrap/>
            <w:vAlign w:val="bottom"/>
            <w:hideMark/>
          </w:tcPr>
          <w:p w14:paraId="2A3B670F" w14:textId="6D46D5DA" w:rsidR="009E1300" w:rsidRPr="00932791" w:rsidRDefault="00FA579D" w:rsidP="00BB27D7">
            <w:pPr>
              <w:spacing w:after="0"/>
              <w:jc w:val="right"/>
              <w:rPr>
                <w:rFonts w:ascii="Times New Roman" w:eastAsia="Times New Roman" w:hAnsi="Times New Roman"/>
                <w:b/>
                <w:bCs/>
                <w:sz w:val="20"/>
                <w:szCs w:val="20"/>
              </w:rPr>
            </w:pPr>
            <w:r w:rsidRPr="000D33D1">
              <w:rPr>
                <w:rFonts w:ascii="Times New Roman" w:hAnsi="Times New Roman"/>
                <w:b/>
                <w:bCs/>
                <w:sz w:val="20"/>
                <w:szCs w:val="20"/>
              </w:rPr>
              <w:t>72.0</w:t>
            </w:r>
          </w:p>
        </w:tc>
        <w:tc>
          <w:tcPr>
            <w:tcW w:w="1296" w:type="dxa"/>
            <w:tcBorders>
              <w:top w:val="nil"/>
              <w:left w:val="nil"/>
              <w:bottom w:val="nil"/>
              <w:right w:val="nil"/>
            </w:tcBorders>
            <w:shd w:val="clear" w:color="auto" w:fill="auto"/>
            <w:noWrap/>
            <w:vAlign w:val="bottom"/>
            <w:hideMark/>
          </w:tcPr>
          <w:p w14:paraId="43ED82CA"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7.6%</w:t>
            </w:r>
          </w:p>
        </w:tc>
      </w:tr>
      <w:tr w:rsidR="009E1300" w:rsidRPr="00FD3A1F" w14:paraId="5E56F041" w14:textId="77777777" w:rsidTr="00FF3C4A">
        <w:trPr>
          <w:trHeight w:val="300"/>
        </w:trPr>
        <w:tc>
          <w:tcPr>
            <w:tcW w:w="3776" w:type="dxa"/>
            <w:tcBorders>
              <w:top w:val="nil"/>
              <w:left w:val="nil"/>
              <w:bottom w:val="nil"/>
              <w:right w:val="nil"/>
            </w:tcBorders>
            <w:shd w:val="clear" w:color="auto" w:fill="auto"/>
            <w:noWrap/>
            <w:vAlign w:val="bottom"/>
            <w:hideMark/>
          </w:tcPr>
          <w:p w14:paraId="0DB1C72A"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Retail loans</w:t>
            </w:r>
          </w:p>
        </w:tc>
        <w:tc>
          <w:tcPr>
            <w:tcW w:w="1276" w:type="dxa"/>
            <w:tcBorders>
              <w:top w:val="nil"/>
              <w:left w:val="nil"/>
              <w:bottom w:val="nil"/>
              <w:right w:val="nil"/>
            </w:tcBorders>
            <w:shd w:val="clear" w:color="auto" w:fill="auto"/>
            <w:noWrap/>
            <w:vAlign w:val="bottom"/>
            <w:hideMark/>
          </w:tcPr>
          <w:p w14:paraId="78325CFD"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48.7</w:t>
            </w:r>
          </w:p>
        </w:tc>
        <w:tc>
          <w:tcPr>
            <w:tcW w:w="1276" w:type="dxa"/>
            <w:tcBorders>
              <w:top w:val="nil"/>
              <w:left w:val="nil"/>
              <w:bottom w:val="nil"/>
              <w:right w:val="nil"/>
            </w:tcBorders>
            <w:shd w:val="clear" w:color="auto" w:fill="auto"/>
            <w:noWrap/>
            <w:vAlign w:val="bottom"/>
            <w:hideMark/>
          </w:tcPr>
          <w:p w14:paraId="3F2641BB"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50.2</w:t>
            </w:r>
          </w:p>
        </w:tc>
        <w:tc>
          <w:tcPr>
            <w:tcW w:w="1296" w:type="dxa"/>
            <w:tcBorders>
              <w:top w:val="nil"/>
              <w:left w:val="nil"/>
              <w:bottom w:val="nil"/>
              <w:right w:val="nil"/>
            </w:tcBorders>
            <w:shd w:val="clear" w:color="auto" w:fill="auto"/>
            <w:noWrap/>
            <w:vAlign w:val="bottom"/>
            <w:hideMark/>
          </w:tcPr>
          <w:p w14:paraId="39B48B76"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3.1%</w:t>
            </w:r>
          </w:p>
        </w:tc>
      </w:tr>
      <w:tr w:rsidR="009E1300" w:rsidRPr="00FD3A1F" w14:paraId="4A953601" w14:textId="77777777" w:rsidTr="00FF3C4A">
        <w:trPr>
          <w:trHeight w:val="315"/>
        </w:trPr>
        <w:tc>
          <w:tcPr>
            <w:tcW w:w="3776" w:type="dxa"/>
            <w:tcBorders>
              <w:top w:val="nil"/>
              <w:left w:val="nil"/>
              <w:bottom w:val="nil"/>
              <w:right w:val="nil"/>
            </w:tcBorders>
            <w:shd w:val="clear" w:color="auto" w:fill="auto"/>
            <w:noWrap/>
            <w:vAlign w:val="bottom"/>
            <w:hideMark/>
          </w:tcPr>
          <w:p w14:paraId="484BC4E8"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Corporate loans</w:t>
            </w:r>
          </w:p>
        </w:tc>
        <w:tc>
          <w:tcPr>
            <w:tcW w:w="1276" w:type="dxa"/>
            <w:tcBorders>
              <w:top w:val="nil"/>
              <w:left w:val="nil"/>
              <w:bottom w:val="nil"/>
              <w:right w:val="nil"/>
            </w:tcBorders>
            <w:shd w:val="clear" w:color="auto" w:fill="auto"/>
            <w:noWrap/>
            <w:vAlign w:val="bottom"/>
            <w:hideMark/>
          </w:tcPr>
          <w:p w14:paraId="1DCDC336"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13.3</w:t>
            </w:r>
          </w:p>
        </w:tc>
        <w:tc>
          <w:tcPr>
            <w:tcW w:w="1276" w:type="dxa"/>
            <w:tcBorders>
              <w:top w:val="nil"/>
              <w:left w:val="nil"/>
              <w:bottom w:val="nil"/>
              <w:right w:val="nil"/>
            </w:tcBorders>
            <w:shd w:val="clear" w:color="auto" w:fill="auto"/>
            <w:noWrap/>
            <w:vAlign w:val="bottom"/>
            <w:hideMark/>
          </w:tcPr>
          <w:p w14:paraId="79C6BAAB"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15.5</w:t>
            </w:r>
          </w:p>
        </w:tc>
        <w:tc>
          <w:tcPr>
            <w:tcW w:w="1296" w:type="dxa"/>
            <w:tcBorders>
              <w:top w:val="nil"/>
              <w:left w:val="nil"/>
              <w:bottom w:val="nil"/>
              <w:right w:val="nil"/>
            </w:tcBorders>
            <w:shd w:val="clear" w:color="auto" w:fill="auto"/>
            <w:noWrap/>
            <w:vAlign w:val="bottom"/>
            <w:hideMark/>
          </w:tcPr>
          <w:p w14:paraId="57F419F8"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16.5%</w:t>
            </w:r>
          </w:p>
        </w:tc>
      </w:tr>
      <w:tr w:rsidR="009E1300" w:rsidRPr="00FD3A1F" w14:paraId="4422F5F7" w14:textId="77777777" w:rsidTr="00FF3C4A">
        <w:trPr>
          <w:trHeight w:val="315"/>
        </w:trPr>
        <w:tc>
          <w:tcPr>
            <w:tcW w:w="3776" w:type="dxa"/>
            <w:tcBorders>
              <w:top w:val="nil"/>
              <w:left w:val="nil"/>
              <w:bottom w:val="single" w:sz="8" w:space="0" w:color="auto"/>
              <w:right w:val="nil"/>
            </w:tcBorders>
            <w:shd w:val="clear" w:color="auto" w:fill="auto"/>
            <w:hideMark/>
          </w:tcPr>
          <w:p w14:paraId="5945A851"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Other</w:t>
            </w:r>
          </w:p>
        </w:tc>
        <w:tc>
          <w:tcPr>
            <w:tcW w:w="1276" w:type="dxa"/>
            <w:tcBorders>
              <w:top w:val="nil"/>
              <w:left w:val="nil"/>
              <w:bottom w:val="single" w:sz="8" w:space="0" w:color="auto"/>
              <w:right w:val="nil"/>
            </w:tcBorders>
            <w:shd w:val="clear" w:color="auto" w:fill="auto"/>
            <w:noWrap/>
            <w:vAlign w:val="bottom"/>
            <w:hideMark/>
          </w:tcPr>
          <w:p w14:paraId="6057111A"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4.8</w:t>
            </w:r>
          </w:p>
        </w:tc>
        <w:tc>
          <w:tcPr>
            <w:tcW w:w="1276" w:type="dxa"/>
            <w:tcBorders>
              <w:top w:val="nil"/>
              <w:left w:val="nil"/>
              <w:bottom w:val="single" w:sz="8" w:space="0" w:color="auto"/>
              <w:right w:val="nil"/>
            </w:tcBorders>
            <w:shd w:val="clear" w:color="auto" w:fill="auto"/>
            <w:noWrap/>
            <w:vAlign w:val="bottom"/>
            <w:hideMark/>
          </w:tcPr>
          <w:p w14:paraId="0737FEF2"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6.3</w:t>
            </w:r>
          </w:p>
        </w:tc>
        <w:tc>
          <w:tcPr>
            <w:tcW w:w="1296" w:type="dxa"/>
            <w:tcBorders>
              <w:top w:val="nil"/>
              <w:left w:val="nil"/>
              <w:bottom w:val="single" w:sz="8" w:space="0" w:color="auto"/>
              <w:right w:val="nil"/>
            </w:tcBorders>
            <w:shd w:val="clear" w:color="auto" w:fill="auto"/>
            <w:noWrap/>
            <w:vAlign w:val="bottom"/>
            <w:hideMark/>
          </w:tcPr>
          <w:p w14:paraId="0A3C3DFE"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31.3%</w:t>
            </w:r>
          </w:p>
        </w:tc>
      </w:tr>
    </w:tbl>
    <w:p w14:paraId="0C42E385" w14:textId="1ED1EA44" w:rsidR="009E1300" w:rsidRDefault="009E1300" w:rsidP="00BB27D7">
      <w:pPr>
        <w:spacing w:before="240" w:after="0"/>
        <w:jc w:val="both"/>
        <w:rPr>
          <w:rFonts w:ascii="Times New Roman" w:eastAsia="Times New Roman" w:hAnsi="Times New Roman"/>
          <w:b/>
          <w:i/>
          <w:iCs/>
          <w:sz w:val="24"/>
        </w:rPr>
      </w:pPr>
    </w:p>
    <w:p w14:paraId="7D1F102C" w14:textId="77777777" w:rsidR="009E1300" w:rsidRPr="0034674A" w:rsidRDefault="009E1300" w:rsidP="00BB27D7">
      <w:pPr>
        <w:spacing w:before="240" w:after="0"/>
        <w:jc w:val="both"/>
        <w:rPr>
          <w:rFonts w:ascii="Times New Roman" w:eastAsia="Times New Roman" w:hAnsi="Times New Roman"/>
          <w:b/>
          <w:i/>
          <w:iCs/>
          <w:sz w:val="24"/>
        </w:rPr>
      </w:pPr>
      <w:r w:rsidRPr="00932791">
        <w:rPr>
          <w:rFonts w:ascii="Times New Roman" w:eastAsia="Times New Roman" w:hAnsi="Times New Roman"/>
          <w:b/>
          <w:i/>
          <w:iCs/>
          <w:sz w:val="24"/>
        </w:rPr>
        <w:t>Interest expense</w:t>
      </w:r>
    </w:p>
    <w:p w14:paraId="2BBC644B" w14:textId="77777777" w:rsidR="009E1300" w:rsidRPr="0034674A" w:rsidRDefault="009E1300" w:rsidP="00BB27D7">
      <w:pPr>
        <w:spacing w:before="240" w:after="0"/>
        <w:jc w:val="both"/>
        <w:rPr>
          <w:rFonts w:ascii="Times New Roman" w:eastAsia="Times New Roman" w:hAnsi="Times New Roman"/>
          <w:sz w:val="24"/>
          <w:szCs w:val="24"/>
        </w:rPr>
      </w:pPr>
      <w:r w:rsidRPr="00C861F9">
        <w:rPr>
          <w:rFonts w:ascii="Times New Roman" w:eastAsia="Times New Roman" w:hAnsi="Times New Roman"/>
          <w:iCs/>
          <w:sz w:val="24"/>
        </w:rPr>
        <w:t>T</w:t>
      </w:r>
      <w:r>
        <w:rPr>
          <w:rFonts w:ascii="Times New Roman" w:eastAsia="Times New Roman" w:hAnsi="Times New Roman"/>
          <w:sz w:val="24"/>
        </w:rPr>
        <w:t>he Bank realized decrease in the interest expenses on average by 18%.</w:t>
      </w:r>
    </w:p>
    <w:tbl>
      <w:tblPr>
        <w:tblW w:w="7624" w:type="dxa"/>
        <w:tblLook w:val="04A0" w:firstRow="1" w:lastRow="0" w:firstColumn="1" w:lastColumn="0" w:noHBand="0" w:noVBand="1"/>
      </w:tblPr>
      <w:tblGrid>
        <w:gridCol w:w="3776"/>
        <w:gridCol w:w="1276"/>
        <w:gridCol w:w="1276"/>
        <w:gridCol w:w="1296"/>
      </w:tblGrid>
      <w:tr w:rsidR="009E1300" w:rsidRPr="00FD3A1F" w14:paraId="6653BD75" w14:textId="77777777" w:rsidTr="00FF3C4A">
        <w:trPr>
          <w:trHeight w:val="300"/>
        </w:trPr>
        <w:tc>
          <w:tcPr>
            <w:tcW w:w="3776" w:type="dxa"/>
            <w:tcBorders>
              <w:top w:val="nil"/>
              <w:left w:val="nil"/>
              <w:bottom w:val="nil"/>
              <w:right w:val="nil"/>
            </w:tcBorders>
            <w:shd w:val="clear" w:color="auto" w:fill="auto"/>
            <w:noWrap/>
            <w:vAlign w:val="bottom"/>
            <w:hideMark/>
          </w:tcPr>
          <w:p w14:paraId="756051E8" w14:textId="77777777" w:rsidR="009E1300" w:rsidRPr="00932791" w:rsidRDefault="009E1300" w:rsidP="00BB27D7">
            <w:pPr>
              <w:spacing w:after="0"/>
              <w:rPr>
                <w:rFonts w:ascii="Times New Roman" w:eastAsia="Times New Roman" w:hAnsi="Times New Roman"/>
                <w:i/>
                <w:iCs/>
                <w:sz w:val="20"/>
                <w:szCs w:val="20"/>
              </w:rPr>
            </w:pPr>
            <w:r w:rsidRPr="00932791">
              <w:rPr>
                <w:rFonts w:ascii="Times New Roman" w:eastAsia="Times New Roman" w:hAnsi="Times New Roman"/>
                <w:i/>
                <w:iCs/>
                <w:sz w:val="20"/>
                <w:szCs w:val="20"/>
              </w:rPr>
              <w:t>in EUR million</w:t>
            </w:r>
          </w:p>
        </w:tc>
        <w:tc>
          <w:tcPr>
            <w:tcW w:w="1276" w:type="dxa"/>
            <w:tcBorders>
              <w:top w:val="nil"/>
              <w:left w:val="nil"/>
              <w:bottom w:val="nil"/>
              <w:right w:val="nil"/>
            </w:tcBorders>
            <w:shd w:val="clear" w:color="auto" w:fill="auto"/>
            <w:noWrap/>
            <w:vAlign w:val="bottom"/>
            <w:hideMark/>
          </w:tcPr>
          <w:p w14:paraId="0B33281F" w14:textId="77777777" w:rsidR="009E1300" w:rsidRPr="00932791" w:rsidRDefault="009E1300" w:rsidP="00BB27D7">
            <w:pPr>
              <w:spacing w:after="0"/>
              <w:rPr>
                <w:rFonts w:ascii="Times New Roman" w:eastAsia="Times New Roman" w:hAnsi="Times New Roman"/>
                <w:i/>
                <w:iCs/>
                <w:sz w:val="20"/>
                <w:szCs w:val="20"/>
              </w:rPr>
            </w:pPr>
          </w:p>
        </w:tc>
        <w:tc>
          <w:tcPr>
            <w:tcW w:w="1276" w:type="dxa"/>
            <w:tcBorders>
              <w:top w:val="nil"/>
              <w:left w:val="nil"/>
              <w:bottom w:val="nil"/>
              <w:right w:val="nil"/>
            </w:tcBorders>
            <w:shd w:val="clear" w:color="auto" w:fill="auto"/>
            <w:noWrap/>
            <w:vAlign w:val="bottom"/>
            <w:hideMark/>
          </w:tcPr>
          <w:p w14:paraId="4496E409" w14:textId="77777777" w:rsidR="009E1300" w:rsidRPr="00932791" w:rsidRDefault="009E1300" w:rsidP="00BB27D7">
            <w:pPr>
              <w:spacing w:after="0"/>
              <w:rPr>
                <w:rFonts w:ascii="Times New Roman" w:eastAsia="Times New Roman" w:hAnsi="Times New Roman"/>
                <w:sz w:val="20"/>
                <w:szCs w:val="20"/>
              </w:rPr>
            </w:pPr>
          </w:p>
        </w:tc>
        <w:tc>
          <w:tcPr>
            <w:tcW w:w="1296" w:type="dxa"/>
            <w:tcBorders>
              <w:top w:val="nil"/>
              <w:left w:val="nil"/>
              <w:bottom w:val="nil"/>
              <w:right w:val="nil"/>
            </w:tcBorders>
            <w:shd w:val="clear" w:color="auto" w:fill="auto"/>
            <w:noWrap/>
            <w:vAlign w:val="bottom"/>
            <w:hideMark/>
          </w:tcPr>
          <w:p w14:paraId="6BB6FEA4" w14:textId="77777777" w:rsidR="009E1300" w:rsidRPr="00932791" w:rsidRDefault="009E1300" w:rsidP="00BB27D7">
            <w:pPr>
              <w:spacing w:after="0"/>
              <w:rPr>
                <w:rFonts w:ascii="Times New Roman" w:eastAsia="Times New Roman" w:hAnsi="Times New Roman"/>
                <w:sz w:val="20"/>
                <w:szCs w:val="20"/>
              </w:rPr>
            </w:pPr>
          </w:p>
        </w:tc>
      </w:tr>
      <w:tr w:rsidR="009E1300" w:rsidRPr="00FD3A1F" w14:paraId="1A7D7FE6" w14:textId="77777777" w:rsidTr="00FF3C4A">
        <w:trPr>
          <w:trHeight w:val="345"/>
        </w:trPr>
        <w:tc>
          <w:tcPr>
            <w:tcW w:w="3776" w:type="dxa"/>
            <w:tcBorders>
              <w:top w:val="single" w:sz="4" w:space="0" w:color="auto"/>
              <w:left w:val="nil"/>
              <w:bottom w:val="single" w:sz="4" w:space="0" w:color="auto"/>
              <w:right w:val="nil"/>
            </w:tcBorders>
            <w:shd w:val="clear" w:color="auto" w:fill="auto"/>
            <w:noWrap/>
            <w:vAlign w:val="bottom"/>
            <w:hideMark/>
          </w:tcPr>
          <w:p w14:paraId="3598104A"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w:t>
            </w:r>
          </w:p>
        </w:tc>
        <w:tc>
          <w:tcPr>
            <w:tcW w:w="1276" w:type="dxa"/>
            <w:tcBorders>
              <w:top w:val="single" w:sz="4" w:space="0" w:color="auto"/>
              <w:left w:val="nil"/>
              <w:bottom w:val="single" w:sz="4" w:space="0" w:color="auto"/>
              <w:right w:val="nil"/>
            </w:tcBorders>
            <w:shd w:val="clear" w:color="auto" w:fill="auto"/>
            <w:noWrap/>
            <w:vAlign w:val="bottom"/>
            <w:hideMark/>
          </w:tcPr>
          <w:p w14:paraId="25B5B81B"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2021</w:t>
            </w:r>
          </w:p>
        </w:tc>
        <w:tc>
          <w:tcPr>
            <w:tcW w:w="1276" w:type="dxa"/>
            <w:tcBorders>
              <w:top w:val="single" w:sz="4" w:space="0" w:color="auto"/>
              <w:left w:val="nil"/>
              <w:bottom w:val="single" w:sz="4" w:space="0" w:color="auto"/>
              <w:right w:val="nil"/>
            </w:tcBorders>
            <w:shd w:val="clear" w:color="auto" w:fill="auto"/>
            <w:noWrap/>
            <w:vAlign w:val="bottom"/>
            <w:hideMark/>
          </w:tcPr>
          <w:p w14:paraId="4764B9C0"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2022</w:t>
            </w:r>
          </w:p>
        </w:tc>
        <w:tc>
          <w:tcPr>
            <w:tcW w:w="1296" w:type="dxa"/>
            <w:tcBorders>
              <w:top w:val="single" w:sz="4" w:space="0" w:color="auto"/>
              <w:left w:val="nil"/>
              <w:bottom w:val="single" w:sz="4" w:space="0" w:color="auto"/>
              <w:right w:val="nil"/>
            </w:tcBorders>
            <w:shd w:val="clear" w:color="auto" w:fill="auto"/>
            <w:noWrap/>
            <w:vAlign w:val="bottom"/>
            <w:hideMark/>
          </w:tcPr>
          <w:p w14:paraId="7E36E1B3"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 change</w:t>
            </w:r>
          </w:p>
        </w:tc>
      </w:tr>
      <w:tr w:rsidR="009E1300" w:rsidRPr="00FD3A1F" w14:paraId="7C2BAD63" w14:textId="77777777" w:rsidTr="00FF3C4A">
        <w:trPr>
          <w:trHeight w:val="300"/>
        </w:trPr>
        <w:tc>
          <w:tcPr>
            <w:tcW w:w="3776" w:type="dxa"/>
            <w:tcBorders>
              <w:top w:val="nil"/>
              <w:left w:val="nil"/>
              <w:bottom w:val="nil"/>
              <w:right w:val="nil"/>
            </w:tcBorders>
            <w:shd w:val="clear" w:color="auto" w:fill="auto"/>
            <w:noWrap/>
            <w:vAlign w:val="bottom"/>
            <w:hideMark/>
          </w:tcPr>
          <w:p w14:paraId="5BA0555F" w14:textId="77777777" w:rsidR="009E1300" w:rsidRPr="00932791" w:rsidRDefault="009E1300"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Interest expenses</w:t>
            </w:r>
          </w:p>
        </w:tc>
        <w:tc>
          <w:tcPr>
            <w:tcW w:w="1276" w:type="dxa"/>
            <w:tcBorders>
              <w:top w:val="nil"/>
              <w:left w:val="nil"/>
              <w:bottom w:val="nil"/>
              <w:right w:val="nil"/>
            </w:tcBorders>
            <w:shd w:val="clear" w:color="auto" w:fill="auto"/>
            <w:noWrap/>
            <w:vAlign w:val="bottom"/>
            <w:hideMark/>
          </w:tcPr>
          <w:p w14:paraId="30F80DE8"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4.4</w:t>
            </w:r>
          </w:p>
        </w:tc>
        <w:tc>
          <w:tcPr>
            <w:tcW w:w="1276" w:type="dxa"/>
            <w:tcBorders>
              <w:top w:val="nil"/>
              <w:left w:val="nil"/>
              <w:bottom w:val="nil"/>
              <w:right w:val="nil"/>
            </w:tcBorders>
            <w:shd w:val="clear" w:color="auto" w:fill="auto"/>
            <w:noWrap/>
            <w:vAlign w:val="bottom"/>
            <w:hideMark/>
          </w:tcPr>
          <w:p w14:paraId="373A4271"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3.6</w:t>
            </w:r>
          </w:p>
        </w:tc>
        <w:tc>
          <w:tcPr>
            <w:tcW w:w="1296" w:type="dxa"/>
            <w:tcBorders>
              <w:top w:val="nil"/>
              <w:left w:val="nil"/>
              <w:bottom w:val="nil"/>
              <w:right w:val="nil"/>
            </w:tcBorders>
            <w:shd w:val="clear" w:color="auto" w:fill="auto"/>
            <w:noWrap/>
            <w:vAlign w:val="bottom"/>
            <w:hideMark/>
          </w:tcPr>
          <w:p w14:paraId="5113B5A0"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-18.2%</w:t>
            </w:r>
          </w:p>
        </w:tc>
      </w:tr>
      <w:tr w:rsidR="009E1300" w:rsidRPr="00FD3A1F" w14:paraId="7C35752B" w14:textId="77777777" w:rsidTr="00FF3C4A">
        <w:trPr>
          <w:trHeight w:val="300"/>
        </w:trPr>
        <w:tc>
          <w:tcPr>
            <w:tcW w:w="3776" w:type="dxa"/>
            <w:tcBorders>
              <w:top w:val="nil"/>
              <w:left w:val="nil"/>
              <w:bottom w:val="nil"/>
              <w:right w:val="nil"/>
            </w:tcBorders>
            <w:shd w:val="clear" w:color="auto" w:fill="auto"/>
            <w:noWrap/>
            <w:vAlign w:val="bottom"/>
            <w:hideMark/>
          </w:tcPr>
          <w:p w14:paraId="32A7AF3E"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Retail deposits</w:t>
            </w:r>
          </w:p>
        </w:tc>
        <w:tc>
          <w:tcPr>
            <w:tcW w:w="1276" w:type="dxa"/>
            <w:tcBorders>
              <w:top w:val="nil"/>
              <w:left w:val="nil"/>
              <w:bottom w:val="nil"/>
              <w:right w:val="nil"/>
            </w:tcBorders>
            <w:shd w:val="clear" w:color="auto" w:fill="auto"/>
            <w:noWrap/>
            <w:vAlign w:val="bottom"/>
            <w:hideMark/>
          </w:tcPr>
          <w:p w14:paraId="65FAB629"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3.3</w:t>
            </w:r>
          </w:p>
        </w:tc>
        <w:tc>
          <w:tcPr>
            <w:tcW w:w="1276" w:type="dxa"/>
            <w:tcBorders>
              <w:top w:val="nil"/>
              <w:left w:val="nil"/>
              <w:bottom w:val="nil"/>
              <w:right w:val="nil"/>
            </w:tcBorders>
            <w:shd w:val="clear" w:color="auto" w:fill="auto"/>
            <w:noWrap/>
            <w:vAlign w:val="bottom"/>
            <w:hideMark/>
          </w:tcPr>
          <w:p w14:paraId="5E2B3E86"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2.2</w:t>
            </w:r>
          </w:p>
        </w:tc>
        <w:tc>
          <w:tcPr>
            <w:tcW w:w="1296" w:type="dxa"/>
            <w:tcBorders>
              <w:top w:val="nil"/>
              <w:left w:val="nil"/>
              <w:bottom w:val="nil"/>
              <w:right w:val="nil"/>
            </w:tcBorders>
            <w:shd w:val="clear" w:color="auto" w:fill="auto"/>
            <w:noWrap/>
            <w:vAlign w:val="bottom"/>
            <w:hideMark/>
          </w:tcPr>
          <w:p w14:paraId="3C0A8FA5"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-33.3%</w:t>
            </w:r>
          </w:p>
        </w:tc>
      </w:tr>
      <w:tr w:rsidR="009E1300" w:rsidRPr="00FD3A1F" w14:paraId="1B41815A" w14:textId="77777777" w:rsidTr="00FF3C4A">
        <w:trPr>
          <w:trHeight w:val="300"/>
        </w:trPr>
        <w:tc>
          <w:tcPr>
            <w:tcW w:w="3776" w:type="dxa"/>
            <w:tcBorders>
              <w:top w:val="nil"/>
              <w:left w:val="nil"/>
              <w:bottom w:val="nil"/>
              <w:right w:val="nil"/>
            </w:tcBorders>
            <w:shd w:val="clear" w:color="auto" w:fill="auto"/>
            <w:noWrap/>
            <w:vAlign w:val="bottom"/>
            <w:hideMark/>
          </w:tcPr>
          <w:p w14:paraId="29DCF6B9"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Corporate deposits</w:t>
            </w:r>
          </w:p>
        </w:tc>
        <w:tc>
          <w:tcPr>
            <w:tcW w:w="1276" w:type="dxa"/>
            <w:tcBorders>
              <w:top w:val="nil"/>
              <w:left w:val="nil"/>
              <w:bottom w:val="nil"/>
              <w:right w:val="nil"/>
            </w:tcBorders>
            <w:shd w:val="clear" w:color="auto" w:fill="auto"/>
            <w:noWrap/>
            <w:vAlign w:val="bottom"/>
            <w:hideMark/>
          </w:tcPr>
          <w:p w14:paraId="1CF1D3AD"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0.3</w:t>
            </w:r>
          </w:p>
        </w:tc>
        <w:tc>
          <w:tcPr>
            <w:tcW w:w="1276" w:type="dxa"/>
            <w:tcBorders>
              <w:top w:val="nil"/>
              <w:left w:val="nil"/>
              <w:bottom w:val="nil"/>
              <w:right w:val="nil"/>
            </w:tcBorders>
            <w:shd w:val="clear" w:color="auto" w:fill="auto"/>
            <w:noWrap/>
            <w:vAlign w:val="bottom"/>
            <w:hideMark/>
          </w:tcPr>
          <w:p w14:paraId="04525DBB"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0.4</w:t>
            </w:r>
          </w:p>
        </w:tc>
        <w:tc>
          <w:tcPr>
            <w:tcW w:w="1296" w:type="dxa"/>
            <w:tcBorders>
              <w:top w:val="nil"/>
              <w:left w:val="nil"/>
              <w:bottom w:val="nil"/>
              <w:right w:val="nil"/>
            </w:tcBorders>
            <w:shd w:val="clear" w:color="auto" w:fill="auto"/>
            <w:noWrap/>
            <w:vAlign w:val="bottom"/>
            <w:hideMark/>
          </w:tcPr>
          <w:p w14:paraId="66E28627"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33.3%</w:t>
            </w:r>
          </w:p>
        </w:tc>
      </w:tr>
      <w:tr w:rsidR="009E1300" w:rsidRPr="00FD3A1F" w14:paraId="38819C39" w14:textId="77777777" w:rsidTr="00FF3C4A">
        <w:trPr>
          <w:trHeight w:val="315"/>
        </w:trPr>
        <w:tc>
          <w:tcPr>
            <w:tcW w:w="3776" w:type="dxa"/>
            <w:tcBorders>
              <w:top w:val="nil"/>
              <w:left w:val="nil"/>
              <w:bottom w:val="single" w:sz="8" w:space="0" w:color="auto"/>
              <w:right w:val="nil"/>
            </w:tcBorders>
            <w:shd w:val="clear" w:color="auto" w:fill="auto"/>
            <w:noWrap/>
            <w:vAlign w:val="bottom"/>
            <w:hideMark/>
          </w:tcPr>
          <w:p w14:paraId="3B0C24D9"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Other liabilities</w:t>
            </w:r>
          </w:p>
        </w:tc>
        <w:tc>
          <w:tcPr>
            <w:tcW w:w="1276" w:type="dxa"/>
            <w:tcBorders>
              <w:top w:val="nil"/>
              <w:left w:val="nil"/>
              <w:bottom w:val="single" w:sz="8" w:space="0" w:color="auto"/>
              <w:right w:val="nil"/>
            </w:tcBorders>
            <w:shd w:val="clear" w:color="auto" w:fill="auto"/>
            <w:noWrap/>
            <w:vAlign w:val="bottom"/>
            <w:hideMark/>
          </w:tcPr>
          <w:p w14:paraId="5BEE79CA"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0.8</w:t>
            </w:r>
          </w:p>
        </w:tc>
        <w:tc>
          <w:tcPr>
            <w:tcW w:w="1276" w:type="dxa"/>
            <w:tcBorders>
              <w:top w:val="nil"/>
              <w:left w:val="nil"/>
              <w:bottom w:val="single" w:sz="8" w:space="0" w:color="auto"/>
              <w:right w:val="nil"/>
            </w:tcBorders>
            <w:shd w:val="clear" w:color="auto" w:fill="auto"/>
            <w:noWrap/>
            <w:vAlign w:val="bottom"/>
            <w:hideMark/>
          </w:tcPr>
          <w:p w14:paraId="66C315DE"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0.9</w:t>
            </w:r>
          </w:p>
        </w:tc>
        <w:tc>
          <w:tcPr>
            <w:tcW w:w="1296" w:type="dxa"/>
            <w:tcBorders>
              <w:top w:val="nil"/>
              <w:left w:val="nil"/>
              <w:bottom w:val="single" w:sz="8" w:space="0" w:color="auto"/>
              <w:right w:val="nil"/>
            </w:tcBorders>
            <w:shd w:val="clear" w:color="auto" w:fill="auto"/>
            <w:noWrap/>
            <w:vAlign w:val="bottom"/>
            <w:hideMark/>
          </w:tcPr>
          <w:p w14:paraId="652ADD88"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12.5%</w:t>
            </w:r>
          </w:p>
        </w:tc>
      </w:tr>
    </w:tbl>
    <w:p w14:paraId="5F530D2C" w14:textId="77777777" w:rsidR="009E1300" w:rsidRDefault="009E1300" w:rsidP="00BB27D7">
      <w:pPr>
        <w:spacing w:after="0"/>
        <w:jc w:val="both"/>
        <w:outlineLvl w:val="0"/>
        <w:rPr>
          <w:rFonts w:ascii="Times New Roman" w:eastAsia="Times New Roman" w:hAnsi="Times New Roman"/>
          <w:b/>
          <w:i/>
          <w:sz w:val="24"/>
          <w:szCs w:val="24"/>
        </w:rPr>
      </w:pPr>
    </w:p>
    <w:p w14:paraId="2B724BE2" w14:textId="77777777" w:rsidR="00AE6243" w:rsidRDefault="00AE6243" w:rsidP="00BB27D7">
      <w:pPr>
        <w:spacing w:before="240" w:after="0"/>
        <w:jc w:val="both"/>
        <w:rPr>
          <w:rFonts w:ascii="Times New Roman" w:eastAsia="Times New Roman" w:hAnsi="Times New Roman"/>
          <w:b/>
          <w:i/>
          <w:iCs/>
          <w:sz w:val="24"/>
        </w:rPr>
      </w:pPr>
    </w:p>
    <w:p w14:paraId="26EA443F" w14:textId="77777777" w:rsidR="00AE6243" w:rsidRDefault="00AE6243" w:rsidP="00BB27D7">
      <w:pPr>
        <w:spacing w:before="240" w:after="0"/>
        <w:jc w:val="both"/>
        <w:rPr>
          <w:rFonts w:ascii="Times New Roman" w:eastAsia="Times New Roman" w:hAnsi="Times New Roman"/>
          <w:b/>
          <w:i/>
          <w:iCs/>
          <w:sz w:val="24"/>
        </w:rPr>
      </w:pPr>
    </w:p>
    <w:p w14:paraId="4411E04C" w14:textId="77777777" w:rsidR="00AE6243" w:rsidRDefault="00AE6243" w:rsidP="00BB27D7">
      <w:pPr>
        <w:spacing w:before="240" w:after="0"/>
        <w:jc w:val="both"/>
        <w:rPr>
          <w:rFonts w:ascii="Times New Roman" w:eastAsia="Times New Roman" w:hAnsi="Times New Roman"/>
          <w:b/>
          <w:i/>
          <w:iCs/>
          <w:sz w:val="24"/>
        </w:rPr>
      </w:pPr>
    </w:p>
    <w:p w14:paraId="1979A903" w14:textId="77777777" w:rsidR="000120F5" w:rsidRDefault="000120F5" w:rsidP="00BB27D7">
      <w:pPr>
        <w:spacing w:before="240" w:after="0"/>
        <w:jc w:val="both"/>
        <w:rPr>
          <w:rFonts w:ascii="Times New Roman" w:eastAsia="Times New Roman" w:hAnsi="Times New Roman"/>
          <w:b/>
          <w:i/>
          <w:iCs/>
          <w:sz w:val="24"/>
        </w:rPr>
      </w:pPr>
    </w:p>
    <w:p w14:paraId="45C9D7AA" w14:textId="77777777" w:rsidR="000120F5" w:rsidRDefault="000120F5" w:rsidP="00BB27D7">
      <w:pPr>
        <w:spacing w:before="240" w:after="0"/>
        <w:jc w:val="both"/>
        <w:rPr>
          <w:rFonts w:ascii="Times New Roman" w:eastAsia="Times New Roman" w:hAnsi="Times New Roman"/>
          <w:b/>
          <w:i/>
          <w:iCs/>
          <w:sz w:val="24"/>
        </w:rPr>
      </w:pPr>
    </w:p>
    <w:p w14:paraId="102D425B" w14:textId="73F2D45D" w:rsidR="009E1300" w:rsidRPr="009802EA" w:rsidRDefault="009E1300" w:rsidP="00BB27D7">
      <w:pPr>
        <w:spacing w:before="240" w:after="0"/>
        <w:jc w:val="both"/>
        <w:rPr>
          <w:rFonts w:ascii="Times New Roman" w:eastAsia="Times New Roman" w:hAnsi="Times New Roman"/>
          <w:b/>
          <w:i/>
          <w:iCs/>
          <w:sz w:val="24"/>
        </w:rPr>
      </w:pPr>
      <w:r w:rsidRPr="00932791">
        <w:rPr>
          <w:rFonts w:ascii="Times New Roman" w:eastAsia="Times New Roman" w:hAnsi="Times New Roman"/>
          <w:b/>
          <w:i/>
          <w:iCs/>
          <w:sz w:val="24"/>
        </w:rPr>
        <w:lastRenderedPageBreak/>
        <w:t>Net Interest Income</w:t>
      </w:r>
    </w:p>
    <w:p w14:paraId="335749B8" w14:textId="2C92E373" w:rsidR="009E1300" w:rsidRDefault="009E1300" w:rsidP="00BB27D7">
      <w:pPr>
        <w:spacing w:before="240" w:after="0"/>
        <w:jc w:val="both"/>
        <w:rPr>
          <w:rFonts w:ascii="Times New Roman" w:eastAsia="Times New Roman" w:hAnsi="Times New Roman"/>
          <w:sz w:val="24"/>
          <w:szCs w:val="24"/>
          <w:lang w:val="en"/>
        </w:rPr>
      </w:pPr>
      <w:r w:rsidRPr="00C861F9">
        <w:rPr>
          <w:rFonts w:ascii="Times New Roman" w:eastAsia="Times New Roman" w:hAnsi="Times New Roman"/>
          <w:iCs/>
          <w:sz w:val="24"/>
        </w:rPr>
        <w:t>N</w:t>
      </w:r>
      <w:r w:rsidRPr="009802EA">
        <w:rPr>
          <w:rFonts w:ascii="Times New Roman" w:eastAsia="Times New Roman" w:hAnsi="Times New Roman"/>
          <w:iCs/>
          <w:sz w:val="24"/>
        </w:rPr>
        <w:t>et interest income amounted to EUR 6</w:t>
      </w:r>
      <w:r>
        <w:rPr>
          <w:rFonts w:ascii="Times New Roman" w:eastAsia="Times New Roman" w:hAnsi="Times New Roman"/>
          <w:iCs/>
          <w:sz w:val="24"/>
        </w:rPr>
        <w:t>8</w:t>
      </w:r>
      <w:r w:rsidRPr="009802EA">
        <w:rPr>
          <w:rFonts w:ascii="Times New Roman" w:eastAsia="Times New Roman" w:hAnsi="Times New Roman"/>
          <w:iCs/>
          <w:sz w:val="24"/>
        </w:rPr>
        <w:t>.</w:t>
      </w:r>
      <w:r>
        <w:rPr>
          <w:rFonts w:ascii="Times New Roman" w:eastAsia="Times New Roman" w:hAnsi="Times New Roman"/>
          <w:iCs/>
          <w:sz w:val="24"/>
        </w:rPr>
        <w:t>4</w:t>
      </w:r>
      <w:r w:rsidRPr="009802EA">
        <w:rPr>
          <w:rFonts w:ascii="Times New Roman" w:eastAsia="Times New Roman" w:hAnsi="Times New Roman"/>
          <w:iCs/>
          <w:sz w:val="24"/>
        </w:rPr>
        <w:t xml:space="preserve"> million and increased by </w:t>
      </w:r>
      <w:r>
        <w:rPr>
          <w:rFonts w:ascii="Times New Roman" w:eastAsia="Times New Roman" w:hAnsi="Times New Roman"/>
          <w:iCs/>
          <w:sz w:val="24"/>
        </w:rPr>
        <w:t>9</w:t>
      </w:r>
      <w:r w:rsidRPr="009802EA">
        <w:rPr>
          <w:rFonts w:ascii="Times New Roman" w:eastAsia="Times New Roman" w:hAnsi="Times New Roman"/>
          <w:iCs/>
          <w:sz w:val="24"/>
        </w:rPr>
        <w:t>.</w:t>
      </w:r>
      <w:r>
        <w:rPr>
          <w:rFonts w:ascii="Times New Roman" w:eastAsia="Times New Roman" w:hAnsi="Times New Roman"/>
          <w:iCs/>
          <w:sz w:val="24"/>
        </w:rPr>
        <w:t>6</w:t>
      </w:r>
      <w:r w:rsidRPr="009802EA">
        <w:rPr>
          <w:rFonts w:ascii="Times New Roman" w:eastAsia="Times New Roman" w:hAnsi="Times New Roman"/>
          <w:iCs/>
          <w:sz w:val="24"/>
        </w:rPr>
        <w:t xml:space="preserve">% </w:t>
      </w:r>
      <w:r w:rsidRPr="00C861F9">
        <w:rPr>
          <w:rFonts w:ascii="Times New Roman" w:eastAsia="Times New Roman" w:hAnsi="Times New Roman"/>
          <w:sz w:val="24"/>
          <w:szCs w:val="24"/>
          <w:lang w:val="en"/>
        </w:rPr>
        <w:t xml:space="preserve">primarily </w:t>
      </w:r>
      <w:proofErr w:type="gramStart"/>
      <w:r w:rsidRPr="00C861F9">
        <w:rPr>
          <w:rFonts w:ascii="Times New Roman" w:eastAsia="Times New Roman" w:hAnsi="Times New Roman"/>
          <w:sz w:val="24"/>
          <w:szCs w:val="24"/>
          <w:lang w:val="en"/>
        </w:rPr>
        <w:t>as a result</w:t>
      </w:r>
      <w:proofErr w:type="gramEnd"/>
      <w:r w:rsidRPr="00C861F9">
        <w:rPr>
          <w:rFonts w:ascii="Times New Roman" w:eastAsia="Times New Roman" w:hAnsi="Times New Roman"/>
          <w:sz w:val="24"/>
          <w:szCs w:val="24"/>
          <w:lang w:val="en"/>
        </w:rPr>
        <w:t xml:space="preserve"> of int</w:t>
      </w:r>
      <w:r>
        <w:rPr>
          <w:rFonts w:ascii="Times New Roman" w:eastAsia="Times New Roman" w:hAnsi="Times New Roman"/>
          <w:sz w:val="24"/>
          <w:szCs w:val="24"/>
          <w:lang w:val="en"/>
        </w:rPr>
        <w:t>ensive credit activities and</w:t>
      </w:r>
      <w:r w:rsidRPr="00C861F9">
        <w:rPr>
          <w:rFonts w:ascii="Times New Roman" w:eastAsia="Times New Roman" w:hAnsi="Times New Roman"/>
          <w:sz w:val="24"/>
          <w:szCs w:val="24"/>
          <w:lang w:val="en"/>
        </w:rPr>
        <w:t xml:space="preserve"> increase of the credit portfolio.</w:t>
      </w:r>
    </w:p>
    <w:p w14:paraId="1A2C6FC6" w14:textId="77777777" w:rsidR="00AE6243" w:rsidRPr="003749BA" w:rsidRDefault="00AE6243" w:rsidP="00BB27D7">
      <w:pPr>
        <w:spacing w:before="240" w:after="0"/>
        <w:jc w:val="both"/>
        <w:rPr>
          <w:rFonts w:ascii="Times New Roman" w:eastAsia="Times New Roman" w:hAnsi="Times New Roman"/>
          <w:sz w:val="24"/>
          <w:szCs w:val="24"/>
          <w:lang w:val="en"/>
        </w:rPr>
      </w:pPr>
    </w:p>
    <w:tbl>
      <w:tblPr>
        <w:tblW w:w="7624" w:type="dxa"/>
        <w:tblLook w:val="04A0" w:firstRow="1" w:lastRow="0" w:firstColumn="1" w:lastColumn="0" w:noHBand="0" w:noVBand="1"/>
      </w:tblPr>
      <w:tblGrid>
        <w:gridCol w:w="3776"/>
        <w:gridCol w:w="1276"/>
        <w:gridCol w:w="1276"/>
        <w:gridCol w:w="1296"/>
      </w:tblGrid>
      <w:tr w:rsidR="009E1300" w:rsidRPr="00CC70D1" w14:paraId="4E1A575A" w14:textId="77777777" w:rsidTr="00FF3C4A">
        <w:trPr>
          <w:trHeight w:val="300"/>
        </w:trPr>
        <w:tc>
          <w:tcPr>
            <w:tcW w:w="3776" w:type="dxa"/>
            <w:tcBorders>
              <w:top w:val="nil"/>
              <w:left w:val="nil"/>
              <w:bottom w:val="nil"/>
              <w:right w:val="nil"/>
            </w:tcBorders>
            <w:shd w:val="clear" w:color="auto" w:fill="auto"/>
            <w:noWrap/>
            <w:vAlign w:val="bottom"/>
            <w:hideMark/>
          </w:tcPr>
          <w:p w14:paraId="36B3D536" w14:textId="77777777" w:rsidR="009E1300" w:rsidRPr="00932791" w:rsidRDefault="009E1300" w:rsidP="00BB27D7">
            <w:pPr>
              <w:spacing w:after="0"/>
              <w:rPr>
                <w:rFonts w:ascii="Times New Roman" w:eastAsia="Times New Roman" w:hAnsi="Times New Roman"/>
                <w:i/>
                <w:iCs/>
                <w:sz w:val="20"/>
                <w:szCs w:val="20"/>
              </w:rPr>
            </w:pPr>
            <w:r w:rsidRPr="00932791">
              <w:rPr>
                <w:rFonts w:ascii="Times New Roman" w:eastAsia="Times New Roman" w:hAnsi="Times New Roman"/>
                <w:i/>
                <w:iCs/>
                <w:sz w:val="20"/>
                <w:szCs w:val="20"/>
              </w:rPr>
              <w:t>in EUR million</w:t>
            </w:r>
          </w:p>
        </w:tc>
        <w:tc>
          <w:tcPr>
            <w:tcW w:w="1276" w:type="dxa"/>
            <w:tcBorders>
              <w:top w:val="nil"/>
              <w:left w:val="nil"/>
              <w:bottom w:val="nil"/>
              <w:right w:val="nil"/>
            </w:tcBorders>
            <w:shd w:val="clear" w:color="auto" w:fill="auto"/>
            <w:noWrap/>
            <w:vAlign w:val="bottom"/>
            <w:hideMark/>
          </w:tcPr>
          <w:p w14:paraId="2C074964" w14:textId="77777777" w:rsidR="009E1300" w:rsidRPr="00932791" w:rsidRDefault="009E1300" w:rsidP="00BB27D7">
            <w:pPr>
              <w:spacing w:after="0"/>
              <w:rPr>
                <w:rFonts w:ascii="Times New Roman" w:eastAsia="Times New Roman" w:hAnsi="Times New Roman"/>
                <w:i/>
                <w:iCs/>
                <w:sz w:val="20"/>
                <w:szCs w:val="20"/>
              </w:rPr>
            </w:pPr>
          </w:p>
        </w:tc>
        <w:tc>
          <w:tcPr>
            <w:tcW w:w="1276" w:type="dxa"/>
            <w:tcBorders>
              <w:top w:val="nil"/>
              <w:left w:val="nil"/>
              <w:bottom w:val="nil"/>
              <w:right w:val="nil"/>
            </w:tcBorders>
            <w:shd w:val="clear" w:color="auto" w:fill="auto"/>
            <w:noWrap/>
            <w:vAlign w:val="bottom"/>
            <w:hideMark/>
          </w:tcPr>
          <w:p w14:paraId="2E9753D3" w14:textId="77777777" w:rsidR="009E1300" w:rsidRPr="00932791" w:rsidRDefault="009E1300" w:rsidP="00BB27D7">
            <w:pPr>
              <w:spacing w:after="0"/>
              <w:rPr>
                <w:rFonts w:ascii="Times New Roman" w:eastAsia="Times New Roman" w:hAnsi="Times New Roman"/>
                <w:sz w:val="20"/>
                <w:szCs w:val="20"/>
              </w:rPr>
            </w:pPr>
          </w:p>
        </w:tc>
        <w:tc>
          <w:tcPr>
            <w:tcW w:w="1296" w:type="dxa"/>
            <w:tcBorders>
              <w:top w:val="nil"/>
              <w:left w:val="nil"/>
              <w:bottom w:val="nil"/>
              <w:right w:val="nil"/>
            </w:tcBorders>
            <w:shd w:val="clear" w:color="auto" w:fill="auto"/>
            <w:noWrap/>
            <w:vAlign w:val="bottom"/>
            <w:hideMark/>
          </w:tcPr>
          <w:p w14:paraId="7E779EF7" w14:textId="77777777" w:rsidR="009E1300" w:rsidRPr="00932791" w:rsidRDefault="009E1300" w:rsidP="00BB27D7">
            <w:pPr>
              <w:spacing w:after="0"/>
              <w:rPr>
                <w:rFonts w:ascii="Times New Roman" w:eastAsia="Times New Roman" w:hAnsi="Times New Roman"/>
                <w:sz w:val="20"/>
                <w:szCs w:val="20"/>
              </w:rPr>
            </w:pPr>
          </w:p>
        </w:tc>
      </w:tr>
      <w:tr w:rsidR="009E1300" w:rsidRPr="00CC70D1" w14:paraId="249D91D7" w14:textId="77777777" w:rsidTr="00FF3C4A">
        <w:trPr>
          <w:trHeight w:val="300"/>
        </w:trPr>
        <w:tc>
          <w:tcPr>
            <w:tcW w:w="3776" w:type="dxa"/>
            <w:tcBorders>
              <w:top w:val="single" w:sz="4" w:space="0" w:color="auto"/>
              <w:left w:val="nil"/>
              <w:bottom w:val="single" w:sz="4" w:space="0" w:color="auto"/>
              <w:right w:val="nil"/>
            </w:tcBorders>
            <w:shd w:val="clear" w:color="auto" w:fill="auto"/>
            <w:noWrap/>
            <w:vAlign w:val="bottom"/>
            <w:hideMark/>
          </w:tcPr>
          <w:p w14:paraId="6395E7A4"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w:t>
            </w:r>
          </w:p>
        </w:tc>
        <w:tc>
          <w:tcPr>
            <w:tcW w:w="1276" w:type="dxa"/>
            <w:tcBorders>
              <w:top w:val="single" w:sz="4" w:space="0" w:color="auto"/>
              <w:left w:val="nil"/>
              <w:bottom w:val="single" w:sz="4" w:space="0" w:color="auto"/>
              <w:right w:val="nil"/>
            </w:tcBorders>
            <w:shd w:val="clear" w:color="auto" w:fill="auto"/>
            <w:noWrap/>
            <w:vAlign w:val="bottom"/>
            <w:hideMark/>
          </w:tcPr>
          <w:p w14:paraId="08E47784"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2021</w:t>
            </w:r>
          </w:p>
        </w:tc>
        <w:tc>
          <w:tcPr>
            <w:tcW w:w="1276" w:type="dxa"/>
            <w:tcBorders>
              <w:top w:val="single" w:sz="4" w:space="0" w:color="auto"/>
              <w:left w:val="nil"/>
              <w:bottom w:val="single" w:sz="4" w:space="0" w:color="auto"/>
              <w:right w:val="nil"/>
            </w:tcBorders>
            <w:shd w:val="clear" w:color="auto" w:fill="auto"/>
            <w:noWrap/>
            <w:vAlign w:val="bottom"/>
            <w:hideMark/>
          </w:tcPr>
          <w:p w14:paraId="3FC9BCDF"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2022</w:t>
            </w:r>
          </w:p>
        </w:tc>
        <w:tc>
          <w:tcPr>
            <w:tcW w:w="1296" w:type="dxa"/>
            <w:tcBorders>
              <w:top w:val="single" w:sz="4" w:space="0" w:color="auto"/>
              <w:left w:val="nil"/>
              <w:bottom w:val="single" w:sz="4" w:space="0" w:color="auto"/>
              <w:right w:val="nil"/>
            </w:tcBorders>
            <w:shd w:val="clear" w:color="auto" w:fill="auto"/>
            <w:noWrap/>
            <w:vAlign w:val="bottom"/>
            <w:hideMark/>
          </w:tcPr>
          <w:p w14:paraId="395FA083"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 change</w:t>
            </w:r>
          </w:p>
        </w:tc>
      </w:tr>
      <w:tr w:rsidR="009E1300" w:rsidRPr="00CC70D1" w14:paraId="610C2DD1" w14:textId="77777777" w:rsidTr="00FF3C4A">
        <w:trPr>
          <w:trHeight w:val="300"/>
        </w:trPr>
        <w:tc>
          <w:tcPr>
            <w:tcW w:w="3776" w:type="dxa"/>
            <w:tcBorders>
              <w:top w:val="nil"/>
              <w:left w:val="nil"/>
              <w:bottom w:val="nil"/>
              <w:right w:val="nil"/>
            </w:tcBorders>
            <w:shd w:val="clear" w:color="auto" w:fill="auto"/>
            <w:noWrap/>
            <w:vAlign w:val="bottom"/>
            <w:hideMark/>
          </w:tcPr>
          <w:p w14:paraId="4BF0AD30" w14:textId="77777777" w:rsidR="009E1300" w:rsidRPr="00932791" w:rsidRDefault="009E1300"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Net Interest income</w:t>
            </w:r>
          </w:p>
        </w:tc>
        <w:tc>
          <w:tcPr>
            <w:tcW w:w="1276" w:type="dxa"/>
            <w:tcBorders>
              <w:top w:val="nil"/>
              <w:left w:val="nil"/>
              <w:bottom w:val="nil"/>
              <w:right w:val="nil"/>
            </w:tcBorders>
            <w:shd w:val="clear" w:color="auto" w:fill="auto"/>
            <w:noWrap/>
            <w:vAlign w:val="bottom"/>
            <w:hideMark/>
          </w:tcPr>
          <w:p w14:paraId="6B30DA3C"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62.4</w:t>
            </w:r>
          </w:p>
        </w:tc>
        <w:tc>
          <w:tcPr>
            <w:tcW w:w="1276" w:type="dxa"/>
            <w:tcBorders>
              <w:top w:val="nil"/>
              <w:left w:val="nil"/>
              <w:bottom w:val="nil"/>
              <w:right w:val="nil"/>
            </w:tcBorders>
            <w:shd w:val="clear" w:color="auto" w:fill="auto"/>
            <w:noWrap/>
            <w:vAlign w:val="bottom"/>
            <w:hideMark/>
          </w:tcPr>
          <w:p w14:paraId="4C311ACB"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68.4</w:t>
            </w:r>
          </w:p>
        </w:tc>
        <w:tc>
          <w:tcPr>
            <w:tcW w:w="1296" w:type="dxa"/>
            <w:tcBorders>
              <w:top w:val="nil"/>
              <w:left w:val="nil"/>
              <w:bottom w:val="nil"/>
              <w:right w:val="nil"/>
            </w:tcBorders>
            <w:shd w:val="clear" w:color="auto" w:fill="auto"/>
            <w:noWrap/>
            <w:vAlign w:val="bottom"/>
            <w:hideMark/>
          </w:tcPr>
          <w:p w14:paraId="12DDC646"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9.6%</w:t>
            </w:r>
          </w:p>
        </w:tc>
      </w:tr>
      <w:tr w:rsidR="009E1300" w:rsidRPr="00CC70D1" w14:paraId="4D74F42B" w14:textId="77777777" w:rsidTr="00FF3C4A">
        <w:trPr>
          <w:trHeight w:val="300"/>
        </w:trPr>
        <w:tc>
          <w:tcPr>
            <w:tcW w:w="3776" w:type="dxa"/>
            <w:tcBorders>
              <w:top w:val="nil"/>
              <w:left w:val="nil"/>
              <w:bottom w:val="nil"/>
              <w:right w:val="nil"/>
            </w:tcBorders>
            <w:shd w:val="clear" w:color="auto" w:fill="auto"/>
            <w:noWrap/>
            <w:vAlign w:val="bottom"/>
            <w:hideMark/>
          </w:tcPr>
          <w:p w14:paraId="2B468238"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Interest income</w:t>
            </w:r>
          </w:p>
        </w:tc>
        <w:tc>
          <w:tcPr>
            <w:tcW w:w="1276" w:type="dxa"/>
            <w:tcBorders>
              <w:top w:val="nil"/>
              <w:left w:val="nil"/>
              <w:bottom w:val="nil"/>
              <w:right w:val="nil"/>
            </w:tcBorders>
            <w:shd w:val="clear" w:color="auto" w:fill="auto"/>
            <w:noWrap/>
            <w:vAlign w:val="bottom"/>
            <w:hideMark/>
          </w:tcPr>
          <w:p w14:paraId="4AFE6946"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66.8</w:t>
            </w:r>
          </w:p>
        </w:tc>
        <w:tc>
          <w:tcPr>
            <w:tcW w:w="1276" w:type="dxa"/>
            <w:tcBorders>
              <w:top w:val="nil"/>
              <w:left w:val="nil"/>
              <w:bottom w:val="nil"/>
              <w:right w:val="nil"/>
            </w:tcBorders>
            <w:shd w:val="clear" w:color="auto" w:fill="auto"/>
            <w:noWrap/>
            <w:vAlign w:val="bottom"/>
            <w:hideMark/>
          </w:tcPr>
          <w:p w14:paraId="1D196E7C"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72.0</w:t>
            </w:r>
          </w:p>
        </w:tc>
        <w:tc>
          <w:tcPr>
            <w:tcW w:w="1296" w:type="dxa"/>
            <w:tcBorders>
              <w:top w:val="nil"/>
              <w:left w:val="nil"/>
              <w:bottom w:val="nil"/>
              <w:right w:val="nil"/>
            </w:tcBorders>
            <w:shd w:val="clear" w:color="auto" w:fill="auto"/>
            <w:noWrap/>
            <w:vAlign w:val="bottom"/>
            <w:hideMark/>
          </w:tcPr>
          <w:p w14:paraId="73B04C88"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7.8%</w:t>
            </w:r>
          </w:p>
        </w:tc>
      </w:tr>
      <w:tr w:rsidR="009E1300" w:rsidRPr="00CC70D1" w14:paraId="5D3D4E96" w14:textId="77777777" w:rsidTr="00FF3C4A">
        <w:trPr>
          <w:trHeight w:val="315"/>
        </w:trPr>
        <w:tc>
          <w:tcPr>
            <w:tcW w:w="3776" w:type="dxa"/>
            <w:tcBorders>
              <w:top w:val="nil"/>
              <w:left w:val="nil"/>
              <w:bottom w:val="single" w:sz="8" w:space="0" w:color="auto"/>
              <w:right w:val="nil"/>
            </w:tcBorders>
            <w:shd w:val="clear" w:color="auto" w:fill="auto"/>
            <w:noWrap/>
            <w:vAlign w:val="bottom"/>
            <w:hideMark/>
          </w:tcPr>
          <w:p w14:paraId="1AC7EBB7"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Interest expenses</w:t>
            </w:r>
          </w:p>
        </w:tc>
        <w:tc>
          <w:tcPr>
            <w:tcW w:w="1276" w:type="dxa"/>
            <w:tcBorders>
              <w:top w:val="nil"/>
              <w:left w:val="nil"/>
              <w:bottom w:val="single" w:sz="8" w:space="0" w:color="auto"/>
              <w:right w:val="nil"/>
            </w:tcBorders>
            <w:shd w:val="clear" w:color="auto" w:fill="auto"/>
            <w:noWrap/>
            <w:vAlign w:val="bottom"/>
            <w:hideMark/>
          </w:tcPr>
          <w:p w14:paraId="02AA9A02"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4.4</w:t>
            </w:r>
          </w:p>
        </w:tc>
        <w:tc>
          <w:tcPr>
            <w:tcW w:w="1276" w:type="dxa"/>
            <w:tcBorders>
              <w:top w:val="nil"/>
              <w:left w:val="nil"/>
              <w:bottom w:val="single" w:sz="8" w:space="0" w:color="auto"/>
              <w:right w:val="nil"/>
            </w:tcBorders>
            <w:shd w:val="clear" w:color="auto" w:fill="auto"/>
            <w:noWrap/>
            <w:vAlign w:val="bottom"/>
            <w:hideMark/>
          </w:tcPr>
          <w:p w14:paraId="65E2FFFD"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3.6</w:t>
            </w:r>
          </w:p>
        </w:tc>
        <w:tc>
          <w:tcPr>
            <w:tcW w:w="1296" w:type="dxa"/>
            <w:tcBorders>
              <w:top w:val="nil"/>
              <w:left w:val="nil"/>
              <w:bottom w:val="single" w:sz="8" w:space="0" w:color="auto"/>
              <w:right w:val="nil"/>
            </w:tcBorders>
            <w:shd w:val="clear" w:color="auto" w:fill="auto"/>
            <w:noWrap/>
            <w:vAlign w:val="bottom"/>
            <w:hideMark/>
          </w:tcPr>
          <w:p w14:paraId="50836EC5"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-18.2%</w:t>
            </w:r>
          </w:p>
        </w:tc>
      </w:tr>
    </w:tbl>
    <w:p w14:paraId="13FCB43A" w14:textId="77777777" w:rsidR="009E1300" w:rsidRDefault="009E1300" w:rsidP="00BB27D7">
      <w:pPr>
        <w:keepNext/>
        <w:spacing w:after="120"/>
        <w:jc w:val="both"/>
        <w:rPr>
          <w:rFonts w:ascii="Times New Roman" w:eastAsia="Times New Roman" w:hAnsi="Times New Roman"/>
          <w:sz w:val="24"/>
          <w:szCs w:val="24"/>
        </w:rPr>
      </w:pPr>
    </w:p>
    <w:p w14:paraId="609ABF7A" w14:textId="77777777" w:rsidR="009E1300" w:rsidRPr="00385DAA" w:rsidRDefault="009E1300" w:rsidP="00BB27D7">
      <w:pPr>
        <w:spacing w:before="240" w:after="0"/>
        <w:jc w:val="both"/>
        <w:rPr>
          <w:rFonts w:ascii="Times New Roman" w:eastAsia="Times New Roman" w:hAnsi="Times New Roman"/>
          <w:b/>
          <w:i/>
          <w:iCs/>
          <w:sz w:val="24"/>
        </w:rPr>
      </w:pPr>
      <w:r w:rsidRPr="00932791">
        <w:rPr>
          <w:rFonts w:ascii="Times New Roman" w:eastAsia="Times New Roman" w:hAnsi="Times New Roman"/>
          <w:b/>
          <w:i/>
          <w:iCs/>
          <w:sz w:val="24"/>
        </w:rPr>
        <w:t>Fee and Commissions Income</w:t>
      </w:r>
    </w:p>
    <w:p w14:paraId="2BB0A42E" w14:textId="77777777" w:rsidR="009E1300" w:rsidRPr="00932791" w:rsidRDefault="009E1300" w:rsidP="00BB27D7">
      <w:pPr>
        <w:spacing w:before="240" w:after="0"/>
        <w:jc w:val="both"/>
        <w:rPr>
          <w:rFonts w:ascii="Times New Roman" w:hAnsi="Times New Roman"/>
          <w:bCs/>
          <w:sz w:val="24"/>
        </w:rPr>
      </w:pPr>
      <w:r w:rsidRPr="00A13EE2">
        <w:rPr>
          <w:rFonts w:ascii="Times New Roman" w:eastAsia="Times New Roman" w:hAnsi="Times New Roman"/>
          <w:iCs/>
          <w:sz w:val="24"/>
        </w:rPr>
        <w:t>I</w:t>
      </w:r>
      <w:r w:rsidRPr="00932791">
        <w:rPr>
          <w:rFonts w:ascii="Times New Roman" w:hAnsi="Times New Roman"/>
          <w:bCs/>
          <w:sz w:val="24"/>
        </w:rPr>
        <w:t xml:space="preserve">n 2022 net fees and </w:t>
      </w:r>
      <w:proofErr w:type="gramStart"/>
      <w:r w:rsidRPr="00932791">
        <w:rPr>
          <w:rFonts w:ascii="Times New Roman" w:hAnsi="Times New Roman"/>
          <w:bCs/>
          <w:sz w:val="24"/>
        </w:rPr>
        <w:t>commission</w:t>
      </w:r>
      <w:proofErr w:type="gramEnd"/>
      <w:r w:rsidRPr="00932791">
        <w:rPr>
          <w:rFonts w:ascii="Times New Roman" w:hAnsi="Times New Roman"/>
          <w:bCs/>
          <w:sz w:val="24"/>
        </w:rPr>
        <w:t xml:space="preserve"> income reached EUR 14.6 million. Within this, the most significant part (43.8% of the Bank’s total fee and commission income) relates to fees from transfer of funds in amount of EUR 6.4 </w:t>
      </w:r>
      <w:proofErr w:type="gramStart"/>
      <w:r w:rsidRPr="00932791">
        <w:rPr>
          <w:rFonts w:ascii="Times New Roman" w:hAnsi="Times New Roman"/>
          <w:bCs/>
          <w:sz w:val="24"/>
        </w:rPr>
        <w:t>million</w:t>
      </w:r>
      <w:proofErr w:type="gramEnd"/>
      <w:r w:rsidRPr="00932791">
        <w:rPr>
          <w:rFonts w:ascii="Times New Roman" w:hAnsi="Times New Roman"/>
          <w:bCs/>
          <w:sz w:val="24"/>
        </w:rPr>
        <w:t>,</w:t>
      </w:r>
      <w:r w:rsidRPr="00932791">
        <w:rPr>
          <w:rFonts w:ascii="Times New Roman" w:hAnsi="Times New Roman"/>
          <w:sz w:val="24"/>
          <w:szCs w:val="24"/>
        </w:rPr>
        <w:t xml:space="preserve"> recording an increase of 8.5% compared to the same period last year</w:t>
      </w:r>
      <w:r w:rsidRPr="00932791">
        <w:rPr>
          <w:rFonts w:ascii="Times New Roman" w:hAnsi="Times New Roman"/>
          <w:bCs/>
          <w:sz w:val="24"/>
        </w:rPr>
        <w:t>. The net income from lending activities is the second largest fee item, which at the end of 2022 amounted to EUR 3.9 million representing 26.7% of the total fee and commission income.</w:t>
      </w:r>
    </w:p>
    <w:p w14:paraId="32975207" w14:textId="77777777" w:rsidR="00A13EE2" w:rsidRPr="0034674A" w:rsidRDefault="00A13EE2" w:rsidP="00BB27D7">
      <w:pPr>
        <w:spacing w:before="240" w:after="0"/>
        <w:jc w:val="both"/>
        <w:rPr>
          <w:bCs/>
          <w:sz w:val="24"/>
        </w:rPr>
      </w:pPr>
    </w:p>
    <w:tbl>
      <w:tblPr>
        <w:tblW w:w="7560" w:type="dxa"/>
        <w:tblLook w:val="04A0" w:firstRow="1" w:lastRow="0" w:firstColumn="1" w:lastColumn="0" w:noHBand="0" w:noVBand="1"/>
      </w:tblPr>
      <w:tblGrid>
        <w:gridCol w:w="3760"/>
        <w:gridCol w:w="1260"/>
        <w:gridCol w:w="1260"/>
        <w:gridCol w:w="1280"/>
      </w:tblGrid>
      <w:tr w:rsidR="009E1300" w:rsidRPr="00CC70D1" w14:paraId="1EA9ECFA" w14:textId="77777777" w:rsidTr="00FF3C4A">
        <w:trPr>
          <w:trHeight w:val="300"/>
        </w:trPr>
        <w:tc>
          <w:tcPr>
            <w:tcW w:w="3760" w:type="dxa"/>
            <w:tcBorders>
              <w:top w:val="nil"/>
              <w:left w:val="nil"/>
              <w:bottom w:val="nil"/>
              <w:right w:val="nil"/>
            </w:tcBorders>
            <w:shd w:val="clear" w:color="auto" w:fill="auto"/>
            <w:noWrap/>
            <w:vAlign w:val="bottom"/>
            <w:hideMark/>
          </w:tcPr>
          <w:p w14:paraId="72329DCC" w14:textId="77777777" w:rsidR="009E1300" w:rsidRPr="00932791" w:rsidRDefault="009E1300" w:rsidP="00BB27D7">
            <w:pPr>
              <w:spacing w:after="0"/>
              <w:rPr>
                <w:rFonts w:ascii="Times New Roman" w:eastAsia="Times New Roman" w:hAnsi="Times New Roman"/>
                <w:i/>
                <w:iCs/>
                <w:sz w:val="20"/>
                <w:szCs w:val="20"/>
              </w:rPr>
            </w:pPr>
            <w:r w:rsidRPr="00932791">
              <w:rPr>
                <w:rFonts w:ascii="Times New Roman" w:eastAsia="Times New Roman" w:hAnsi="Times New Roman"/>
                <w:i/>
                <w:iCs/>
                <w:sz w:val="20"/>
                <w:szCs w:val="20"/>
              </w:rPr>
              <w:t>in EUR million</w:t>
            </w:r>
          </w:p>
        </w:tc>
        <w:tc>
          <w:tcPr>
            <w:tcW w:w="1260" w:type="dxa"/>
            <w:tcBorders>
              <w:top w:val="nil"/>
              <w:left w:val="nil"/>
              <w:bottom w:val="nil"/>
              <w:right w:val="nil"/>
            </w:tcBorders>
            <w:shd w:val="clear" w:color="auto" w:fill="auto"/>
            <w:noWrap/>
            <w:vAlign w:val="bottom"/>
            <w:hideMark/>
          </w:tcPr>
          <w:p w14:paraId="1ADC9159" w14:textId="77777777" w:rsidR="009E1300" w:rsidRPr="00932791" w:rsidRDefault="009E1300" w:rsidP="00BB27D7">
            <w:pPr>
              <w:spacing w:after="0"/>
              <w:rPr>
                <w:rFonts w:ascii="Times New Roman" w:eastAsia="Times New Roman" w:hAnsi="Times New Roman"/>
                <w:i/>
                <w:iCs/>
                <w:sz w:val="20"/>
                <w:szCs w:val="20"/>
              </w:rPr>
            </w:pPr>
          </w:p>
        </w:tc>
        <w:tc>
          <w:tcPr>
            <w:tcW w:w="1260" w:type="dxa"/>
            <w:tcBorders>
              <w:top w:val="nil"/>
              <w:left w:val="nil"/>
              <w:bottom w:val="nil"/>
              <w:right w:val="nil"/>
            </w:tcBorders>
            <w:shd w:val="clear" w:color="auto" w:fill="auto"/>
            <w:noWrap/>
            <w:vAlign w:val="bottom"/>
            <w:hideMark/>
          </w:tcPr>
          <w:p w14:paraId="1AC0CF16" w14:textId="77777777" w:rsidR="009E1300" w:rsidRPr="00932791" w:rsidRDefault="009E1300" w:rsidP="00BB27D7">
            <w:pPr>
              <w:spacing w:after="0"/>
              <w:rPr>
                <w:rFonts w:ascii="Times New Roman" w:eastAsia="Times New Roman" w:hAnsi="Times New Roman"/>
                <w:sz w:val="20"/>
                <w:szCs w:val="20"/>
              </w:rPr>
            </w:pPr>
          </w:p>
        </w:tc>
        <w:tc>
          <w:tcPr>
            <w:tcW w:w="1280" w:type="dxa"/>
            <w:tcBorders>
              <w:top w:val="nil"/>
              <w:left w:val="nil"/>
              <w:bottom w:val="nil"/>
              <w:right w:val="nil"/>
            </w:tcBorders>
            <w:shd w:val="clear" w:color="auto" w:fill="auto"/>
            <w:noWrap/>
            <w:vAlign w:val="bottom"/>
            <w:hideMark/>
          </w:tcPr>
          <w:p w14:paraId="71D54AF7" w14:textId="77777777" w:rsidR="009E1300" w:rsidRPr="00932791" w:rsidRDefault="009E1300" w:rsidP="00BB27D7">
            <w:pPr>
              <w:spacing w:after="0"/>
              <w:rPr>
                <w:rFonts w:ascii="Times New Roman" w:eastAsia="Times New Roman" w:hAnsi="Times New Roman"/>
                <w:sz w:val="20"/>
                <w:szCs w:val="20"/>
              </w:rPr>
            </w:pPr>
          </w:p>
        </w:tc>
      </w:tr>
      <w:tr w:rsidR="009E1300" w:rsidRPr="00CC70D1" w14:paraId="1920BFD8" w14:textId="77777777" w:rsidTr="00FF3C4A">
        <w:trPr>
          <w:trHeight w:val="300"/>
        </w:trPr>
        <w:tc>
          <w:tcPr>
            <w:tcW w:w="3760" w:type="dxa"/>
            <w:tcBorders>
              <w:top w:val="single" w:sz="4" w:space="0" w:color="auto"/>
              <w:left w:val="nil"/>
              <w:bottom w:val="single" w:sz="4" w:space="0" w:color="auto"/>
              <w:right w:val="nil"/>
            </w:tcBorders>
            <w:shd w:val="clear" w:color="auto" w:fill="auto"/>
            <w:noWrap/>
            <w:vAlign w:val="bottom"/>
            <w:hideMark/>
          </w:tcPr>
          <w:p w14:paraId="77F50769"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w:t>
            </w:r>
          </w:p>
        </w:tc>
        <w:tc>
          <w:tcPr>
            <w:tcW w:w="1260" w:type="dxa"/>
            <w:tcBorders>
              <w:top w:val="single" w:sz="4" w:space="0" w:color="auto"/>
              <w:left w:val="nil"/>
              <w:bottom w:val="single" w:sz="4" w:space="0" w:color="auto"/>
              <w:right w:val="nil"/>
            </w:tcBorders>
            <w:shd w:val="clear" w:color="auto" w:fill="auto"/>
            <w:noWrap/>
            <w:vAlign w:val="bottom"/>
            <w:hideMark/>
          </w:tcPr>
          <w:p w14:paraId="0E2A4A1F"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2021</w:t>
            </w:r>
          </w:p>
        </w:tc>
        <w:tc>
          <w:tcPr>
            <w:tcW w:w="1260" w:type="dxa"/>
            <w:tcBorders>
              <w:top w:val="single" w:sz="4" w:space="0" w:color="auto"/>
              <w:left w:val="nil"/>
              <w:bottom w:val="single" w:sz="4" w:space="0" w:color="auto"/>
              <w:right w:val="nil"/>
            </w:tcBorders>
            <w:shd w:val="clear" w:color="auto" w:fill="auto"/>
            <w:noWrap/>
            <w:vAlign w:val="bottom"/>
            <w:hideMark/>
          </w:tcPr>
          <w:p w14:paraId="076A4E39"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2022</w:t>
            </w:r>
          </w:p>
        </w:tc>
        <w:tc>
          <w:tcPr>
            <w:tcW w:w="1280" w:type="dxa"/>
            <w:tcBorders>
              <w:top w:val="single" w:sz="4" w:space="0" w:color="auto"/>
              <w:left w:val="nil"/>
              <w:bottom w:val="single" w:sz="4" w:space="0" w:color="auto"/>
              <w:right w:val="nil"/>
            </w:tcBorders>
            <w:shd w:val="clear" w:color="auto" w:fill="auto"/>
            <w:noWrap/>
            <w:vAlign w:val="bottom"/>
            <w:hideMark/>
          </w:tcPr>
          <w:p w14:paraId="144794B6"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 change</w:t>
            </w:r>
          </w:p>
        </w:tc>
      </w:tr>
      <w:tr w:rsidR="009E1300" w:rsidRPr="00CC70D1" w14:paraId="1D32F1EB" w14:textId="77777777" w:rsidTr="00FF3C4A">
        <w:trPr>
          <w:trHeight w:val="300"/>
        </w:trPr>
        <w:tc>
          <w:tcPr>
            <w:tcW w:w="3760" w:type="dxa"/>
            <w:tcBorders>
              <w:top w:val="nil"/>
              <w:left w:val="nil"/>
              <w:bottom w:val="nil"/>
              <w:right w:val="nil"/>
            </w:tcBorders>
            <w:shd w:val="clear" w:color="auto" w:fill="auto"/>
            <w:noWrap/>
            <w:vAlign w:val="bottom"/>
            <w:hideMark/>
          </w:tcPr>
          <w:p w14:paraId="186C7E03" w14:textId="77777777" w:rsidR="009E1300" w:rsidRPr="00932791" w:rsidRDefault="009E1300" w:rsidP="00BB27D7">
            <w:pPr>
              <w:spacing w:after="0"/>
              <w:rPr>
                <w:rFonts w:ascii="Times New Roman" w:eastAsia="Times New Roman" w:hAnsi="Times New Roman"/>
                <w:b/>
                <w:bCs/>
                <w:sz w:val="20"/>
                <w:szCs w:val="20"/>
              </w:rPr>
            </w:pPr>
            <w:r w:rsidRPr="00932791">
              <w:rPr>
                <w:rFonts w:ascii="Times New Roman" w:eastAsia="Times New Roman" w:hAnsi="Times New Roman"/>
                <w:b/>
                <w:bCs/>
                <w:sz w:val="20"/>
                <w:szCs w:val="20"/>
              </w:rPr>
              <w:t>Net fees and commissions income</w:t>
            </w:r>
          </w:p>
        </w:tc>
        <w:tc>
          <w:tcPr>
            <w:tcW w:w="1260" w:type="dxa"/>
            <w:tcBorders>
              <w:top w:val="nil"/>
              <w:left w:val="nil"/>
              <w:bottom w:val="nil"/>
              <w:right w:val="nil"/>
            </w:tcBorders>
            <w:shd w:val="clear" w:color="auto" w:fill="auto"/>
            <w:noWrap/>
            <w:vAlign w:val="bottom"/>
            <w:hideMark/>
          </w:tcPr>
          <w:p w14:paraId="152B09F1"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13.5</w:t>
            </w:r>
          </w:p>
        </w:tc>
        <w:tc>
          <w:tcPr>
            <w:tcW w:w="1260" w:type="dxa"/>
            <w:tcBorders>
              <w:top w:val="nil"/>
              <w:left w:val="nil"/>
              <w:bottom w:val="nil"/>
              <w:right w:val="nil"/>
            </w:tcBorders>
            <w:shd w:val="clear" w:color="auto" w:fill="auto"/>
            <w:noWrap/>
            <w:vAlign w:val="bottom"/>
            <w:hideMark/>
          </w:tcPr>
          <w:p w14:paraId="2F2915A7"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14.6</w:t>
            </w:r>
          </w:p>
        </w:tc>
        <w:tc>
          <w:tcPr>
            <w:tcW w:w="1280" w:type="dxa"/>
            <w:tcBorders>
              <w:top w:val="nil"/>
              <w:left w:val="nil"/>
              <w:bottom w:val="nil"/>
              <w:right w:val="nil"/>
            </w:tcBorders>
            <w:shd w:val="clear" w:color="auto" w:fill="auto"/>
            <w:noWrap/>
            <w:vAlign w:val="bottom"/>
            <w:hideMark/>
          </w:tcPr>
          <w:p w14:paraId="56307CDC" w14:textId="77777777" w:rsidR="009E1300" w:rsidRPr="00932791" w:rsidRDefault="009E1300" w:rsidP="00BB27D7">
            <w:pPr>
              <w:spacing w:after="0"/>
              <w:jc w:val="right"/>
              <w:rPr>
                <w:rFonts w:ascii="Times New Roman" w:eastAsia="Times New Roman" w:hAnsi="Times New Roman"/>
                <w:b/>
                <w:bCs/>
                <w:sz w:val="20"/>
                <w:szCs w:val="20"/>
              </w:rPr>
            </w:pPr>
            <w:r w:rsidRPr="00932791">
              <w:rPr>
                <w:rFonts w:ascii="Times New Roman" w:hAnsi="Times New Roman"/>
                <w:b/>
                <w:bCs/>
                <w:sz w:val="20"/>
                <w:szCs w:val="20"/>
              </w:rPr>
              <w:t>8.1%</w:t>
            </w:r>
          </w:p>
        </w:tc>
      </w:tr>
      <w:tr w:rsidR="009E1300" w:rsidRPr="00CC70D1" w14:paraId="114FA43D" w14:textId="77777777" w:rsidTr="00FF3C4A">
        <w:trPr>
          <w:trHeight w:val="300"/>
        </w:trPr>
        <w:tc>
          <w:tcPr>
            <w:tcW w:w="3760" w:type="dxa"/>
            <w:tcBorders>
              <w:top w:val="nil"/>
              <w:left w:val="nil"/>
              <w:bottom w:val="nil"/>
              <w:right w:val="nil"/>
            </w:tcBorders>
            <w:shd w:val="clear" w:color="auto" w:fill="auto"/>
            <w:noWrap/>
            <w:vAlign w:val="bottom"/>
            <w:hideMark/>
          </w:tcPr>
          <w:p w14:paraId="467790B9"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loans </w:t>
            </w:r>
          </w:p>
        </w:tc>
        <w:tc>
          <w:tcPr>
            <w:tcW w:w="1260" w:type="dxa"/>
            <w:tcBorders>
              <w:top w:val="nil"/>
              <w:left w:val="nil"/>
              <w:bottom w:val="nil"/>
              <w:right w:val="nil"/>
            </w:tcBorders>
            <w:shd w:val="clear" w:color="auto" w:fill="auto"/>
            <w:noWrap/>
            <w:vAlign w:val="bottom"/>
            <w:hideMark/>
          </w:tcPr>
          <w:p w14:paraId="73F7E691"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3.6</w:t>
            </w:r>
          </w:p>
        </w:tc>
        <w:tc>
          <w:tcPr>
            <w:tcW w:w="1260" w:type="dxa"/>
            <w:tcBorders>
              <w:top w:val="nil"/>
              <w:left w:val="nil"/>
              <w:bottom w:val="nil"/>
              <w:right w:val="nil"/>
            </w:tcBorders>
            <w:shd w:val="clear" w:color="auto" w:fill="auto"/>
            <w:noWrap/>
            <w:vAlign w:val="bottom"/>
            <w:hideMark/>
          </w:tcPr>
          <w:p w14:paraId="08552EF5"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3.9</w:t>
            </w:r>
          </w:p>
        </w:tc>
        <w:tc>
          <w:tcPr>
            <w:tcW w:w="1280" w:type="dxa"/>
            <w:tcBorders>
              <w:top w:val="nil"/>
              <w:left w:val="nil"/>
              <w:bottom w:val="nil"/>
              <w:right w:val="nil"/>
            </w:tcBorders>
            <w:shd w:val="clear" w:color="auto" w:fill="auto"/>
            <w:noWrap/>
            <w:vAlign w:val="bottom"/>
            <w:hideMark/>
          </w:tcPr>
          <w:p w14:paraId="46F71E3B"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8.3%</w:t>
            </w:r>
          </w:p>
        </w:tc>
      </w:tr>
      <w:tr w:rsidR="009E1300" w:rsidRPr="00CC70D1" w14:paraId="5BD47F7E" w14:textId="77777777" w:rsidTr="00FF3C4A">
        <w:trPr>
          <w:trHeight w:val="300"/>
        </w:trPr>
        <w:tc>
          <w:tcPr>
            <w:tcW w:w="3760" w:type="dxa"/>
            <w:tcBorders>
              <w:top w:val="nil"/>
              <w:left w:val="nil"/>
              <w:bottom w:val="nil"/>
              <w:right w:val="nil"/>
            </w:tcBorders>
            <w:shd w:val="clear" w:color="auto" w:fill="auto"/>
            <w:noWrap/>
            <w:vAlign w:val="bottom"/>
            <w:hideMark/>
          </w:tcPr>
          <w:p w14:paraId="375C73BB"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letters of guarantee</w:t>
            </w:r>
          </w:p>
        </w:tc>
        <w:tc>
          <w:tcPr>
            <w:tcW w:w="1260" w:type="dxa"/>
            <w:tcBorders>
              <w:top w:val="nil"/>
              <w:left w:val="nil"/>
              <w:bottom w:val="nil"/>
              <w:right w:val="nil"/>
            </w:tcBorders>
            <w:shd w:val="clear" w:color="auto" w:fill="auto"/>
            <w:noWrap/>
            <w:vAlign w:val="bottom"/>
            <w:hideMark/>
          </w:tcPr>
          <w:p w14:paraId="70D08FEB"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0.8</w:t>
            </w:r>
          </w:p>
        </w:tc>
        <w:tc>
          <w:tcPr>
            <w:tcW w:w="1260" w:type="dxa"/>
            <w:tcBorders>
              <w:top w:val="nil"/>
              <w:left w:val="nil"/>
              <w:bottom w:val="nil"/>
              <w:right w:val="nil"/>
            </w:tcBorders>
            <w:shd w:val="clear" w:color="auto" w:fill="auto"/>
            <w:noWrap/>
            <w:vAlign w:val="bottom"/>
            <w:hideMark/>
          </w:tcPr>
          <w:p w14:paraId="0C2E130D"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0.8</w:t>
            </w:r>
          </w:p>
        </w:tc>
        <w:tc>
          <w:tcPr>
            <w:tcW w:w="1280" w:type="dxa"/>
            <w:tcBorders>
              <w:top w:val="nil"/>
              <w:left w:val="nil"/>
              <w:bottom w:val="nil"/>
              <w:right w:val="nil"/>
            </w:tcBorders>
            <w:shd w:val="clear" w:color="auto" w:fill="auto"/>
            <w:noWrap/>
            <w:vAlign w:val="bottom"/>
            <w:hideMark/>
          </w:tcPr>
          <w:p w14:paraId="5E9D83C2"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0.0%</w:t>
            </w:r>
          </w:p>
        </w:tc>
      </w:tr>
      <w:tr w:rsidR="009E1300" w:rsidRPr="00CC70D1" w14:paraId="5AAA270F" w14:textId="77777777" w:rsidTr="00FF3C4A">
        <w:trPr>
          <w:trHeight w:val="300"/>
        </w:trPr>
        <w:tc>
          <w:tcPr>
            <w:tcW w:w="3760" w:type="dxa"/>
            <w:tcBorders>
              <w:top w:val="nil"/>
              <w:left w:val="nil"/>
              <w:bottom w:val="nil"/>
              <w:right w:val="nil"/>
            </w:tcBorders>
            <w:shd w:val="clear" w:color="auto" w:fill="auto"/>
            <w:noWrap/>
            <w:vAlign w:val="bottom"/>
            <w:hideMark/>
          </w:tcPr>
          <w:p w14:paraId="022BF2B3"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transfer of funds</w:t>
            </w:r>
          </w:p>
        </w:tc>
        <w:tc>
          <w:tcPr>
            <w:tcW w:w="1260" w:type="dxa"/>
            <w:tcBorders>
              <w:top w:val="nil"/>
              <w:left w:val="nil"/>
              <w:bottom w:val="nil"/>
              <w:right w:val="nil"/>
            </w:tcBorders>
            <w:shd w:val="clear" w:color="auto" w:fill="auto"/>
            <w:noWrap/>
            <w:vAlign w:val="bottom"/>
            <w:hideMark/>
          </w:tcPr>
          <w:p w14:paraId="6B0A5C0C"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5.9</w:t>
            </w:r>
          </w:p>
        </w:tc>
        <w:tc>
          <w:tcPr>
            <w:tcW w:w="1260" w:type="dxa"/>
            <w:tcBorders>
              <w:top w:val="nil"/>
              <w:left w:val="nil"/>
              <w:bottom w:val="nil"/>
              <w:right w:val="nil"/>
            </w:tcBorders>
            <w:shd w:val="clear" w:color="auto" w:fill="auto"/>
            <w:noWrap/>
            <w:vAlign w:val="bottom"/>
            <w:hideMark/>
          </w:tcPr>
          <w:p w14:paraId="077A19D9"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6.4</w:t>
            </w:r>
          </w:p>
        </w:tc>
        <w:tc>
          <w:tcPr>
            <w:tcW w:w="1280" w:type="dxa"/>
            <w:tcBorders>
              <w:top w:val="nil"/>
              <w:left w:val="nil"/>
              <w:bottom w:val="nil"/>
              <w:right w:val="nil"/>
            </w:tcBorders>
            <w:shd w:val="clear" w:color="auto" w:fill="auto"/>
            <w:noWrap/>
            <w:vAlign w:val="bottom"/>
            <w:hideMark/>
          </w:tcPr>
          <w:p w14:paraId="723E4A02"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8.5%</w:t>
            </w:r>
          </w:p>
        </w:tc>
      </w:tr>
      <w:tr w:rsidR="009E1300" w:rsidRPr="00CC70D1" w14:paraId="76746CE6" w14:textId="77777777" w:rsidTr="00FF3C4A">
        <w:trPr>
          <w:trHeight w:val="315"/>
        </w:trPr>
        <w:tc>
          <w:tcPr>
            <w:tcW w:w="3760" w:type="dxa"/>
            <w:tcBorders>
              <w:top w:val="nil"/>
              <w:left w:val="nil"/>
              <w:bottom w:val="single" w:sz="8" w:space="0" w:color="auto"/>
              <w:right w:val="nil"/>
            </w:tcBorders>
            <w:shd w:val="clear" w:color="auto" w:fill="auto"/>
            <w:noWrap/>
            <w:vAlign w:val="bottom"/>
            <w:hideMark/>
          </w:tcPr>
          <w:p w14:paraId="4CA95FDD" w14:textId="77777777" w:rsidR="009E1300" w:rsidRPr="00932791" w:rsidRDefault="009E1300" w:rsidP="00BB27D7">
            <w:pPr>
              <w:spacing w:after="0"/>
              <w:rPr>
                <w:rFonts w:ascii="Times New Roman" w:eastAsia="Times New Roman" w:hAnsi="Times New Roman"/>
                <w:sz w:val="20"/>
                <w:szCs w:val="20"/>
              </w:rPr>
            </w:pPr>
            <w:r w:rsidRPr="00932791">
              <w:rPr>
                <w:rFonts w:ascii="Times New Roman" w:eastAsia="Times New Roman" w:hAnsi="Times New Roman"/>
                <w:sz w:val="20"/>
                <w:szCs w:val="20"/>
              </w:rPr>
              <w:t xml:space="preserve">  others</w:t>
            </w:r>
          </w:p>
        </w:tc>
        <w:tc>
          <w:tcPr>
            <w:tcW w:w="1260" w:type="dxa"/>
            <w:tcBorders>
              <w:top w:val="nil"/>
              <w:left w:val="nil"/>
              <w:bottom w:val="single" w:sz="8" w:space="0" w:color="auto"/>
              <w:right w:val="nil"/>
            </w:tcBorders>
            <w:shd w:val="clear" w:color="auto" w:fill="auto"/>
            <w:noWrap/>
            <w:vAlign w:val="bottom"/>
            <w:hideMark/>
          </w:tcPr>
          <w:p w14:paraId="18CF6CF7"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3.2</w:t>
            </w:r>
          </w:p>
        </w:tc>
        <w:tc>
          <w:tcPr>
            <w:tcW w:w="1260" w:type="dxa"/>
            <w:tcBorders>
              <w:top w:val="nil"/>
              <w:left w:val="nil"/>
              <w:bottom w:val="single" w:sz="8" w:space="0" w:color="auto"/>
              <w:right w:val="nil"/>
            </w:tcBorders>
            <w:shd w:val="clear" w:color="auto" w:fill="auto"/>
            <w:noWrap/>
            <w:vAlign w:val="bottom"/>
            <w:hideMark/>
          </w:tcPr>
          <w:p w14:paraId="689404BD"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3.5</w:t>
            </w:r>
          </w:p>
        </w:tc>
        <w:tc>
          <w:tcPr>
            <w:tcW w:w="1280" w:type="dxa"/>
            <w:tcBorders>
              <w:top w:val="nil"/>
              <w:left w:val="nil"/>
              <w:bottom w:val="single" w:sz="8" w:space="0" w:color="auto"/>
              <w:right w:val="nil"/>
            </w:tcBorders>
            <w:shd w:val="clear" w:color="auto" w:fill="auto"/>
            <w:noWrap/>
            <w:vAlign w:val="bottom"/>
            <w:hideMark/>
          </w:tcPr>
          <w:p w14:paraId="1186ABAB" w14:textId="77777777" w:rsidR="009E1300" w:rsidRPr="00932791" w:rsidRDefault="009E1300" w:rsidP="00BB27D7">
            <w:pPr>
              <w:spacing w:after="0"/>
              <w:jc w:val="right"/>
              <w:rPr>
                <w:rFonts w:ascii="Times New Roman" w:eastAsia="Times New Roman" w:hAnsi="Times New Roman"/>
                <w:sz w:val="20"/>
                <w:szCs w:val="20"/>
              </w:rPr>
            </w:pPr>
            <w:r w:rsidRPr="00932791">
              <w:rPr>
                <w:rFonts w:ascii="Times New Roman" w:hAnsi="Times New Roman"/>
                <w:sz w:val="20"/>
                <w:szCs w:val="20"/>
              </w:rPr>
              <w:t>9.4%</w:t>
            </w:r>
          </w:p>
        </w:tc>
      </w:tr>
    </w:tbl>
    <w:p w14:paraId="6B82B315" w14:textId="77777777" w:rsidR="009E1300" w:rsidRDefault="009E1300" w:rsidP="00BB27D7">
      <w:pPr>
        <w:spacing w:before="240" w:after="0"/>
        <w:jc w:val="both"/>
        <w:rPr>
          <w:rFonts w:ascii="Times New Roman" w:eastAsia="Times New Roman" w:hAnsi="Times New Roman"/>
          <w:b/>
          <w:i/>
          <w:iCs/>
          <w:sz w:val="24"/>
        </w:rPr>
      </w:pPr>
    </w:p>
    <w:p w14:paraId="101D0C77" w14:textId="77777777" w:rsidR="009E1300" w:rsidRPr="009D396D" w:rsidRDefault="009E1300" w:rsidP="00BB27D7">
      <w:pPr>
        <w:spacing w:before="240" w:after="0"/>
        <w:jc w:val="both"/>
        <w:rPr>
          <w:rFonts w:ascii="Times New Roman" w:eastAsia="Times New Roman" w:hAnsi="Times New Roman"/>
          <w:b/>
          <w:i/>
          <w:iCs/>
          <w:sz w:val="24"/>
        </w:rPr>
      </w:pPr>
      <w:r w:rsidRPr="00932791">
        <w:rPr>
          <w:rFonts w:ascii="Times New Roman" w:eastAsia="Times New Roman" w:hAnsi="Times New Roman"/>
          <w:b/>
          <w:i/>
          <w:iCs/>
          <w:sz w:val="24"/>
        </w:rPr>
        <w:t>Operating expense</w:t>
      </w:r>
    </w:p>
    <w:p w14:paraId="4573F0FF" w14:textId="146B27C3" w:rsidR="009E1300" w:rsidRPr="00CE6C9F" w:rsidRDefault="009E1300" w:rsidP="00BB27D7">
      <w:pPr>
        <w:spacing w:before="240"/>
        <w:jc w:val="both"/>
        <w:rPr>
          <w:rFonts w:ascii="Times New Roman" w:hAnsi="Times New Roman"/>
          <w:sz w:val="24"/>
          <w:szCs w:val="24"/>
        </w:rPr>
      </w:pPr>
      <w:r w:rsidRPr="009D396D">
        <w:rPr>
          <w:rFonts w:ascii="Times New Roman" w:eastAsia="Times New Roman" w:hAnsi="Times New Roman"/>
          <w:iCs/>
          <w:sz w:val="24"/>
        </w:rPr>
        <w:t>During 2022, the Bank continued to pursue operational excellence in both cost efficiency and risk</w:t>
      </w:r>
      <w:r w:rsidRPr="0034674A">
        <w:rPr>
          <w:rFonts w:ascii="Times New Roman" w:eastAsia="Times New Roman" w:hAnsi="Times New Roman"/>
          <w:bCs/>
          <w:sz w:val="24"/>
          <w:szCs w:val="24"/>
        </w:rPr>
        <w:t xml:space="preserve"> management, resulting in keeping the costs in line with the </w:t>
      </w:r>
      <w:r>
        <w:rPr>
          <w:rFonts w:ascii="Times New Roman" w:eastAsia="Times New Roman" w:hAnsi="Times New Roman"/>
          <w:bCs/>
          <w:sz w:val="24"/>
          <w:szCs w:val="24"/>
        </w:rPr>
        <w:t>expectations</w:t>
      </w:r>
      <w:r w:rsidRPr="0034674A">
        <w:rPr>
          <w:rFonts w:ascii="Times New Roman" w:eastAsia="Times New Roman" w:hAnsi="Times New Roman"/>
          <w:bCs/>
          <w:sz w:val="24"/>
          <w:szCs w:val="24"/>
        </w:rPr>
        <w:t xml:space="preserve"> and maintaining excellent quality </w:t>
      </w:r>
      <w:r w:rsidR="00E95142">
        <w:rPr>
          <w:rFonts w:ascii="Times New Roman" w:eastAsia="Times New Roman" w:hAnsi="Times New Roman"/>
          <w:bCs/>
          <w:sz w:val="24"/>
          <w:szCs w:val="24"/>
        </w:rPr>
        <w:t>of the credit portfolio</w:t>
      </w:r>
      <w:r w:rsidRPr="0034674A">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Faced with </w:t>
      </w:r>
      <w:r w:rsidRPr="00CE6C9F">
        <w:rPr>
          <w:rFonts w:ascii="Times New Roman" w:eastAsia="Times New Roman" w:hAnsi="Times New Roman"/>
          <w:bCs/>
          <w:sz w:val="24"/>
          <w:szCs w:val="24"/>
          <w:lang w:val="en"/>
        </w:rPr>
        <w:t>enormously uncertain environment</w:t>
      </w:r>
      <w:r w:rsidRPr="001863A6">
        <w:rPr>
          <w:rFonts w:ascii="Times New Roman" w:hAnsi="Times New Roman"/>
          <w:sz w:val="24"/>
          <w:szCs w:val="24"/>
        </w:rPr>
        <w:t xml:space="preserve"> caused by the </w:t>
      </w:r>
      <w:r w:rsidRPr="00CE6C9F">
        <w:rPr>
          <w:rFonts w:ascii="Times New Roman" w:hAnsi="Times New Roman"/>
          <w:sz w:val="24"/>
          <w:szCs w:val="24"/>
          <w:lang w:val="en"/>
        </w:rPr>
        <w:t xml:space="preserve">global </w:t>
      </w:r>
      <w:r>
        <w:rPr>
          <w:rFonts w:ascii="Times New Roman" w:hAnsi="Times New Roman"/>
          <w:sz w:val="24"/>
          <w:szCs w:val="24"/>
          <w:lang w:val="en"/>
        </w:rPr>
        <w:t>energy</w:t>
      </w:r>
      <w:r w:rsidRPr="00CE6C9F">
        <w:rPr>
          <w:rFonts w:ascii="Times New Roman" w:hAnsi="Times New Roman"/>
          <w:sz w:val="24"/>
          <w:szCs w:val="24"/>
          <w:lang w:val="en"/>
        </w:rPr>
        <w:t xml:space="preserve"> crisis</w:t>
      </w:r>
      <w:r>
        <w:rPr>
          <w:rFonts w:ascii="Times New Roman" w:hAnsi="Times New Roman"/>
          <w:sz w:val="24"/>
          <w:szCs w:val="24"/>
          <w:lang w:val="mk-MK"/>
        </w:rPr>
        <w:t xml:space="preserve"> </w:t>
      </w:r>
      <w:r w:rsidRPr="0067042D">
        <w:rPr>
          <w:rFonts w:ascii="Times New Roman" w:hAnsi="Times New Roman"/>
          <w:sz w:val="24"/>
          <w:szCs w:val="24"/>
          <w:lang w:val="en"/>
        </w:rPr>
        <w:t>as well as</w:t>
      </w:r>
      <w:r>
        <w:rPr>
          <w:rFonts w:ascii="Times New Roman" w:hAnsi="Times New Roman"/>
          <w:sz w:val="24"/>
          <w:szCs w:val="24"/>
          <w:lang w:val="mk-MK"/>
        </w:rPr>
        <w:t xml:space="preserve"> </w:t>
      </w:r>
      <w:r>
        <w:rPr>
          <w:rFonts w:ascii="Times New Roman" w:hAnsi="Times New Roman"/>
          <w:sz w:val="24"/>
          <w:szCs w:val="24"/>
        </w:rPr>
        <w:t>the</w:t>
      </w:r>
      <w:r>
        <w:rPr>
          <w:rFonts w:ascii="Times New Roman" w:hAnsi="Times New Roman"/>
          <w:sz w:val="24"/>
          <w:szCs w:val="24"/>
          <w:lang w:val="en"/>
        </w:rPr>
        <w:t xml:space="preserve"> </w:t>
      </w:r>
      <w:r w:rsidRPr="00CE6C9F">
        <w:rPr>
          <w:rFonts w:ascii="Times New Roman" w:hAnsi="Times New Roman"/>
          <w:sz w:val="24"/>
          <w:szCs w:val="24"/>
          <w:lang w:val="en"/>
        </w:rPr>
        <w:t>huge inflationary growth</w:t>
      </w:r>
      <w:r>
        <w:rPr>
          <w:rFonts w:ascii="Times New Roman" w:hAnsi="Times New Roman"/>
          <w:sz w:val="24"/>
          <w:szCs w:val="24"/>
        </w:rPr>
        <w:t xml:space="preserve"> </w:t>
      </w:r>
      <w:r w:rsidRPr="001863A6">
        <w:rPr>
          <w:rFonts w:ascii="Times New Roman" w:hAnsi="Times New Roman"/>
          <w:sz w:val="24"/>
          <w:szCs w:val="24"/>
        </w:rPr>
        <w:t>supplemented by the</w:t>
      </w:r>
      <w:r>
        <w:rPr>
          <w:rFonts w:ascii="Times New Roman" w:hAnsi="Times New Roman"/>
          <w:sz w:val="24"/>
          <w:szCs w:val="24"/>
          <w:lang w:val="mk-MK"/>
        </w:rPr>
        <w:t xml:space="preserve"> </w:t>
      </w:r>
      <w:r>
        <w:rPr>
          <w:rFonts w:ascii="Times New Roman" w:hAnsi="Times New Roman"/>
          <w:sz w:val="24"/>
          <w:szCs w:val="24"/>
        </w:rPr>
        <w:t>effect of</w:t>
      </w:r>
      <w:r w:rsidRPr="001863A6">
        <w:rPr>
          <w:rFonts w:ascii="Times New Roman" w:hAnsi="Times New Roman"/>
          <w:sz w:val="24"/>
          <w:szCs w:val="24"/>
        </w:rPr>
        <w:t xml:space="preserve"> </w:t>
      </w:r>
      <w:r w:rsidR="005733D1">
        <w:rPr>
          <w:rFonts w:ascii="Times New Roman" w:hAnsi="Times New Roman"/>
          <w:sz w:val="24"/>
          <w:szCs w:val="24"/>
        </w:rPr>
        <w:t xml:space="preserve">the </w:t>
      </w:r>
      <w:r w:rsidRPr="001863A6">
        <w:rPr>
          <w:rFonts w:ascii="Times New Roman" w:hAnsi="Times New Roman"/>
          <w:sz w:val="24"/>
          <w:szCs w:val="24"/>
        </w:rPr>
        <w:t>Ru</w:t>
      </w:r>
      <w:r>
        <w:rPr>
          <w:rFonts w:ascii="Times New Roman" w:hAnsi="Times New Roman"/>
          <w:sz w:val="24"/>
          <w:szCs w:val="24"/>
        </w:rPr>
        <w:t xml:space="preserve">ssian invasion </w:t>
      </w:r>
      <w:r w:rsidR="005733D1">
        <w:rPr>
          <w:rFonts w:ascii="Times New Roman" w:hAnsi="Times New Roman"/>
          <w:sz w:val="24"/>
          <w:szCs w:val="24"/>
        </w:rPr>
        <w:t xml:space="preserve">over </w:t>
      </w:r>
      <w:r>
        <w:rPr>
          <w:rFonts w:ascii="Times New Roman" w:hAnsi="Times New Roman"/>
          <w:sz w:val="24"/>
          <w:szCs w:val="24"/>
        </w:rPr>
        <w:t>Ukraine</w:t>
      </w:r>
      <w:r>
        <w:rPr>
          <w:rFonts w:ascii="Times New Roman" w:hAnsi="Times New Roman"/>
          <w:sz w:val="24"/>
          <w:szCs w:val="24"/>
          <w:lang w:val="mk-MK"/>
        </w:rPr>
        <w:t>,</w:t>
      </w:r>
      <w:r w:rsidRPr="0034674A">
        <w:rPr>
          <w:rFonts w:ascii="Times New Roman" w:hAnsi="Times New Roman"/>
          <w:sz w:val="24"/>
          <w:szCs w:val="24"/>
        </w:rPr>
        <w:t xml:space="preserve"> </w:t>
      </w:r>
      <w:r>
        <w:rPr>
          <w:rFonts w:ascii="Times New Roman" w:hAnsi="Times New Roman"/>
          <w:sz w:val="24"/>
          <w:szCs w:val="24"/>
        </w:rPr>
        <w:t>the total operating expense of</w:t>
      </w:r>
      <w:r w:rsidRPr="005B6D64">
        <w:rPr>
          <w:rFonts w:ascii="Times New Roman" w:hAnsi="Times New Roman"/>
          <w:sz w:val="24"/>
          <w:szCs w:val="24"/>
        </w:rPr>
        <w:t xml:space="preserve"> </w:t>
      </w:r>
      <w:r>
        <w:rPr>
          <w:rFonts w:ascii="Times New Roman" w:hAnsi="Times New Roman"/>
          <w:sz w:val="24"/>
          <w:szCs w:val="24"/>
        </w:rPr>
        <w:t>t</w:t>
      </w:r>
      <w:r w:rsidRPr="0034674A">
        <w:rPr>
          <w:rFonts w:ascii="Times New Roman" w:hAnsi="Times New Roman"/>
          <w:sz w:val="24"/>
          <w:szCs w:val="24"/>
        </w:rPr>
        <w:t>he</w:t>
      </w:r>
      <w:r>
        <w:rPr>
          <w:rFonts w:ascii="Times New Roman" w:hAnsi="Times New Roman"/>
          <w:sz w:val="24"/>
          <w:szCs w:val="24"/>
          <w:lang w:val="mk-MK"/>
        </w:rPr>
        <w:t xml:space="preserve"> </w:t>
      </w:r>
      <w:r>
        <w:rPr>
          <w:rFonts w:ascii="Times New Roman" w:hAnsi="Times New Roman"/>
          <w:sz w:val="24"/>
          <w:szCs w:val="24"/>
        </w:rPr>
        <w:t>Bank</w:t>
      </w:r>
      <w:r w:rsidRPr="005B6D64">
        <w:rPr>
          <w:rFonts w:ascii="Times New Roman" w:hAnsi="Times New Roman"/>
          <w:sz w:val="24"/>
          <w:szCs w:val="24"/>
        </w:rPr>
        <w:t xml:space="preserve"> </w:t>
      </w:r>
      <w:r>
        <w:rPr>
          <w:rFonts w:ascii="Times New Roman" w:hAnsi="Times New Roman"/>
          <w:sz w:val="24"/>
          <w:szCs w:val="24"/>
        </w:rPr>
        <w:t>reached</w:t>
      </w:r>
      <w:r w:rsidRPr="0034674A">
        <w:rPr>
          <w:rFonts w:ascii="Times New Roman" w:hAnsi="Times New Roman"/>
          <w:sz w:val="24"/>
          <w:szCs w:val="24"/>
        </w:rPr>
        <w:t xml:space="preserve"> EUR</w:t>
      </w:r>
      <w:r>
        <w:rPr>
          <w:rFonts w:ascii="Times New Roman" w:hAnsi="Times New Roman"/>
          <w:sz w:val="24"/>
          <w:szCs w:val="24"/>
        </w:rPr>
        <w:t xml:space="preserve"> 32</w:t>
      </w:r>
      <w:r w:rsidRPr="0034674A">
        <w:rPr>
          <w:rFonts w:ascii="Times New Roman" w:hAnsi="Times New Roman"/>
          <w:sz w:val="24"/>
          <w:szCs w:val="24"/>
        </w:rPr>
        <w:t>.</w:t>
      </w:r>
      <w:r>
        <w:rPr>
          <w:rFonts w:ascii="Times New Roman" w:hAnsi="Times New Roman"/>
          <w:sz w:val="24"/>
          <w:szCs w:val="24"/>
        </w:rPr>
        <w:t xml:space="preserve">1 </w:t>
      </w:r>
      <w:proofErr w:type="gramStart"/>
      <w:r>
        <w:rPr>
          <w:rFonts w:ascii="Times New Roman" w:hAnsi="Times New Roman"/>
          <w:sz w:val="24"/>
          <w:szCs w:val="24"/>
        </w:rPr>
        <w:t>million</w:t>
      </w:r>
      <w:proofErr w:type="gramEnd"/>
      <w:r>
        <w:rPr>
          <w:rFonts w:ascii="Times New Roman" w:hAnsi="Times New Roman"/>
          <w:sz w:val="24"/>
          <w:szCs w:val="24"/>
          <w:lang w:val="en"/>
        </w:rPr>
        <w:t>.</w:t>
      </w:r>
      <w:r>
        <w:rPr>
          <w:rFonts w:ascii="Times New Roman" w:hAnsi="Times New Roman"/>
          <w:sz w:val="24"/>
          <w:szCs w:val="24"/>
        </w:rPr>
        <w:t xml:space="preserve"> </w:t>
      </w:r>
      <w:r w:rsidRPr="0034674A">
        <w:rPr>
          <w:rFonts w:ascii="Times New Roman" w:hAnsi="Times New Roman"/>
          <w:sz w:val="24"/>
          <w:szCs w:val="24"/>
        </w:rPr>
        <w:t>Because of its</w:t>
      </w:r>
      <w:r w:rsidRPr="0034674A">
        <w:rPr>
          <w:rFonts w:ascii="Times New Roman" w:eastAsia="Times New Roman" w:hAnsi="Times New Roman"/>
          <w:bCs/>
          <w:sz w:val="24"/>
          <w:szCs w:val="24"/>
        </w:rPr>
        <w:t xml:space="preserve"> effective cost containment policy in place</w:t>
      </w:r>
      <w:r>
        <w:rPr>
          <w:rFonts w:ascii="Times New Roman" w:eastAsia="Times New Roman" w:hAnsi="Times New Roman"/>
          <w:bCs/>
          <w:sz w:val="24"/>
          <w:szCs w:val="24"/>
        </w:rPr>
        <w:t xml:space="preserve"> </w:t>
      </w:r>
      <w:r w:rsidRPr="00FF5A79">
        <w:rPr>
          <w:rFonts w:ascii="Times New Roman" w:eastAsia="Times New Roman" w:hAnsi="Times New Roman"/>
          <w:bCs/>
          <w:sz w:val="24"/>
          <w:szCs w:val="24"/>
          <w:lang w:val="en"/>
        </w:rPr>
        <w:t>accompanied by the growing revenues</w:t>
      </w:r>
      <w:r w:rsidRPr="0034674A">
        <w:rPr>
          <w:rFonts w:ascii="Times New Roman" w:hAnsi="Times New Roman"/>
          <w:sz w:val="24"/>
          <w:szCs w:val="24"/>
        </w:rPr>
        <w:t>,</w:t>
      </w:r>
      <w:r w:rsidRPr="0034674A">
        <w:rPr>
          <w:rFonts w:ascii="Times New Roman" w:eastAsia="Times New Roman" w:hAnsi="Times New Roman"/>
          <w:bCs/>
          <w:sz w:val="24"/>
          <w:szCs w:val="24"/>
        </w:rPr>
        <w:t xml:space="preserve"> the</w:t>
      </w:r>
      <w:r>
        <w:rPr>
          <w:rFonts w:ascii="Times New Roman" w:eastAsia="Times New Roman" w:hAnsi="Times New Roman"/>
          <w:bCs/>
          <w:sz w:val="24"/>
          <w:szCs w:val="24"/>
        </w:rPr>
        <w:t xml:space="preserve"> Bank succeeded to maintain </w:t>
      </w:r>
      <w:r w:rsidRPr="00BF6DA4">
        <w:rPr>
          <w:rFonts w:ascii="Times New Roman" w:eastAsia="Times New Roman" w:hAnsi="Times New Roman"/>
          <w:bCs/>
          <w:sz w:val="24"/>
          <w:szCs w:val="24"/>
          <w:lang w:val="en"/>
        </w:rPr>
        <w:t>extremely</w:t>
      </w:r>
      <w:r w:rsidRPr="00BF6DA4">
        <w:rPr>
          <w:rFonts w:ascii="Times New Roman" w:eastAsia="Times New Roman" w:hAnsi="Times New Roman"/>
          <w:bCs/>
          <w:sz w:val="24"/>
          <w:szCs w:val="24"/>
        </w:rPr>
        <w:t xml:space="preserve"> </w:t>
      </w:r>
      <w:r w:rsidRPr="0034674A">
        <w:rPr>
          <w:rFonts w:ascii="Times New Roman" w:eastAsia="Times New Roman" w:hAnsi="Times New Roman"/>
          <w:bCs/>
          <w:sz w:val="24"/>
          <w:szCs w:val="24"/>
        </w:rPr>
        <w:t>low cost to inco</w:t>
      </w:r>
      <w:r>
        <w:rPr>
          <w:rFonts w:ascii="Times New Roman" w:eastAsia="Times New Roman" w:hAnsi="Times New Roman"/>
          <w:bCs/>
          <w:sz w:val="24"/>
          <w:szCs w:val="24"/>
        </w:rPr>
        <w:t>me ratio of 33.8</w:t>
      </w:r>
      <w:r w:rsidRPr="0034674A">
        <w:rPr>
          <w:rFonts w:ascii="Times New Roman" w:eastAsia="Times New Roman" w:hAnsi="Times New Roman"/>
          <w:bCs/>
          <w:sz w:val="24"/>
          <w:szCs w:val="24"/>
        </w:rPr>
        <w:t xml:space="preserve">%, </w:t>
      </w:r>
      <w:r w:rsidRPr="0034674A">
        <w:rPr>
          <w:rFonts w:ascii="Times New Roman" w:hAnsi="Times New Roman"/>
          <w:sz w:val="24"/>
          <w:szCs w:val="24"/>
        </w:rPr>
        <w:t>far below the banking sector average</w:t>
      </w:r>
      <w:r w:rsidRPr="009D396D">
        <w:rPr>
          <w:rFonts w:ascii="Times New Roman" w:eastAsia="Times New Roman" w:hAnsi="Times New Roman"/>
          <w:bCs/>
          <w:sz w:val="24"/>
          <w:szCs w:val="24"/>
        </w:rPr>
        <w:t xml:space="preserve">. </w:t>
      </w:r>
    </w:p>
    <w:p w14:paraId="3ED3960E" w14:textId="0FF0355F" w:rsidR="009E1300" w:rsidRPr="00932791" w:rsidRDefault="009E1300" w:rsidP="00BB27D7">
      <w:pPr>
        <w:pStyle w:val="Heading2"/>
        <w:spacing w:before="240" w:line="276" w:lineRule="auto"/>
        <w:jc w:val="both"/>
        <w:rPr>
          <w:b w:val="0"/>
          <w:sz w:val="28"/>
          <w:szCs w:val="28"/>
        </w:rPr>
      </w:pPr>
      <w:bookmarkStart w:id="9" w:name="_Toc133313247"/>
      <w:r w:rsidRPr="00932791">
        <w:rPr>
          <w:sz w:val="28"/>
          <w:szCs w:val="28"/>
        </w:rPr>
        <w:lastRenderedPageBreak/>
        <w:t>Assets and Liabilities</w:t>
      </w:r>
      <w:bookmarkEnd w:id="9"/>
    </w:p>
    <w:p w14:paraId="56307C63" w14:textId="489FEE81" w:rsidR="009E1300" w:rsidRPr="00571FC5" w:rsidRDefault="009E1300" w:rsidP="00BB27D7">
      <w:pPr>
        <w:autoSpaceDE w:val="0"/>
        <w:autoSpaceDN w:val="0"/>
        <w:adjustRightInd w:val="0"/>
        <w:spacing w:before="240"/>
        <w:jc w:val="both"/>
        <w:rPr>
          <w:rFonts w:ascii="Times New Roman" w:hAnsi="Times New Roman"/>
          <w:b/>
          <w:i/>
          <w:sz w:val="24"/>
          <w:szCs w:val="24"/>
        </w:rPr>
      </w:pPr>
      <w:r w:rsidRPr="00932791">
        <w:rPr>
          <w:rFonts w:ascii="Times New Roman" w:hAnsi="Times New Roman"/>
          <w:b/>
          <w:i/>
          <w:sz w:val="24"/>
          <w:szCs w:val="24"/>
        </w:rPr>
        <w:t>Assets</w:t>
      </w:r>
    </w:p>
    <w:tbl>
      <w:tblPr>
        <w:tblStyle w:val="TableGrid"/>
        <w:tblpPr w:leftFromText="180" w:rightFromText="180" w:vertAnchor="text" w:tblpX="-90" w:tblpY="1"/>
        <w:tblOverlap w:val="never"/>
        <w:tblW w:w="10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9"/>
        <w:gridCol w:w="4923"/>
      </w:tblGrid>
      <w:tr w:rsidR="009E1300" w:rsidRPr="0034674A" w14:paraId="054B8742" w14:textId="77777777" w:rsidTr="008A49BB">
        <w:trPr>
          <w:trHeight w:val="3071"/>
        </w:trPr>
        <w:tc>
          <w:tcPr>
            <w:tcW w:w="5159" w:type="dxa"/>
          </w:tcPr>
          <w:p w14:paraId="1D20D1FC" w14:textId="77777777" w:rsidR="009E1300" w:rsidRPr="00EF66AB" w:rsidRDefault="009E1300" w:rsidP="00BB27D7">
            <w:pPr>
              <w:jc w:val="both"/>
              <w:rPr>
                <w:bCs/>
                <w:iCs/>
                <w:sz w:val="24"/>
                <w:szCs w:val="24"/>
              </w:rPr>
            </w:pPr>
            <w:r w:rsidRPr="0034674A">
              <w:rPr>
                <w:bCs/>
                <w:iCs/>
                <w:sz w:val="24"/>
                <w:szCs w:val="24"/>
                <w:lang w:val="en-AU"/>
              </w:rPr>
              <w:t>The Bank’s total assets at the end of 20</w:t>
            </w:r>
            <w:r>
              <w:rPr>
                <w:bCs/>
                <w:iCs/>
                <w:sz w:val="24"/>
                <w:szCs w:val="24"/>
                <w:lang w:val="en-AU"/>
              </w:rPr>
              <w:t>22 amounted to EUR 1,996.7 million, which is EUR 145.2 million or 7</w:t>
            </w:r>
            <w:r w:rsidRPr="0034674A">
              <w:rPr>
                <w:bCs/>
                <w:iCs/>
                <w:sz w:val="24"/>
                <w:szCs w:val="24"/>
                <w:lang w:val="en-AU"/>
              </w:rPr>
              <w:t>.</w:t>
            </w:r>
            <w:r>
              <w:rPr>
                <w:bCs/>
                <w:iCs/>
                <w:sz w:val="24"/>
                <w:szCs w:val="24"/>
                <w:lang w:val="en-AU"/>
              </w:rPr>
              <w:t>8</w:t>
            </w:r>
            <w:r w:rsidRPr="0034674A">
              <w:rPr>
                <w:bCs/>
                <w:iCs/>
                <w:sz w:val="24"/>
                <w:szCs w:val="24"/>
                <w:lang w:val="en-AU"/>
              </w:rPr>
              <w:t xml:space="preserve">% </w:t>
            </w:r>
            <w:r>
              <w:rPr>
                <w:bCs/>
                <w:iCs/>
                <w:sz w:val="24"/>
                <w:szCs w:val="24"/>
                <w:lang w:val="en-AU"/>
              </w:rPr>
              <w:t>higher in comparison to</w:t>
            </w:r>
            <w:r w:rsidRPr="0034674A">
              <w:rPr>
                <w:bCs/>
                <w:iCs/>
                <w:sz w:val="24"/>
                <w:szCs w:val="24"/>
                <w:lang w:val="en-AU"/>
              </w:rPr>
              <w:t xml:space="preserve"> 20</w:t>
            </w:r>
            <w:r>
              <w:rPr>
                <w:bCs/>
                <w:iCs/>
                <w:sz w:val="24"/>
                <w:szCs w:val="24"/>
                <w:lang w:val="en-AU"/>
              </w:rPr>
              <w:t>21</w:t>
            </w:r>
            <w:r w:rsidRPr="0034674A">
              <w:rPr>
                <w:bCs/>
                <w:iCs/>
                <w:sz w:val="24"/>
                <w:szCs w:val="24"/>
                <w:lang w:val="en-AU"/>
              </w:rPr>
              <w:t>. The Bank continued to enhance its pruden</w:t>
            </w:r>
            <w:r>
              <w:rPr>
                <w:bCs/>
                <w:iCs/>
                <w:sz w:val="24"/>
                <w:szCs w:val="24"/>
                <w:lang w:val="en-AU"/>
              </w:rPr>
              <w:t>t approach</w:t>
            </w:r>
            <w:r w:rsidRPr="0034674A">
              <w:rPr>
                <w:bCs/>
                <w:iCs/>
                <w:sz w:val="24"/>
                <w:szCs w:val="24"/>
                <w:lang w:val="en-AU"/>
              </w:rPr>
              <w:t xml:space="preserve"> with balance</w:t>
            </w:r>
            <w:r>
              <w:rPr>
                <w:bCs/>
                <w:iCs/>
                <w:sz w:val="24"/>
                <w:szCs w:val="24"/>
                <w:lang w:val="en-AU"/>
              </w:rPr>
              <w:t>d</w:t>
            </w:r>
            <w:r w:rsidRPr="0034674A">
              <w:rPr>
                <w:bCs/>
                <w:iCs/>
                <w:sz w:val="24"/>
                <w:szCs w:val="24"/>
                <w:lang w:val="en-AU"/>
              </w:rPr>
              <w:t xml:space="preserve"> growth, adequate liquidity and strong capital base.</w:t>
            </w:r>
            <w:r w:rsidRPr="00EF66AB">
              <w:rPr>
                <w:rFonts w:ascii="inherit" w:hAnsi="inherit" w:cs="Courier New"/>
                <w:color w:val="202124"/>
                <w:sz w:val="42"/>
                <w:szCs w:val="42"/>
                <w:lang w:val="en"/>
              </w:rPr>
              <w:t xml:space="preserve"> </w:t>
            </w:r>
            <w:r w:rsidRPr="00EF66AB">
              <w:rPr>
                <w:bCs/>
                <w:iCs/>
                <w:sz w:val="24"/>
                <w:szCs w:val="24"/>
                <w:lang w:val="en"/>
              </w:rPr>
              <w:t xml:space="preserve">The share of </w:t>
            </w:r>
            <w:r>
              <w:rPr>
                <w:bCs/>
                <w:iCs/>
                <w:sz w:val="24"/>
                <w:szCs w:val="24"/>
                <w:lang w:val="en"/>
              </w:rPr>
              <w:t>c</w:t>
            </w:r>
            <w:r w:rsidRPr="00A66A7C">
              <w:rPr>
                <w:bCs/>
                <w:iCs/>
                <w:sz w:val="24"/>
                <w:szCs w:val="24"/>
                <w:lang w:val="en"/>
              </w:rPr>
              <w:t>ash and cash equivalents</w:t>
            </w:r>
            <w:r w:rsidRPr="00EF66AB">
              <w:rPr>
                <w:bCs/>
                <w:iCs/>
                <w:sz w:val="24"/>
                <w:szCs w:val="24"/>
                <w:lang w:val="en"/>
              </w:rPr>
              <w:t xml:space="preserve"> in th</w:t>
            </w:r>
            <w:r>
              <w:rPr>
                <w:bCs/>
                <w:iCs/>
                <w:sz w:val="24"/>
                <w:szCs w:val="24"/>
                <w:lang w:val="en"/>
              </w:rPr>
              <w:t xml:space="preserve">e total assets of the Bank is </w:t>
            </w:r>
            <w:r w:rsidRPr="00A66A7C">
              <w:rPr>
                <w:bCs/>
                <w:iCs/>
                <w:sz w:val="24"/>
                <w:szCs w:val="24"/>
                <w:lang w:val="en"/>
              </w:rPr>
              <w:t>18.3%.</w:t>
            </w:r>
            <w:r>
              <w:rPr>
                <w:bCs/>
                <w:iCs/>
                <w:sz w:val="24"/>
                <w:szCs w:val="24"/>
              </w:rPr>
              <w:t xml:space="preserve"> T</w:t>
            </w:r>
            <w:r w:rsidRPr="0034674A">
              <w:rPr>
                <w:bCs/>
                <w:iCs/>
                <w:sz w:val="24"/>
                <w:szCs w:val="24"/>
                <w:lang w:val="en-AU"/>
              </w:rPr>
              <w:t xml:space="preserve">he total </w:t>
            </w:r>
            <w:r>
              <w:rPr>
                <w:bCs/>
                <w:iCs/>
                <w:sz w:val="24"/>
                <w:szCs w:val="24"/>
                <w:lang w:val="en-AU"/>
              </w:rPr>
              <w:t>loan portfolio-gross reached EUR 1,449</w:t>
            </w:r>
            <w:r w:rsidRPr="0034674A">
              <w:rPr>
                <w:bCs/>
                <w:iCs/>
                <w:sz w:val="24"/>
                <w:szCs w:val="24"/>
                <w:lang w:val="en-AU"/>
              </w:rPr>
              <w:t>.</w:t>
            </w:r>
            <w:r>
              <w:rPr>
                <w:bCs/>
                <w:iCs/>
                <w:sz w:val="24"/>
                <w:szCs w:val="24"/>
                <w:lang w:val="en-AU"/>
              </w:rPr>
              <w:t>1</w:t>
            </w:r>
            <w:r w:rsidRPr="0034674A">
              <w:rPr>
                <w:bCs/>
                <w:iCs/>
                <w:sz w:val="24"/>
                <w:szCs w:val="24"/>
                <w:lang w:val="en-AU"/>
              </w:rPr>
              <w:t xml:space="preserve"> million, ou</w:t>
            </w:r>
            <w:r>
              <w:rPr>
                <w:bCs/>
                <w:iCs/>
                <w:sz w:val="24"/>
                <w:szCs w:val="24"/>
                <w:lang w:val="en-AU"/>
              </w:rPr>
              <w:t>t of which EUR 540</w:t>
            </w:r>
            <w:r w:rsidRPr="0034674A">
              <w:rPr>
                <w:bCs/>
                <w:iCs/>
                <w:sz w:val="24"/>
                <w:szCs w:val="24"/>
                <w:lang w:val="en-AU"/>
              </w:rPr>
              <w:t>.</w:t>
            </w:r>
            <w:r>
              <w:rPr>
                <w:bCs/>
                <w:iCs/>
                <w:sz w:val="24"/>
                <w:szCs w:val="24"/>
                <w:lang w:val="en-AU"/>
              </w:rPr>
              <w:t>9</w:t>
            </w:r>
            <w:r w:rsidRPr="0034674A">
              <w:rPr>
                <w:bCs/>
                <w:iCs/>
                <w:sz w:val="24"/>
                <w:szCs w:val="24"/>
                <w:lang w:val="en-AU"/>
              </w:rPr>
              <w:t xml:space="preserve"> million </w:t>
            </w:r>
            <w:proofErr w:type="gramStart"/>
            <w:r w:rsidRPr="0034674A">
              <w:rPr>
                <w:bCs/>
                <w:iCs/>
                <w:sz w:val="24"/>
                <w:szCs w:val="24"/>
                <w:lang w:val="en-AU"/>
              </w:rPr>
              <w:t>were extended</w:t>
            </w:r>
            <w:proofErr w:type="gramEnd"/>
            <w:r w:rsidRPr="0034674A">
              <w:rPr>
                <w:bCs/>
                <w:iCs/>
                <w:sz w:val="24"/>
                <w:szCs w:val="24"/>
                <w:lang w:val="en-AU"/>
              </w:rPr>
              <w:t xml:space="preserve"> to corporate customers, while reta</w:t>
            </w:r>
            <w:r>
              <w:rPr>
                <w:bCs/>
                <w:iCs/>
                <w:sz w:val="24"/>
                <w:szCs w:val="24"/>
                <w:lang w:val="en-AU"/>
              </w:rPr>
              <w:t>il exposures amounted to EUR 908</w:t>
            </w:r>
            <w:r w:rsidRPr="0034674A">
              <w:rPr>
                <w:bCs/>
                <w:iCs/>
                <w:sz w:val="24"/>
                <w:szCs w:val="24"/>
                <w:lang w:val="en-AU"/>
              </w:rPr>
              <w:t>.</w:t>
            </w:r>
            <w:r>
              <w:rPr>
                <w:bCs/>
                <w:iCs/>
                <w:sz w:val="24"/>
                <w:szCs w:val="24"/>
                <w:lang w:val="en-AU"/>
              </w:rPr>
              <w:t>2</w:t>
            </w:r>
            <w:r w:rsidRPr="0034674A">
              <w:rPr>
                <w:bCs/>
                <w:iCs/>
                <w:sz w:val="24"/>
                <w:szCs w:val="24"/>
                <w:lang w:val="en-AU"/>
              </w:rPr>
              <w:t xml:space="preserve"> million.</w:t>
            </w:r>
          </w:p>
        </w:tc>
        <w:tc>
          <w:tcPr>
            <w:tcW w:w="4923" w:type="dxa"/>
          </w:tcPr>
          <w:p w14:paraId="0F24793B" w14:textId="0D3C3BDB" w:rsidR="009E1300" w:rsidRPr="00CC152A" w:rsidRDefault="008A49BB" w:rsidP="00BB27D7">
            <w:pPr>
              <w:jc w:val="right"/>
              <w:rPr>
                <w:b/>
                <w:bCs/>
                <w:i/>
                <w:iCs/>
                <w:sz w:val="20"/>
                <w:szCs w:val="20"/>
              </w:rPr>
            </w:pPr>
            <w:r>
              <w:rPr>
                <w:noProof/>
              </w:rPr>
              <w:drawing>
                <wp:anchor distT="0" distB="0" distL="114300" distR="114300" simplePos="0" relativeHeight="251939328" behindDoc="1" locked="0" layoutInCell="1" allowOverlap="1" wp14:anchorId="3784EF8D" wp14:editId="1162B639">
                  <wp:simplePos x="0" y="0"/>
                  <wp:positionH relativeFrom="column">
                    <wp:posOffset>-66675</wp:posOffset>
                  </wp:positionH>
                  <wp:positionV relativeFrom="paragraph">
                    <wp:posOffset>0</wp:posOffset>
                  </wp:positionV>
                  <wp:extent cx="2724785" cy="2199640"/>
                  <wp:effectExtent l="0" t="0" r="0" b="0"/>
                  <wp:wrapTight wrapText="bothSides">
                    <wp:wrapPolygon edited="0">
                      <wp:start x="0" y="0"/>
                      <wp:lineTo x="0" y="21326"/>
                      <wp:lineTo x="21444" y="21326"/>
                      <wp:lineTo x="21444" y="0"/>
                      <wp:lineTo x="0" y="0"/>
                    </wp:wrapPolygon>
                  </wp:wrapTight>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tc>
      </w:tr>
    </w:tbl>
    <w:p w14:paraId="08D67707" w14:textId="77777777" w:rsidR="009E1300" w:rsidRDefault="009E1300" w:rsidP="00BB27D7">
      <w:pPr>
        <w:spacing w:before="240"/>
        <w:jc w:val="both"/>
        <w:rPr>
          <w:rFonts w:ascii="Times New Roman" w:eastAsia="Times New Roman" w:hAnsi="Times New Roman"/>
          <w:b/>
          <w:bCs/>
          <w:i/>
          <w:iCs/>
          <w:sz w:val="24"/>
          <w:szCs w:val="24"/>
        </w:rPr>
      </w:pPr>
      <w:r w:rsidRPr="00932791">
        <w:rPr>
          <w:rFonts w:ascii="Times New Roman" w:eastAsia="Times New Roman" w:hAnsi="Times New Roman"/>
          <w:b/>
          <w:bCs/>
          <w:i/>
          <w:iCs/>
          <w:sz w:val="24"/>
          <w:szCs w:val="24"/>
        </w:rPr>
        <w:t>Deposits and Equity</w:t>
      </w:r>
    </w:p>
    <w:p w14:paraId="1E051501" w14:textId="77777777" w:rsidR="00854280" w:rsidRDefault="00854280" w:rsidP="00BB27D7">
      <w:pPr>
        <w:spacing w:before="240"/>
        <w:jc w:val="both"/>
        <w:rPr>
          <w:rFonts w:ascii="Times New Roman" w:eastAsia="Times New Roman" w:hAnsi="Times New Roman"/>
          <w:sz w:val="24"/>
          <w:szCs w:val="24"/>
        </w:rPr>
      </w:pPr>
      <w:r w:rsidRPr="0034674A">
        <w:rPr>
          <w:rFonts w:ascii="Times New Roman" w:eastAsia="Times New Roman" w:hAnsi="Times New Roman"/>
          <w:bCs/>
          <w:iCs/>
          <w:sz w:val="24"/>
          <w:szCs w:val="24"/>
          <w:lang w:val="en-AU"/>
        </w:rPr>
        <w:t xml:space="preserve">The Bank’s deposit base increased </w:t>
      </w:r>
      <w:r>
        <w:rPr>
          <w:rFonts w:ascii="Times New Roman" w:eastAsia="Times New Roman" w:hAnsi="Times New Roman"/>
          <w:bCs/>
          <w:iCs/>
          <w:sz w:val="24"/>
          <w:szCs w:val="24"/>
          <w:lang w:val="en-AU"/>
        </w:rPr>
        <w:t>by 5</w:t>
      </w:r>
      <w:r w:rsidRPr="0034674A">
        <w:rPr>
          <w:rFonts w:ascii="Times New Roman" w:eastAsia="Times New Roman" w:hAnsi="Times New Roman"/>
          <w:bCs/>
          <w:iCs/>
          <w:sz w:val="24"/>
          <w:szCs w:val="24"/>
          <w:lang w:val="en-AU"/>
        </w:rPr>
        <w:t>.</w:t>
      </w:r>
      <w:r>
        <w:rPr>
          <w:rFonts w:ascii="Times New Roman" w:eastAsia="Times New Roman" w:hAnsi="Times New Roman"/>
          <w:bCs/>
          <w:iCs/>
          <w:sz w:val="24"/>
          <w:szCs w:val="24"/>
          <w:lang w:val="en-AU"/>
        </w:rPr>
        <w:t>5</w:t>
      </w:r>
      <w:r w:rsidRPr="0034674A">
        <w:rPr>
          <w:rFonts w:ascii="Times New Roman" w:eastAsia="Times New Roman" w:hAnsi="Times New Roman"/>
          <w:bCs/>
          <w:iCs/>
          <w:sz w:val="24"/>
          <w:szCs w:val="24"/>
          <w:lang w:val="en-AU"/>
        </w:rPr>
        <w:t>%</w:t>
      </w:r>
      <w:r>
        <w:rPr>
          <w:rFonts w:ascii="Times New Roman" w:eastAsia="Times New Roman" w:hAnsi="Times New Roman"/>
          <w:bCs/>
          <w:iCs/>
          <w:sz w:val="24"/>
          <w:szCs w:val="24"/>
          <w:lang w:val="en-AU"/>
        </w:rPr>
        <w:t xml:space="preserve"> or EUR 79.9 million</w:t>
      </w:r>
      <w:r w:rsidRPr="0034674A">
        <w:rPr>
          <w:rFonts w:ascii="Times New Roman" w:eastAsia="Times New Roman" w:hAnsi="Times New Roman"/>
          <w:bCs/>
          <w:iCs/>
          <w:sz w:val="24"/>
          <w:szCs w:val="24"/>
          <w:lang w:val="en-AU"/>
        </w:rPr>
        <w:t xml:space="preserve">. Deposits continue to be the main funding source of </w:t>
      </w:r>
      <w:r>
        <w:rPr>
          <w:rFonts w:ascii="Times New Roman" w:eastAsia="Times New Roman" w:hAnsi="Times New Roman"/>
          <w:bCs/>
          <w:iCs/>
          <w:sz w:val="24"/>
          <w:szCs w:val="24"/>
          <w:lang w:val="en-AU"/>
        </w:rPr>
        <w:t>the Bank, amounting to EUR 1,535</w:t>
      </w:r>
      <w:r w:rsidRPr="0034674A">
        <w:rPr>
          <w:rFonts w:ascii="Times New Roman" w:eastAsia="Times New Roman" w:hAnsi="Times New Roman"/>
          <w:bCs/>
          <w:iCs/>
          <w:sz w:val="24"/>
          <w:szCs w:val="24"/>
          <w:lang w:val="en-AU"/>
        </w:rPr>
        <w:t>.</w:t>
      </w:r>
      <w:r>
        <w:rPr>
          <w:rFonts w:ascii="Times New Roman" w:eastAsia="Times New Roman" w:hAnsi="Times New Roman"/>
          <w:bCs/>
          <w:iCs/>
          <w:sz w:val="24"/>
          <w:szCs w:val="24"/>
          <w:lang w:val="en-AU"/>
        </w:rPr>
        <w:t xml:space="preserve">0 </w:t>
      </w:r>
      <w:proofErr w:type="gramStart"/>
      <w:r w:rsidRPr="0034674A">
        <w:rPr>
          <w:rFonts w:ascii="Times New Roman" w:eastAsia="Times New Roman" w:hAnsi="Times New Roman"/>
          <w:bCs/>
          <w:iCs/>
          <w:sz w:val="24"/>
          <w:szCs w:val="24"/>
          <w:lang w:val="en-AU"/>
        </w:rPr>
        <w:t>million</w:t>
      </w:r>
      <w:proofErr w:type="gramEnd"/>
      <w:r>
        <w:rPr>
          <w:rFonts w:ascii="Times New Roman" w:eastAsia="Times New Roman" w:hAnsi="Times New Roman"/>
          <w:bCs/>
          <w:iCs/>
          <w:sz w:val="24"/>
          <w:szCs w:val="24"/>
          <w:lang w:val="en-AU"/>
        </w:rPr>
        <w:t xml:space="preserve"> and </w:t>
      </w:r>
      <w:r>
        <w:rPr>
          <w:rFonts w:ascii="Times New Roman" w:eastAsia="Times New Roman" w:hAnsi="Times New Roman"/>
          <w:sz w:val="24"/>
          <w:szCs w:val="24"/>
        </w:rPr>
        <w:t>as a</w:t>
      </w:r>
      <w:r w:rsidRPr="00307413">
        <w:rPr>
          <w:noProof/>
        </w:rPr>
        <w:t xml:space="preserve"> </w:t>
      </w:r>
      <w:r>
        <w:rPr>
          <w:rFonts w:ascii="Times New Roman" w:eastAsia="Times New Roman" w:hAnsi="Times New Roman"/>
          <w:sz w:val="24"/>
          <w:szCs w:val="24"/>
        </w:rPr>
        <w:t>result, at the end of 2022</w:t>
      </w:r>
      <w:r w:rsidRPr="0034674A">
        <w:rPr>
          <w:rFonts w:ascii="Times New Roman" w:eastAsia="Times New Roman" w:hAnsi="Times New Roman"/>
          <w:sz w:val="24"/>
          <w:szCs w:val="24"/>
        </w:rPr>
        <w:t xml:space="preserve">, the loans to deposits ratio </w:t>
      </w:r>
      <w:r>
        <w:rPr>
          <w:rFonts w:ascii="Times New Roman" w:eastAsia="Times New Roman" w:hAnsi="Times New Roman"/>
          <w:sz w:val="24"/>
          <w:szCs w:val="24"/>
        </w:rPr>
        <w:t>reach 94</w:t>
      </w:r>
      <w:r w:rsidRPr="0034674A">
        <w:rPr>
          <w:rFonts w:ascii="Times New Roman" w:eastAsia="Times New Roman" w:hAnsi="Times New Roman"/>
          <w:sz w:val="24"/>
          <w:szCs w:val="24"/>
        </w:rPr>
        <w:t>.</w:t>
      </w:r>
      <w:r>
        <w:rPr>
          <w:rFonts w:ascii="Times New Roman" w:eastAsia="Times New Roman" w:hAnsi="Times New Roman"/>
          <w:sz w:val="24"/>
          <w:szCs w:val="24"/>
        </w:rPr>
        <w:t>4</w:t>
      </w:r>
      <w:r w:rsidRPr="0034674A">
        <w:rPr>
          <w:rFonts w:ascii="Times New Roman" w:eastAsia="Times New Roman" w:hAnsi="Times New Roman"/>
          <w:sz w:val="24"/>
          <w:szCs w:val="24"/>
        </w:rPr>
        <w:t xml:space="preserve">% on gross basis, </w:t>
      </w:r>
      <w:r>
        <w:rPr>
          <w:rFonts w:ascii="Times New Roman" w:eastAsia="Times New Roman" w:hAnsi="Times New Roman"/>
          <w:sz w:val="24"/>
          <w:szCs w:val="24"/>
        </w:rPr>
        <w:t xml:space="preserve">still sufficient to enable </w:t>
      </w:r>
      <w:r w:rsidRPr="0034674A">
        <w:rPr>
          <w:rFonts w:ascii="Times New Roman" w:eastAsia="Times New Roman" w:hAnsi="Times New Roman"/>
          <w:sz w:val="24"/>
          <w:szCs w:val="24"/>
        </w:rPr>
        <w:t>the Bank’s strong credit potential. The currency composition of the deposits’ base indicates stable share of domestic currency denominated deposi</w:t>
      </w:r>
      <w:r>
        <w:rPr>
          <w:rFonts w:ascii="Times New Roman" w:eastAsia="Times New Roman" w:hAnsi="Times New Roman"/>
          <w:sz w:val="24"/>
          <w:szCs w:val="24"/>
        </w:rPr>
        <w:t>ts of 57.2% (57.6</w:t>
      </w:r>
      <w:r w:rsidRPr="0034674A">
        <w:rPr>
          <w:rFonts w:ascii="Times New Roman" w:eastAsia="Times New Roman" w:hAnsi="Times New Roman"/>
          <w:sz w:val="24"/>
          <w:szCs w:val="24"/>
        </w:rPr>
        <w:t>% in 20</w:t>
      </w:r>
      <w:r>
        <w:rPr>
          <w:rFonts w:ascii="Times New Roman" w:eastAsia="Times New Roman" w:hAnsi="Times New Roman"/>
          <w:sz w:val="24"/>
          <w:szCs w:val="24"/>
        </w:rPr>
        <w:t>21</w:t>
      </w:r>
      <w:r w:rsidRPr="0034674A">
        <w:rPr>
          <w:rFonts w:ascii="Times New Roman" w:eastAsia="Times New Roman" w:hAnsi="Times New Roman"/>
          <w:sz w:val="24"/>
          <w:szCs w:val="24"/>
        </w:rPr>
        <w:t>).</w:t>
      </w:r>
      <w:r>
        <w:rPr>
          <w:rFonts w:ascii="Times New Roman" w:eastAsia="Times New Roman" w:hAnsi="Times New Roman"/>
          <w:sz w:val="24"/>
          <w:szCs w:val="24"/>
        </w:rPr>
        <w:t>T</w:t>
      </w:r>
      <w:r w:rsidRPr="0034674A">
        <w:rPr>
          <w:rFonts w:ascii="Times New Roman" w:eastAsia="Times New Roman" w:hAnsi="Times New Roman"/>
          <w:sz w:val="24"/>
          <w:szCs w:val="24"/>
        </w:rPr>
        <w:t xml:space="preserve">he Bank equity amounted </w:t>
      </w:r>
      <w:r>
        <w:rPr>
          <w:rFonts w:ascii="Times New Roman" w:eastAsia="Times New Roman" w:hAnsi="Times New Roman"/>
          <w:sz w:val="24"/>
          <w:szCs w:val="24"/>
        </w:rPr>
        <w:t>to EUR 361</w:t>
      </w:r>
      <w:r w:rsidRPr="0034674A">
        <w:rPr>
          <w:rFonts w:ascii="Times New Roman" w:eastAsia="Times New Roman" w:hAnsi="Times New Roman"/>
          <w:sz w:val="24"/>
          <w:szCs w:val="24"/>
        </w:rPr>
        <w:t>.</w:t>
      </w:r>
      <w:r>
        <w:rPr>
          <w:rFonts w:ascii="Times New Roman" w:eastAsia="Times New Roman" w:hAnsi="Times New Roman"/>
          <w:sz w:val="24"/>
          <w:szCs w:val="24"/>
        </w:rPr>
        <w:t>0 million at the end of 2022</w:t>
      </w:r>
      <w:r w:rsidRPr="0034674A">
        <w:rPr>
          <w:rFonts w:ascii="Times New Roman" w:eastAsia="Times New Roman" w:hAnsi="Times New Roman"/>
          <w:sz w:val="24"/>
          <w:szCs w:val="24"/>
        </w:rPr>
        <w:t xml:space="preserve"> and as such, it is still the highest within the banking sector in the country, ensuring sufficient capital adequacy and quality source of long-term funding.</w:t>
      </w:r>
      <w:r>
        <w:rPr>
          <w:rFonts w:ascii="Times New Roman" w:eastAsia="Times New Roman" w:hAnsi="Times New Roman"/>
          <w:sz w:val="24"/>
          <w:szCs w:val="24"/>
        </w:rPr>
        <w:t xml:space="preserve"> </w:t>
      </w:r>
    </w:p>
    <w:p w14:paraId="71EF88C4" w14:textId="152E50E4" w:rsidR="00733465" w:rsidRDefault="00733465" w:rsidP="00BB27D7">
      <w:r>
        <w:rPr>
          <w:noProof/>
        </w:rPr>
        <w:drawing>
          <wp:inline distT="0" distB="0" distL="0" distR="0" wp14:anchorId="050F1DFA" wp14:editId="4A42A4DD">
            <wp:extent cx="1913255" cy="2087592"/>
            <wp:effectExtent l="0" t="0" r="0" b="8255"/>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t xml:space="preserve">      </w:t>
      </w:r>
      <w:r w:rsidR="00854280">
        <w:rPr>
          <w:noProof/>
        </w:rPr>
        <w:drawing>
          <wp:inline distT="0" distB="0" distL="0" distR="0" wp14:anchorId="7FAAC5AB" wp14:editId="7D557069">
            <wp:extent cx="1881505" cy="2146714"/>
            <wp:effectExtent l="0" t="0" r="4445" b="635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854280">
        <w:rPr>
          <w:noProof/>
        </w:rPr>
        <w:drawing>
          <wp:inline distT="0" distB="0" distL="0" distR="0" wp14:anchorId="4DFD52C7" wp14:editId="02997054">
            <wp:extent cx="1863305" cy="2131695"/>
            <wp:effectExtent l="0" t="0" r="3810" b="1905"/>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t xml:space="preserve">                                                            </w:t>
      </w:r>
    </w:p>
    <w:p w14:paraId="45A9A2EA" w14:textId="77777777" w:rsidR="00733465" w:rsidRDefault="00733465" w:rsidP="00BB27D7">
      <w:pPr>
        <w:jc w:val="both"/>
        <w:rPr>
          <w:szCs w:val="24"/>
        </w:rPr>
      </w:pPr>
    </w:p>
    <w:p w14:paraId="11456F37" w14:textId="253542C2" w:rsidR="00D73724" w:rsidRDefault="00D73724" w:rsidP="00BB27D7">
      <w:pPr>
        <w:pStyle w:val="Heading2"/>
        <w:spacing w:before="240" w:line="276" w:lineRule="auto"/>
        <w:jc w:val="both"/>
        <w:rPr>
          <w:sz w:val="28"/>
          <w:szCs w:val="28"/>
        </w:rPr>
      </w:pPr>
      <w:bookmarkStart w:id="10" w:name="_Toc133313248"/>
      <w:r w:rsidRPr="00793A3F">
        <w:rPr>
          <w:sz w:val="28"/>
          <w:szCs w:val="28"/>
        </w:rPr>
        <w:lastRenderedPageBreak/>
        <w:t>Retail Banking</w:t>
      </w:r>
      <w:bookmarkEnd w:id="10"/>
    </w:p>
    <w:p w14:paraId="2FC8505F" w14:textId="77777777" w:rsidR="005016D8" w:rsidRDefault="005016D8" w:rsidP="00BB27D7"/>
    <w:p w14:paraId="32C0199D" w14:textId="6DE12540"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 xml:space="preserve">In </w:t>
      </w:r>
      <w:proofErr w:type="gramStart"/>
      <w:r w:rsidRPr="00932791">
        <w:rPr>
          <w:rFonts w:ascii="Times New Roman" w:hAnsi="Times New Roman"/>
          <w:sz w:val="24"/>
          <w:szCs w:val="24"/>
        </w:rPr>
        <w:t>2022</w:t>
      </w:r>
      <w:proofErr w:type="gramEnd"/>
      <w:r w:rsidRPr="00932791">
        <w:rPr>
          <w:rFonts w:ascii="Times New Roman" w:hAnsi="Times New Roman"/>
          <w:sz w:val="24"/>
          <w:szCs w:val="24"/>
        </w:rPr>
        <w:t xml:space="preserve"> the retail segment following the long-term pandemic show</w:t>
      </w:r>
      <w:r w:rsidR="00E95142">
        <w:rPr>
          <w:rFonts w:ascii="Times New Roman" w:hAnsi="Times New Roman"/>
          <w:sz w:val="24"/>
          <w:szCs w:val="24"/>
        </w:rPr>
        <w:t>s</w:t>
      </w:r>
      <w:r w:rsidRPr="00932791">
        <w:rPr>
          <w:rFonts w:ascii="Times New Roman" w:hAnsi="Times New Roman"/>
          <w:sz w:val="24"/>
          <w:szCs w:val="24"/>
        </w:rPr>
        <w:t xml:space="preserve"> signs of normalization. However, the start of the conflict in Ukraine, the hike of energy prices and the rapidly growing inflation inevitably affected the purchasing power of the citizens, also their appetites for the upcoming period.</w:t>
      </w:r>
    </w:p>
    <w:p w14:paraId="0EA3725B"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The National Bank of the Republic of North Macedonia increased the reference interest rate on several occasions during the year, thus giving clear guidelines to slow growth of lending, with the ultimate goal of curbing the inflationary effects. These trends continued with the end of the year and the effects will undoubtedly spill over into the next year.</w:t>
      </w:r>
    </w:p>
    <w:p w14:paraId="2F66CA20" w14:textId="635E9822"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 xml:space="preserve">Stopanska </w:t>
      </w:r>
      <w:r w:rsidR="00BB7323">
        <w:rPr>
          <w:rFonts w:ascii="Times New Roman" w:hAnsi="Times New Roman"/>
          <w:sz w:val="24"/>
          <w:szCs w:val="24"/>
        </w:rPr>
        <w:t>B</w:t>
      </w:r>
      <w:r w:rsidRPr="00932791">
        <w:rPr>
          <w:rFonts w:ascii="Times New Roman" w:hAnsi="Times New Roman"/>
          <w:sz w:val="24"/>
          <w:szCs w:val="24"/>
        </w:rPr>
        <w:t xml:space="preserve">anka devoted the year 2022 to strengthening its position in the retail segment through further optimization of its network of branches, investment in new modern ATM devices, expanded offer of i-bank digital services as well as improving its retail and SBB loans and deposits offer. </w:t>
      </w:r>
    </w:p>
    <w:p w14:paraId="156508E4" w14:textId="77777777" w:rsidR="005016D8" w:rsidRPr="00932791" w:rsidRDefault="005016D8" w:rsidP="00BB27D7">
      <w:pPr>
        <w:jc w:val="both"/>
        <w:rPr>
          <w:rFonts w:ascii="Times New Roman" w:hAnsi="Times New Roman"/>
          <w:b/>
          <w:i/>
          <w:sz w:val="24"/>
          <w:szCs w:val="24"/>
        </w:rPr>
      </w:pPr>
      <w:r w:rsidRPr="00932791">
        <w:rPr>
          <w:rFonts w:ascii="Times New Roman" w:hAnsi="Times New Roman"/>
          <w:b/>
          <w:i/>
          <w:sz w:val="24"/>
          <w:szCs w:val="24"/>
        </w:rPr>
        <w:t>Deposits</w:t>
      </w:r>
    </w:p>
    <w:p w14:paraId="6012CF72"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The base of retail deposits grew during 2022 reaching the level of 1.255 billion, reflecting, in continuity, the high confidence the clients have with the Bank.</w:t>
      </w:r>
    </w:p>
    <w:p w14:paraId="4CAD203B"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This base also includes the deposits deriving from the SBB segment and their contribution significantly grows thanks to the focus of the Bank to this segment and the increase in number of active clients.</w:t>
      </w:r>
    </w:p>
    <w:p w14:paraId="28BA4CC7" w14:textId="6C53C066"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 xml:space="preserve">On-demand deposits in relation to time deposits remain balanced, slightly on the side of on-demand deposits, if we take into account that clients still prefer to have liquid assets following the </w:t>
      </w:r>
      <w:r w:rsidR="002E7507">
        <w:rPr>
          <w:rFonts w:ascii="Times New Roman" w:hAnsi="Times New Roman"/>
          <w:sz w:val="24"/>
          <w:szCs w:val="24"/>
        </w:rPr>
        <w:t>Covid</w:t>
      </w:r>
      <w:r w:rsidRPr="00932791">
        <w:rPr>
          <w:rFonts w:ascii="Times New Roman" w:hAnsi="Times New Roman"/>
          <w:sz w:val="24"/>
          <w:szCs w:val="24"/>
        </w:rPr>
        <w:t xml:space="preserve"> crisis, and in addition, the low interest rates of deposits made them less appealing for the clients.</w:t>
      </w:r>
    </w:p>
    <w:p w14:paraId="4391AEDC" w14:textId="69F9633A" w:rsidR="00E66321" w:rsidRPr="00CC3D4F" w:rsidRDefault="005016D8" w:rsidP="00BB27D7">
      <w:pPr>
        <w:jc w:val="both"/>
        <w:rPr>
          <w:rStyle w:val="IntenseEmphasis"/>
          <w:rFonts w:ascii="Times New Roman" w:hAnsi="Times New Roman"/>
          <w:i w:val="0"/>
          <w:iCs w:val="0"/>
          <w:color w:val="auto"/>
          <w:sz w:val="24"/>
          <w:szCs w:val="24"/>
        </w:rPr>
      </w:pPr>
      <w:r w:rsidRPr="00932791">
        <w:rPr>
          <w:rFonts w:ascii="Times New Roman" w:hAnsi="Times New Roman"/>
          <w:sz w:val="24"/>
          <w:szCs w:val="24"/>
        </w:rPr>
        <w:t>Besides having the deposits overview on the digital channels, during 2022 the Bank enabled opening of certain term deposits through the e-banking service for its existing active clients. This goes to show that the deposit products continue to be more acces</w:t>
      </w:r>
      <w:r w:rsidR="00CC3D4F">
        <w:rPr>
          <w:rFonts w:ascii="Times New Roman" w:hAnsi="Times New Roman"/>
          <w:sz w:val="24"/>
          <w:szCs w:val="24"/>
        </w:rPr>
        <w:t>sible to clients.</w:t>
      </w:r>
    </w:p>
    <w:p w14:paraId="1979EB0A" w14:textId="77777777" w:rsidR="00E66321" w:rsidRDefault="00E66321" w:rsidP="00BB27D7">
      <w:pPr>
        <w:pStyle w:val="NormalWeb"/>
        <w:spacing w:after="200" w:line="276" w:lineRule="auto"/>
        <w:jc w:val="center"/>
        <w:rPr>
          <w:rStyle w:val="IntenseEmphasis"/>
        </w:rPr>
      </w:pPr>
    </w:p>
    <w:p w14:paraId="6DB324C0" w14:textId="77777777" w:rsidR="00E66321" w:rsidRDefault="00E66321" w:rsidP="00BB27D7">
      <w:pPr>
        <w:pStyle w:val="NormalWeb"/>
        <w:spacing w:after="200" w:line="276" w:lineRule="auto"/>
        <w:jc w:val="center"/>
        <w:rPr>
          <w:rStyle w:val="IntenseEmphasis"/>
        </w:rPr>
      </w:pPr>
    </w:p>
    <w:p w14:paraId="7FD82DAA" w14:textId="77777777" w:rsidR="00B2798E" w:rsidRDefault="00B2798E" w:rsidP="00BB27D7">
      <w:pPr>
        <w:pStyle w:val="NormalWeb"/>
        <w:spacing w:after="200" w:line="276" w:lineRule="auto"/>
        <w:jc w:val="center"/>
        <w:rPr>
          <w:rStyle w:val="IntenseEmphasis"/>
        </w:rPr>
      </w:pPr>
    </w:p>
    <w:p w14:paraId="1A2BD130" w14:textId="0EDD1C73" w:rsidR="000D33D1" w:rsidRDefault="00170EA6" w:rsidP="00BB27D7">
      <w:pPr>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53992837" wp14:editId="5C39A13A">
            <wp:extent cx="3803904" cy="22860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03904" cy="2286000"/>
                    </a:xfrm>
                    <a:prstGeom prst="rect">
                      <a:avLst/>
                    </a:prstGeom>
                    <a:noFill/>
                  </pic:spPr>
                </pic:pic>
              </a:graphicData>
            </a:graphic>
          </wp:inline>
        </w:drawing>
      </w:r>
    </w:p>
    <w:p w14:paraId="095985F4" w14:textId="77777777" w:rsidR="000D33D1" w:rsidRDefault="000D33D1" w:rsidP="00BB27D7">
      <w:pPr>
        <w:jc w:val="both"/>
        <w:rPr>
          <w:rFonts w:ascii="Times New Roman" w:hAnsi="Times New Roman"/>
          <w:sz w:val="24"/>
          <w:szCs w:val="24"/>
        </w:rPr>
      </w:pPr>
    </w:p>
    <w:p w14:paraId="7124EC6C" w14:textId="386A5B31" w:rsidR="005016D8" w:rsidRPr="00932791" w:rsidRDefault="005016D8" w:rsidP="00BB27D7">
      <w:pPr>
        <w:jc w:val="both"/>
        <w:rPr>
          <w:rFonts w:ascii="Times New Roman" w:hAnsi="Times New Roman"/>
          <w:b/>
          <w:i/>
          <w:sz w:val="24"/>
          <w:szCs w:val="24"/>
        </w:rPr>
      </w:pPr>
      <w:r w:rsidRPr="00932791">
        <w:rPr>
          <w:rFonts w:ascii="Times New Roman" w:hAnsi="Times New Roman"/>
          <w:b/>
          <w:i/>
          <w:sz w:val="24"/>
          <w:szCs w:val="24"/>
        </w:rPr>
        <w:t>Lending products</w:t>
      </w:r>
    </w:p>
    <w:p w14:paraId="308ECED1"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 xml:space="preserve">Retail secured loans – consumer and housing loans were most sought after during the past year and </w:t>
      </w:r>
      <w:proofErr w:type="gramStart"/>
      <w:r w:rsidRPr="00932791">
        <w:rPr>
          <w:rFonts w:ascii="Times New Roman" w:hAnsi="Times New Roman"/>
          <w:sz w:val="24"/>
          <w:szCs w:val="24"/>
        </w:rPr>
        <w:t>were accordingly supported</w:t>
      </w:r>
      <w:proofErr w:type="gramEnd"/>
      <w:r w:rsidRPr="00932791">
        <w:rPr>
          <w:rFonts w:ascii="Times New Roman" w:hAnsi="Times New Roman"/>
          <w:sz w:val="24"/>
          <w:szCs w:val="24"/>
        </w:rPr>
        <w:t xml:space="preserve"> with promotional offers leading to an increase of 6.6% in retail lending compared to 2021.</w:t>
      </w:r>
    </w:p>
    <w:p w14:paraId="7F97288B" w14:textId="27487E3E" w:rsidR="00170EA6" w:rsidRPr="00932791" w:rsidRDefault="00170EA6" w:rsidP="00BB27D7">
      <w:pPr>
        <w:jc w:val="center"/>
        <w:rPr>
          <w:rFonts w:ascii="Times New Roman" w:hAnsi="Times New Roman"/>
          <w:sz w:val="24"/>
          <w:szCs w:val="24"/>
        </w:rPr>
      </w:pPr>
      <w:r>
        <w:rPr>
          <w:rFonts w:ascii="Times New Roman" w:hAnsi="Times New Roman"/>
          <w:noProof/>
          <w:sz w:val="24"/>
          <w:szCs w:val="24"/>
        </w:rPr>
        <w:drawing>
          <wp:inline distT="0" distB="0" distL="0" distR="0" wp14:anchorId="231FC99F" wp14:editId="2096260C">
            <wp:extent cx="3511296" cy="274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11296" cy="2743200"/>
                    </a:xfrm>
                    <a:prstGeom prst="rect">
                      <a:avLst/>
                    </a:prstGeom>
                    <a:noFill/>
                  </pic:spPr>
                </pic:pic>
              </a:graphicData>
            </a:graphic>
          </wp:inline>
        </w:drawing>
      </w:r>
    </w:p>
    <w:p w14:paraId="409E1139"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 xml:space="preserve">The </w:t>
      </w:r>
      <w:r w:rsidRPr="00932791">
        <w:rPr>
          <w:rFonts w:ascii="Times New Roman" w:hAnsi="Times New Roman"/>
          <w:b/>
          <w:sz w:val="24"/>
          <w:szCs w:val="24"/>
        </w:rPr>
        <w:t>housing loans</w:t>
      </w:r>
      <w:r w:rsidRPr="00932791">
        <w:rPr>
          <w:rFonts w:ascii="Times New Roman" w:hAnsi="Times New Roman"/>
          <w:sz w:val="24"/>
          <w:szCs w:val="24"/>
        </w:rPr>
        <w:t xml:space="preserve"> portfolio continued to grow rapidly, reaching over 19% growth compared to 2021, while remaining lending products maintained a sustainable growth.</w:t>
      </w:r>
    </w:p>
    <w:p w14:paraId="0B078663"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The Bank continued to develop and nurture its card portfolio and the largest family of payment cards on the market, with various promotions and campaigns for new clients and activation of existing ones. This contributed to the increase in the number of transactions at merchants by almost 16</w:t>
      </w:r>
      <w:proofErr w:type="gramStart"/>
      <w:r w:rsidRPr="00932791">
        <w:rPr>
          <w:rFonts w:ascii="Times New Roman" w:hAnsi="Times New Roman"/>
          <w:sz w:val="24"/>
          <w:szCs w:val="24"/>
        </w:rPr>
        <w:t>% which</w:t>
      </w:r>
      <w:proofErr w:type="gramEnd"/>
      <w:r w:rsidRPr="00932791">
        <w:rPr>
          <w:rFonts w:ascii="Times New Roman" w:hAnsi="Times New Roman"/>
          <w:sz w:val="24"/>
          <w:szCs w:val="24"/>
        </w:rPr>
        <w:t xml:space="preserve"> is in support of the global trend of reduced cash transactions.</w:t>
      </w:r>
    </w:p>
    <w:p w14:paraId="3ABB2CCD"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lastRenderedPageBreak/>
        <w:t xml:space="preserve">A complementary effect here is that of merchant </w:t>
      </w:r>
      <w:proofErr w:type="gramStart"/>
      <w:r w:rsidRPr="00932791">
        <w:rPr>
          <w:rFonts w:ascii="Times New Roman" w:hAnsi="Times New Roman"/>
          <w:sz w:val="24"/>
          <w:szCs w:val="24"/>
        </w:rPr>
        <w:t>partners which besides using POS terminals and installment payments, more frequently choose to sell their services and products online, so these transactions also increasingly</w:t>
      </w:r>
      <w:proofErr w:type="gramEnd"/>
      <w:r w:rsidRPr="00932791">
        <w:rPr>
          <w:rFonts w:ascii="Times New Roman" w:hAnsi="Times New Roman"/>
          <w:sz w:val="24"/>
          <w:szCs w:val="24"/>
        </w:rPr>
        <w:t xml:space="preserve"> participate in the overall increase in POS transactions. Thanks to the trust in the established process </w:t>
      </w:r>
      <w:proofErr w:type="gramStart"/>
      <w:r w:rsidRPr="00932791">
        <w:rPr>
          <w:rFonts w:ascii="Times New Roman" w:hAnsi="Times New Roman"/>
          <w:sz w:val="24"/>
          <w:szCs w:val="24"/>
        </w:rPr>
        <w:t>13.5%</w:t>
      </w:r>
      <w:proofErr w:type="gramEnd"/>
      <w:r w:rsidRPr="00932791">
        <w:rPr>
          <w:rFonts w:ascii="Times New Roman" w:hAnsi="Times New Roman"/>
          <w:sz w:val="24"/>
          <w:szCs w:val="24"/>
        </w:rPr>
        <w:t xml:space="preserve"> more merchant clients joined the platform.</w:t>
      </w:r>
    </w:p>
    <w:p w14:paraId="39B28E16" w14:textId="4C906624" w:rsidR="005016D8" w:rsidRPr="00932791" w:rsidRDefault="005016D8" w:rsidP="00BB27D7">
      <w:pPr>
        <w:jc w:val="both"/>
        <w:rPr>
          <w:rFonts w:ascii="Times New Roman" w:hAnsi="Times New Roman"/>
          <w:b/>
          <w:i/>
          <w:sz w:val="24"/>
          <w:szCs w:val="24"/>
        </w:rPr>
      </w:pPr>
      <w:r w:rsidRPr="00932791">
        <w:rPr>
          <w:rFonts w:ascii="Times New Roman" w:hAnsi="Times New Roman"/>
          <w:b/>
          <w:i/>
          <w:sz w:val="24"/>
          <w:szCs w:val="24"/>
        </w:rPr>
        <w:t>Bank insurance and cooperation with the Pension fund</w:t>
      </w:r>
    </w:p>
    <w:p w14:paraId="1201C520"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 xml:space="preserve">As part of the expanded services available through the Bank's branches and Contact Center, the sale of </w:t>
      </w:r>
      <w:proofErr w:type="spellStart"/>
      <w:r w:rsidRPr="00932791">
        <w:rPr>
          <w:rFonts w:ascii="Times New Roman" w:hAnsi="Times New Roman"/>
          <w:sz w:val="24"/>
          <w:szCs w:val="24"/>
        </w:rPr>
        <w:t>bancassurance</w:t>
      </w:r>
      <w:proofErr w:type="spellEnd"/>
      <w:r w:rsidRPr="00932791">
        <w:rPr>
          <w:rFonts w:ascii="Times New Roman" w:hAnsi="Times New Roman"/>
          <w:sz w:val="24"/>
          <w:szCs w:val="24"/>
        </w:rPr>
        <w:t xml:space="preserve"> is increasing constantly, and the wide array of insurance products are becoming a significant pillar in the Bank activities.</w:t>
      </w:r>
    </w:p>
    <w:p w14:paraId="68F41C03"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 xml:space="preserve">In addition to the sale of insurance policies bundled with lending products and expanding the product offer, clients were stimulated with vouchers for additional insurance products that the clients can use to purchase various insurance products. </w:t>
      </w:r>
      <w:proofErr w:type="gramStart"/>
      <w:r w:rsidRPr="00932791">
        <w:rPr>
          <w:rFonts w:ascii="Times New Roman" w:hAnsi="Times New Roman"/>
          <w:sz w:val="24"/>
          <w:szCs w:val="24"/>
        </w:rPr>
        <w:t>A significant part of total sales were</w:t>
      </w:r>
      <w:proofErr w:type="gramEnd"/>
      <w:r w:rsidRPr="00932791">
        <w:rPr>
          <w:rFonts w:ascii="Times New Roman" w:hAnsi="Times New Roman"/>
          <w:sz w:val="24"/>
          <w:szCs w:val="24"/>
        </w:rPr>
        <w:t xml:space="preserve"> the stand alone products from the life and non-life insurance gamma especially with the expanded offer, and the penetration from the cooperation with Stopanska leasing and the small business segment.</w:t>
      </w:r>
    </w:p>
    <w:p w14:paraId="77E3928D"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The Bank additionally expanded its offer by activating the cooperation with Triglav Pension Fund during the second half of 2022, making a very solid start for the cooperation that continues to deepen.</w:t>
      </w:r>
    </w:p>
    <w:p w14:paraId="707A27E7" w14:textId="77777777" w:rsidR="005016D8" w:rsidRPr="00932791" w:rsidRDefault="005016D8" w:rsidP="00BB27D7">
      <w:pPr>
        <w:jc w:val="both"/>
        <w:rPr>
          <w:rFonts w:ascii="Times New Roman" w:hAnsi="Times New Roman"/>
          <w:b/>
          <w:i/>
          <w:sz w:val="24"/>
          <w:szCs w:val="24"/>
        </w:rPr>
      </w:pPr>
      <w:r w:rsidRPr="00932791">
        <w:rPr>
          <w:rFonts w:ascii="Times New Roman" w:hAnsi="Times New Roman"/>
          <w:b/>
          <w:i/>
          <w:sz w:val="24"/>
          <w:szCs w:val="24"/>
        </w:rPr>
        <w:t>Digital i-bank services and Contact Center</w:t>
      </w:r>
    </w:p>
    <w:p w14:paraId="1959AC5A" w14:textId="17E31E25"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 xml:space="preserve">Globally, the </w:t>
      </w:r>
      <w:r w:rsidRPr="00932791">
        <w:rPr>
          <w:rFonts w:ascii="Times New Roman" w:hAnsi="Times New Roman"/>
          <w:b/>
          <w:sz w:val="24"/>
          <w:szCs w:val="24"/>
        </w:rPr>
        <w:t>digital and direct banking platforms</w:t>
      </w:r>
      <w:r w:rsidRPr="00932791">
        <w:rPr>
          <w:rFonts w:ascii="Times New Roman" w:hAnsi="Times New Roman"/>
          <w:sz w:val="24"/>
          <w:szCs w:val="24"/>
        </w:rPr>
        <w:t xml:space="preserve"> are continuously growing, and our clients are following this trend. Under </w:t>
      </w:r>
      <w:proofErr w:type="gramStart"/>
      <w:r w:rsidRPr="00932791">
        <w:rPr>
          <w:rFonts w:ascii="Times New Roman" w:hAnsi="Times New Roman"/>
          <w:sz w:val="24"/>
          <w:szCs w:val="24"/>
        </w:rPr>
        <w:t>the i</w:t>
      </w:r>
      <w:proofErr w:type="gramEnd"/>
      <w:r w:rsidRPr="00932791">
        <w:rPr>
          <w:rFonts w:ascii="Times New Roman" w:hAnsi="Times New Roman"/>
          <w:sz w:val="24"/>
          <w:szCs w:val="24"/>
        </w:rPr>
        <w:t xml:space="preserve">-bank brand, Stopanska </w:t>
      </w:r>
      <w:r w:rsidR="00BB7323">
        <w:rPr>
          <w:rFonts w:ascii="Times New Roman" w:hAnsi="Times New Roman"/>
          <w:sz w:val="24"/>
          <w:szCs w:val="24"/>
        </w:rPr>
        <w:t>B</w:t>
      </w:r>
      <w:r w:rsidRPr="00932791">
        <w:rPr>
          <w:rFonts w:ascii="Times New Roman" w:hAnsi="Times New Roman"/>
          <w:sz w:val="24"/>
          <w:szCs w:val="24"/>
        </w:rPr>
        <w:t xml:space="preserve">anka offers its clients rich variety of digital solutions available 24/7 via computer, mobile device or phone. </w:t>
      </w:r>
      <w:proofErr w:type="gramStart"/>
      <w:r w:rsidRPr="00932791">
        <w:rPr>
          <w:rFonts w:ascii="Times New Roman" w:hAnsi="Times New Roman"/>
          <w:sz w:val="24"/>
          <w:szCs w:val="24"/>
        </w:rPr>
        <w:t>In parallel, the offer is enriched with new functionalities in accordance with the needs of clients on the market, and this process continued in 2022, when the following activities have been introduced: the distribution of foreign exchange, the option to block and unblock payment cards, as well as the establishment of personalized card controls (according to the transaction type, source, channel and similar), term deposits, mobile banking for legal entities, etc.</w:t>
      </w:r>
      <w:proofErr w:type="gramEnd"/>
    </w:p>
    <w:p w14:paraId="2035ADAC"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In 2022, we note an increase in the total number of i-bank users, in the number of clients completing transactions through i-bank channels and an 8% increase in the number of transactions realized through these channels compared to 2021.</w:t>
      </w:r>
    </w:p>
    <w:p w14:paraId="46546312"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 xml:space="preserve">Legal entities also continue to use i-bank channels with increased intensity, and with the availability of </w:t>
      </w:r>
      <w:proofErr w:type="gramStart"/>
      <w:r w:rsidRPr="00932791">
        <w:rPr>
          <w:rFonts w:ascii="Times New Roman" w:hAnsi="Times New Roman"/>
          <w:sz w:val="24"/>
          <w:szCs w:val="24"/>
        </w:rPr>
        <w:t>m-banking</w:t>
      </w:r>
      <w:proofErr w:type="gramEnd"/>
      <w:r w:rsidRPr="00932791">
        <w:rPr>
          <w:rFonts w:ascii="Times New Roman" w:hAnsi="Times New Roman"/>
          <w:sz w:val="24"/>
          <w:szCs w:val="24"/>
        </w:rPr>
        <w:t xml:space="preserve"> and for legal entities, the number of users paying through this channel has grown significantly.</w:t>
      </w:r>
    </w:p>
    <w:p w14:paraId="1E9429D8" w14:textId="08869B49" w:rsidR="00E66321" w:rsidRPr="00170EA6" w:rsidRDefault="005016D8" w:rsidP="00BB27D7">
      <w:pPr>
        <w:jc w:val="both"/>
        <w:rPr>
          <w:rFonts w:ascii="Times New Roman" w:hAnsi="Times New Roman"/>
          <w:sz w:val="24"/>
          <w:szCs w:val="24"/>
        </w:rPr>
      </w:pPr>
      <w:r w:rsidRPr="00932791">
        <w:rPr>
          <w:rFonts w:ascii="Times New Roman" w:hAnsi="Times New Roman"/>
          <w:sz w:val="24"/>
          <w:szCs w:val="24"/>
        </w:rPr>
        <w:t xml:space="preserve">The Contact Center, available 24/7, continues to be a channel for clients interaction on various grounds and the increased (calls and e-mail messages) during the </w:t>
      </w:r>
      <w:r w:rsidR="002E7507">
        <w:rPr>
          <w:rFonts w:ascii="Times New Roman" w:hAnsi="Times New Roman"/>
          <w:sz w:val="24"/>
          <w:szCs w:val="24"/>
        </w:rPr>
        <w:t>Covid</w:t>
      </w:r>
      <w:r w:rsidRPr="00932791">
        <w:rPr>
          <w:rFonts w:ascii="Times New Roman" w:hAnsi="Times New Roman"/>
          <w:sz w:val="24"/>
          <w:szCs w:val="24"/>
        </w:rPr>
        <w:t xml:space="preserve"> pandemic continues in 2022 for information, sales, transactions and complaints. The Contact Center team continues to </w:t>
      </w:r>
      <w:r w:rsidRPr="00932791">
        <w:rPr>
          <w:rFonts w:ascii="Times New Roman" w:hAnsi="Times New Roman"/>
          <w:sz w:val="24"/>
          <w:szCs w:val="24"/>
        </w:rPr>
        <w:lastRenderedPageBreak/>
        <w:t>expand his activities in the direction of sales, advisory services for customers and of course 24/7 support for cards, merchants and users of i-bank services.</w:t>
      </w:r>
    </w:p>
    <w:p w14:paraId="1FF63C84" w14:textId="113908D3" w:rsidR="005016D8" w:rsidRPr="00932791" w:rsidRDefault="005016D8" w:rsidP="00BB27D7">
      <w:pPr>
        <w:jc w:val="both"/>
        <w:rPr>
          <w:rFonts w:ascii="Times New Roman" w:hAnsi="Times New Roman"/>
          <w:b/>
          <w:i/>
          <w:sz w:val="24"/>
          <w:szCs w:val="24"/>
        </w:rPr>
      </w:pPr>
      <w:r w:rsidRPr="00932791">
        <w:rPr>
          <w:rFonts w:ascii="Times New Roman" w:hAnsi="Times New Roman"/>
          <w:b/>
          <w:i/>
          <w:sz w:val="24"/>
          <w:szCs w:val="24"/>
        </w:rPr>
        <w:t>Small Banking Business</w:t>
      </w:r>
    </w:p>
    <w:p w14:paraId="447C6600" w14:textId="052EEBE5"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 xml:space="preserve">Beside all the challenges that the economy was facing during 2022, and even before, in the years of the </w:t>
      </w:r>
      <w:r w:rsidR="002E7507">
        <w:rPr>
          <w:rFonts w:ascii="Times New Roman" w:hAnsi="Times New Roman"/>
          <w:sz w:val="24"/>
          <w:szCs w:val="24"/>
        </w:rPr>
        <w:t>Covid</w:t>
      </w:r>
      <w:r w:rsidRPr="00932791">
        <w:rPr>
          <w:rFonts w:ascii="Times New Roman" w:hAnsi="Times New Roman"/>
          <w:sz w:val="24"/>
          <w:szCs w:val="24"/>
        </w:rPr>
        <w:t xml:space="preserve"> pandemic, we can conclude that the activity of micro and small companies </w:t>
      </w:r>
      <w:proofErr w:type="gramStart"/>
      <w:r w:rsidRPr="00932791">
        <w:rPr>
          <w:rFonts w:ascii="Times New Roman" w:hAnsi="Times New Roman"/>
          <w:sz w:val="24"/>
          <w:szCs w:val="24"/>
        </w:rPr>
        <w:t>was still aimed</w:t>
      </w:r>
      <w:proofErr w:type="gramEnd"/>
      <w:r w:rsidRPr="00932791">
        <w:rPr>
          <w:rFonts w:ascii="Times New Roman" w:hAnsi="Times New Roman"/>
          <w:sz w:val="24"/>
          <w:szCs w:val="24"/>
        </w:rPr>
        <w:t xml:space="preserve"> at the development and expansion of operations. </w:t>
      </w:r>
      <w:proofErr w:type="gramStart"/>
      <w:r w:rsidRPr="00932791">
        <w:rPr>
          <w:rFonts w:ascii="Times New Roman" w:hAnsi="Times New Roman"/>
          <w:sz w:val="24"/>
          <w:szCs w:val="24"/>
        </w:rPr>
        <w:t>In this direction, a significant increase in lending in this segment was observed compared to 2021 and it reached 22%, with clients dominantly demanding loans for working capital, and due to the rising energy prices, we observed an increased investment cycle among our clients in the production of electricity for own needs from renewable sources of energy, whereby the Bank offers appropriate loan solutions.</w:t>
      </w:r>
      <w:proofErr w:type="gramEnd"/>
    </w:p>
    <w:p w14:paraId="7361E3DD" w14:textId="77777777" w:rsidR="005016D8" w:rsidRPr="00932791" w:rsidRDefault="005016D8" w:rsidP="00BB27D7">
      <w:pPr>
        <w:jc w:val="both"/>
        <w:rPr>
          <w:rFonts w:ascii="Times New Roman" w:hAnsi="Times New Roman"/>
          <w:sz w:val="24"/>
          <w:szCs w:val="24"/>
        </w:rPr>
      </w:pPr>
      <w:r w:rsidRPr="00932791">
        <w:rPr>
          <w:rFonts w:ascii="Times New Roman" w:hAnsi="Times New Roman"/>
          <w:sz w:val="24"/>
          <w:szCs w:val="24"/>
        </w:rPr>
        <w:t>Our team continued to support the companies regardless of their size and life cycle stage, offering them personalized advice, products, services and solutions. The possibility of using the Bank's digital services to an increased extent for companies means reduced operations and increased savings in resources and finances, and of course deeper cooperation with the Bank.</w:t>
      </w:r>
    </w:p>
    <w:p w14:paraId="13F17FA7" w14:textId="274F1FFC" w:rsidR="00E66321" w:rsidRDefault="00E66321" w:rsidP="00BB27D7">
      <w:pPr>
        <w:pStyle w:val="Heading2"/>
        <w:spacing w:before="240" w:line="276" w:lineRule="auto"/>
        <w:jc w:val="both"/>
        <w:rPr>
          <w:szCs w:val="24"/>
        </w:rPr>
      </w:pPr>
    </w:p>
    <w:p w14:paraId="156943A3" w14:textId="37AE7C07" w:rsidR="00B113D1" w:rsidRDefault="00321948" w:rsidP="00BB27D7">
      <w:pPr>
        <w:pStyle w:val="Heading2"/>
        <w:spacing w:line="276" w:lineRule="auto"/>
        <w:rPr>
          <w:szCs w:val="24"/>
        </w:rPr>
      </w:pPr>
      <w:bookmarkStart w:id="11" w:name="_Toc133313249"/>
      <w:r w:rsidRPr="00932791">
        <w:rPr>
          <w:sz w:val="28"/>
          <w:szCs w:val="28"/>
        </w:rPr>
        <w:t>Corporate Banking</w:t>
      </w:r>
      <w:bookmarkEnd w:id="11"/>
      <w:r>
        <w:rPr>
          <w:szCs w:val="24"/>
        </w:rPr>
        <w:br/>
      </w:r>
    </w:p>
    <w:p w14:paraId="0F41290F" w14:textId="51C7D76E" w:rsidR="009277DB" w:rsidRPr="009277DB" w:rsidRDefault="009277DB" w:rsidP="00BB27D7">
      <w:pPr>
        <w:autoSpaceDE w:val="0"/>
        <w:autoSpaceDN w:val="0"/>
        <w:adjustRightInd w:val="0"/>
        <w:spacing w:after="0"/>
        <w:jc w:val="both"/>
        <w:rPr>
          <w:rFonts w:ascii="Times New Roman" w:hAnsi="Times New Roman"/>
          <w:sz w:val="24"/>
          <w:szCs w:val="24"/>
        </w:rPr>
      </w:pPr>
      <w:r w:rsidRPr="009277DB">
        <w:rPr>
          <w:rFonts w:ascii="Times New Roman" w:hAnsi="Times New Roman"/>
          <w:sz w:val="24"/>
          <w:szCs w:val="24"/>
        </w:rPr>
        <w:t xml:space="preserve">Following a period of two years disturbance of the global economic activities due to the </w:t>
      </w:r>
      <w:r w:rsidR="002E7507">
        <w:rPr>
          <w:rFonts w:ascii="Times New Roman" w:hAnsi="Times New Roman"/>
          <w:sz w:val="24"/>
          <w:szCs w:val="24"/>
        </w:rPr>
        <w:t>Covid</w:t>
      </w:r>
      <w:r w:rsidRPr="009277DB">
        <w:rPr>
          <w:rFonts w:ascii="Times New Roman" w:hAnsi="Times New Roman"/>
          <w:sz w:val="24"/>
          <w:szCs w:val="24"/>
        </w:rPr>
        <w:t xml:space="preserve"> pandemic, the macroeconomic environment in 2022 continued to deliver serious challenges in both the real </w:t>
      </w:r>
      <w:r>
        <w:rPr>
          <w:rFonts w:ascii="Times New Roman" w:hAnsi="Times New Roman"/>
          <w:sz w:val="24"/>
          <w:szCs w:val="24"/>
        </w:rPr>
        <w:t xml:space="preserve">and </w:t>
      </w:r>
      <w:r w:rsidRPr="001806E5">
        <w:rPr>
          <w:rFonts w:ascii="Times New Roman" w:hAnsi="Times New Roman"/>
          <w:sz w:val="24"/>
          <w:szCs w:val="24"/>
        </w:rPr>
        <w:t>the financial</w:t>
      </w:r>
      <w:r>
        <w:rPr>
          <w:rFonts w:ascii="Times New Roman" w:hAnsi="Times New Roman"/>
          <w:sz w:val="24"/>
          <w:szCs w:val="24"/>
        </w:rPr>
        <w:t xml:space="preserve"> sector. The year </w:t>
      </w:r>
      <w:r w:rsidRPr="009277DB">
        <w:rPr>
          <w:rFonts w:ascii="Times New Roman" w:hAnsi="Times New Roman"/>
          <w:sz w:val="24"/>
          <w:szCs w:val="24"/>
        </w:rPr>
        <w:t>started with a military escalation of geopolitical uncertainties from the Russian-Ukrainian conflict, which spilled over into the entire world economy, resulting in energy crisis, market turbulence and rising inflation. The inflationary pressures on the global economy caused tightening of the monetary policies of central banks around the world, creating an environment of interest rates that are at historical highs in the last ten years period.</w:t>
      </w:r>
    </w:p>
    <w:p w14:paraId="51D0F05A" w14:textId="77777777" w:rsidR="009277DB" w:rsidRPr="009277DB" w:rsidRDefault="009277DB" w:rsidP="00BB27D7">
      <w:pPr>
        <w:autoSpaceDE w:val="0"/>
        <w:autoSpaceDN w:val="0"/>
        <w:adjustRightInd w:val="0"/>
        <w:spacing w:after="0"/>
        <w:jc w:val="both"/>
        <w:rPr>
          <w:rFonts w:ascii="Times New Roman" w:hAnsi="Times New Roman"/>
          <w:sz w:val="24"/>
          <w:szCs w:val="24"/>
        </w:rPr>
      </w:pPr>
    </w:p>
    <w:p w14:paraId="57A1869C" w14:textId="77777777" w:rsidR="009277DB" w:rsidRPr="009277DB" w:rsidRDefault="009277DB" w:rsidP="00BB27D7">
      <w:pPr>
        <w:autoSpaceDE w:val="0"/>
        <w:autoSpaceDN w:val="0"/>
        <w:adjustRightInd w:val="0"/>
        <w:spacing w:after="0"/>
        <w:jc w:val="both"/>
        <w:rPr>
          <w:rFonts w:ascii="Times New Roman" w:hAnsi="Times New Roman"/>
          <w:sz w:val="24"/>
          <w:szCs w:val="24"/>
        </w:rPr>
      </w:pPr>
      <w:r w:rsidRPr="009277DB">
        <w:rPr>
          <w:rFonts w:ascii="Times New Roman" w:hAnsi="Times New Roman"/>
          <w:sz w:val="24"/>
          <w:szCs w:val="24"/>
        </w:rPr>
        <w:t xml:space="preserve">Within the given market environment with numerous uncertainties, Stopanska Banka AD Skopje in 2022 continued with the implementation of the defined growth strategy of corporate lending and increasing its market share in this segment of the banking market. The wide range of products and services that the Bank provides daily to companies from all sectors of the economy, tailor-made for each company specifically according to its needs and characteristics of the business </w:t>
      </w:r>
      <w:proofErr w:type="gramStart"/>
      <w:r w:rsidRPr="009277DB">
        <w:rPr>
          <w:rFonts w:ascii="Times New Roman" w:hAnsi="Times New Roman"/>
          <w:sz w:val="24"/>
          <w:szCs w:val="24"/>
        </w:rPr>
        <w:t>model,</w:t>
      </w:r>
      <w:proofErr w:type="gramEnd"/>
      <w:r w:rsidRPr="009277DB">
        <w:rPr>
          <w:rFonts w:ascii="Times New Roman" w:hAnsi="Times New Roman"/>
          <w:sz w:val="24"/>
          <w:szCs w:val="24"/>
        </w:rPr>
        <w:t xml:space="preserve"> generate demand and production of corporate loans that bring growth to the Bank's corporate portfolio. Thus, the achieved annual growth of the Bank's corporate credit portfolio in 2022 amounts to 16.85%, i.e. 64.32 million euros in denar equivalent value. As a result, the Bank's market share in corporate lending, as of December 2022, reached the level of 16.26%, which is an increase of 0.84 pp. in relation to the previous year 2021.</w:t>
      </w:r>
    </w:p>
    <w:p w14:paraId="6AB5E74F" w14:textId="77777777" w:rsidR="009277DB" w:rsidRPr="009277DB" w:rsidRDefault="009277DB" w:rsidP="00BB27D7">
      <w:pPr>
        <w:autoSpaceDE w:val="0"/>
        <w:autoSpaceDN w:val="0"/>
        <w:adjustRightInd w:val="0"/>
        <w:spacing w:after="0"/>
        <w:jc w:val="both"/>
        <w:rPr>
          <w:rFonts w:ascii="Times New Roman" w:hAnsi="Times New Roman"/>
          <w:sz w:val="24"/>
          <w:szCs w:val="24"/>
        </w:rPr>
      </w:pPr>
    </w:p>
    <w:p w14:paraId="5F77BD54" w14:textId="77777777" w:rsidR="009277DB" w:rsidRPr="001806E5" w:rsidRDefault="009277DB" w:rsidP="00BB27D7">
      <w:pPr>
        <w:autoSpaceDE w:val="0"/>
        <w:autoSpaceDN w:val="0"/>
        <w:adjustRightInd w:val="0"/>
        <w:spacing w:after="0"/>
        <w:jc w:val="both"/>
        <w:rPr>
          <w:rFonts w:ascii="Times New Roman" w:hAnsi="Times New Roman"/>
          <w:sz w:val="24"/>
          <w:szCs w:val="24"/>
        </w:rPr>
      </w:pPr>
      <w:r w:rsidRPr="009277DB">
        <w:rPr>
          <w:rFonts w:ascii="Times New Roman" w:hAnsi="Times New Roman"/>
          <w:sz w:val="24"/>
          <w:szCs w:val="24"/>
        </w:rPr>
        <w:lastRenderedPageBreak/>
        <w:t>During 2022, the Bank continued to increase the offer of products and services for companies. In addition to the traditional banking products an</w:t>
      </w:r>
      <w:r>
        <w:rPr>
          <w:rFonts w:ascii="Times New Roman" w:hAnsi="Times New Roman"/>
          <w:sz w:val="24"/>
          <w:szCs w:val="24"/>
        </w:rPr>
        <w:t xml:space="preserve">d services for working capital </w:t>
      </w:r>
      <w:r w:rsidRPr="009277DB">
        <w:rPr>
          <w:rFonts w:ascii="Times New Roman" w:hAnsi="Times New Roman"/>
          <w:sz w:val="24"/>
          <w:szCs w:val="24"/>
        </w:rPr>
        <w:t xml:space="preserve">and investment financing in 2022, the Bank, through its newly founded company, Stopanska Leasing DOOEL Skopje, </w:t>
      </w:r>
      <w:r w:rsidRPr="001806E5">
        <w:rPr>
          <w:rFonts w:ascii="Times New Roman" w:hAnsi="Times New Roman"/>
          <w:sz w:val="24"/>
          <w:szCs w:val="24"/>
        </w:rPr>
        <w:t>enriched the offer of products in the area of financial and operational leasing. Additionally, the Bank's corporate clients have the means to apply for the financing opportunities through the Bank's open credit lines with the Development Bank of North Macedonia and the European Investment Bank, as well as with the European Bank for Reconstruction and Development.</w:t>
      </w:r>
    </w:p>
    <w:p w14:paraId="0FA7347B" w14:textId="77777777" w:rsidR="009277DB" w:rsidRPr="001806E5" w:rsidRDefault="009277DB" w:rsidP="00BB27D7">
      <w:pPr>
        <w:autoSpaceDE w:val="0"/>
        <w:autoSpaceDN w:val="0"/>
        <w:adjustRightInd w:val="0"/>
        <w:spacing w:after="0"/>
        <w:jc w:val="both"/>
        <w:rPr>
          <w:rFonts w:ascii="Times New Roman" w:hAnsi="Times New Roman"/>
          <w:sz w:val="24"/>
          <w:szCs w:val="24"/>
        </w:rPr>
      </w:pPr>
    </w:p>
    <w:p w14:paraId="1C951AEB" w14:textId="77777777" w:rsidR="009277DB" w:rsidRPr="001806E5" w:rsidRDefault="009277DB" w:rsidP="00BB27D7">
      <w:pPr>
        <w:autoSpaceDE w:val="0"/>
        <w:autoSpaceDN w:val="0"/>
        <w:adjustRightInd w:val="0"/>
        <w:spacing w:after="0"/>
        <w:jc w:val="both"/>
        <w:rPr>
          <w:rFonts w:ascii="Times New Roman" w:hAnsi="Times New Roman"/>
          <w:sz w:val="24"/>
          <w:szCs w:val="24"/>
        </w:rPr>
      </w:pPr>
      <w:r w:rsidRPr="001806E5">
        <w:rPr>
          <w:rFonts w:ascii="Times New Roman" w:hAnsi="Times New Roman"/>
          <w:sz w:val="24"/>
          <w:szCs w:val="24"/>
        </w:rPr>
        <w:t>Furthermore, along with the credit growth, the Bank continuously monitors and analyzes the quality of the corporate portfolio, in order to maintain its quality and performances.</w:t>
      </w:r>
    </w:p>
    <w:p w14:paraId="1F3660BF" w14:textId="77777777" w:rsidR="009277DB" w:rsidRPr="001806E5" w:rsidRDefault="009277DB" w:rsidP="00BB27D7">
      <w:pPr>
        <w:autoSpaceDE w:val="0"/>
        <w:autoSpaceDN w:val="0"/>
        <w:adjustRightInd w:val="0"/>
        <w:spacing w:after="0"/>
        <w:jc w:val="both"/>
        <w:rPr>
          <w:rFonts w:ascii="Times New Roman" w:hAnsi="Times New Roman"/>
          <w:sz w:val="24"/>
          <w:szCs w:val="24"/>
        </w:rPr>
      </w:pPr>
    </w:p>
    <w:p w14:paraId="6EE1EE62" w14:textId="78FD5AA0" w:rsidR="00277981" w:rsidRPr="00277981" w:rsidRDefault="009277DB" w:rsidP="00BB27D7">
      <w:pPr>
        <w:autoSpaceDE w:val="0"/>
        <w:autoSpaceDN w:val="0"/>
        <w:adjustRightInd w:val="0"/>
        <w:spacing w:after="0"/>
        <w:jc w:val="both"/>
        <w:rPr>
          <w:rFonts w:ascii="Times New Roman" w:eastAsia="Times New Roman" w:hAnsi="Times New Roman"/>
          <w:sz w:val="24"/>
          <w:szCs w:val="24"/>
        </w:rPr>
      </w:pPr>
      <w:r w:rsidRPr="001806E5">
        <w:rPr>
          <w:rFonts w:ascii="Times New Roman" w:hAnsi="Times New Roman"/>
          <w:sz w:val="24"/>
          <w:szCs w:val="24"/>
        </w:rPr>
        <w:t>In the global unstable and unpredictable market environment, as well as in</w:t>
      </w:r>
      <w:r>
        <w:rPr>
          <w:rFonts w:ascii="Times New Roman" w:hAnsi="Times New Roman"/>
          <w:sz w:val="24"/>
          <w:szCs w:val="24"/>
        </w:rPr>
        <w:t xml:space="preserve"> </w:t>
      </w:r>
      <w:r w:rsidRPr="009277DB">
        <w:rPr>
          <w:rFonts w:ascii="Times New Roman" w:hAnsi="Times New Roman"/>
          <w:sz w:val="24"/>
          <w:szCs w:val="24"/>
        </w:rPr>
        <w:t>the strong competition in the market, Stopanska Banka AD Skopje continues to achieve its strategic goal - increasing market share through the growth of the credit portfolio while simultaneously maintaining its quality and maximizing profitability. In the following period, in addition to continuous support in financing the needs for working capital and new investments of existing and new corporate clients, Stopanska Banka will focus on financing large infrastructure and energy projects that are of high importance for energy stability and future economic development of the country.</w:t>
      </w:r>
      <w:r w:rsidR="001321E7">
        <w:rPr>
          <w:rFonts w:ascii="Times New Roman" w:hAnsi="Times New Roman"/>
          <w:sz w:val="24"/>
          <w:szCs w:val="24"/>
        </w:rPr>
        <w:t xml:space="preserve"> </w:t>
      </w:r>
      <w:r w:rsidR="007F6A69">
        <w:rPr>
          <w:rFonts w:ascii="Times New Roman" w:hAnsi="Times New Roman"/>
          <w:sz w:val="24"/>
          <w:szCs w:val="24"/>
        </w:rPr>
        <w:t xml:space="preserve"> </w:t>
      </w:r>
    </w:p>
    <w:p w14:paraId="37E13A50" w14:textId="77777777" w:rsidR="002B6B59" w:rsidRDefault="002B6B59" w:rsidP="002B6B59">
      <w:pPr>
        <w:pStyle w:val="Heading1"/>
        <w:spacing w:line="276" w:lineRule="auto"/>
        <w:rPr>
          <w:b/>
          <w:sz w:val="28"/>
        </w:rPr>
      </w:pPr>
      <w:bookmarkStart w:id="12" w:name="_Toc133313250"/>
    </w:p>
    <w:p w14:paraId="5C807A1C" w14:textId="5C4AAD25" w:rsidR="002B6B59" w:rsidRPr="00024CDA" w:rsidRDefault="002B6B59" w:rsidP="002B6B59">
      <w:pPr>
        <w:pStyle w:val="Heading1"/>
        <w:spacing w:line="276" w:lineRule="auto"/>
        <w:rPr>
          <w:b/>
          <w:sz w:val="28"/>
        </w:rPr>
      </w:pPr>
      <w:r>
        <w:rPr>
          <w:b/>
          <w:sz w:val="28"/>
        </w:rPr>
        <w:t>Consolidation</w:t>
      </w:r>
    </w:p>
    <w:p w14:paraId="47D95C83" w14:textId="77777777" w:rsidR="002B6B59" w:rsidRDefault="002B6B59" w:rsidP="002B6B59">
      <w:pPr>
        <w:rPr>
          <w:lang w:val="mk-MK"/>
        </w:rPr>
      </w:pPr>
    </w:p>
    <w:p w14:paraId="78BEED58" w14:textId="4399E7AE" w:rsidR="002B6B59" w:rsidRDefault="002B6B59" w:rsidP="002B6B59">
      <w:pPr>
        <w:jc w:val="both"/>
        <w:rPr>
          <w:rFonts w:ascii="Times New Roman" w:hAnsi="Times New Roman"/>
          <w:sz w:val="24"/>
          <w:szCs w:val="24"/>
        </w:rPr>
      </w:pPr>
      <w:r w:rsidRPr="002B6B59">
        <w:rPr>
          <w:rFonts w:ascii="Times New Roman" w:hAnsi="Times New Roman"/>
          <w:sz w:val="24"/>
          <w:szCs w:val="24"/>
          <w:lang w:val="mk-MK"/>
        </w:rPr>
        <w:t xml:space="preserve">The Bank prepares </w:t>
      </w:r>
      <w:r>
        <w:rPr>
          <w:rFonts w:ascii="Times New Roman" w:hAnsi="Times New Roman"/>
          <w:sz w:val="24"/>
          <w:szCs w:val="24"/>
        </w:rPr>
        <w:t>consolidated financial reports that include its company SB Leasing DOEL Skopje. The company is legal entity, fully controlled by the other entity - the Bank, known as mother bank.</w:t>
      </w:r>
    </w:p>
    <w:p w14:paraId="4FA44E6A" w14:textId="77777777" w:rsidR="002B6B59" w:rsidRPr="002B6B59" w:rsidRDefault="002B6B59" w:rsidP="002B6B59">
      <w:pPr>
        <w:jc w:val="both"/>
        <w:rPr>
          <w:rFonts w:ascii="Times New Roman" w:hAnsi="Times New Roman"/>
          <w:sz w:val="24"/>
          <w:szCs w:val="24"/>
        </w:rPr>
      </w:pPr>
      <w:r>
        <w:rPr>
          <w:rFonts w:ascii="Times New Roman" w:hAnsi="Times New Roman"/>
          <w:sz w:val="24"/>
          <w:szCs w:val="24"/>
        </w:rPr>
        <w:t>The financial statements of SB Leasing DOEL Skopje are included in the consolidated financial reports.</w:t>
      </w:r>
    </w:p>
    <w:p w14:paraId="42EF50A3" w14:textId="77777777" w:rsidR="002B6B59" w:rsidRDefault="002B6B59" w:rsidP="002B6B59">
      <w:pPr>
        <w:autoSpaceDE w:val="0"/>
        <w:autoSpaceDN w:val="0"/>
        <w:adjustRightInd w:val="0"/>
        <w:spacing w:after="0"/>
        <w:jc w:val="both"/>
        <w:rPr>
          <w:rFonts w:ascii="Times New Roman" w:eastAsia="Times New Roman" w:hAnsi="Times New Roman"/>
          <w:sz w:val="24"/>
          <w:szCs w:val="24"/>
          <w:lang w:val="mk-MK"/>
        </w:rPr>
      </w:pPr>
    </w:p>
    <w:tbl>
      <w:tblPr>
        <w:tblW w:w="7724" w:type="dxa"/>
        <w:tblLook w:val="04A0" w:firstRow="1" w:lastRow="0" w:firstColumn="1" w:lastColumn="0" w:noHBand="0" w:noVBand="1"/>
      </w:tblPr>
      <w:tblGrid>
        <w:gridCol w:w="3420"/>
        <w:gridCol w:w="960"/>
        <w:gridCol w:w="222"/>
        <w:gridCol w:w="1600"/>
        <w:gridCol w:w="222"/>
        <w:gridCol w:w="1300"/>
      </w:tblGrid>
      <w:tr w:rsidR="002B6B59" w:rsidRPr="002B6B59" w14:paraId="53FA46F0" w14:textId="77777777" w:rsidTr="002B6B59">
        <w:trPr>
          <w:trHeight w:val="300"/>
        </w:trPr>
        <w:tc>
          <w:tcPr>
            <w:tcW w:w="3420" w:type="dxa"/>
            <w:tcBorders>
              <w:top w:val="nil"/>
              <w:left w:val="nil"/>
              <w:bottom w:val="nil"/>
              <w:right w:val="nil"/>
            </w:tcBorders>
            <w:shd w:val="clear" w:color="auto" w:fill="auto"/>
            <w:noWrap/>
            <w:vAlign w:val="bottom"/>
            <w:hideMark/>
          </w:tcPr>
          <w:p w14:paraId="71F5618B" w14:textId="6823DC3A" w:rsidR="002B6B59" w:rsidRPr="002B6B59" w:rsidRDefault="002B6B59" w:rsidP="00E4741F">
            <w:pPr>
              <w:spacing w:after="0" w:line="240" w:lineRule="auto"/>
              <w:rPr>
                <w:rFonts w:ascii="Times New Roman" w:eastAsia="Times New Roman" w:hAnsi="Times New Roman"/>
                <w:b/>
                <w:bCs/>
                <w:sz w:val="21"/>
                <w:szCs w:val="21"/>
                <w:lang w:eastAsia="mk-MK"/>
              </w:rPr>
            </w:pPr>
          </w:p>
        </w:tc>
        <w:tc>
          <w:tcPr>
            <w:tcW w:w="960" w:type="dxa"/>
            <w:tcBorders>
              <w:top w:val="nil"/>
              <w:left w:val="nil"/>
              <w:bottom w:val="nil"/>
              <w:right w:val="nil"/>
            </w:tcBorders>
            <w:shd w:val="clear" w:color="auto" w:fill="auto"/>
            <w:noWrap/>
            <w:vAlign w:val="bottom"/>
            <w:hideMark/>
          </w:tcPr>
          <w:p w14:paraId="6DABF3A6" w14:textId="77777777" w:rsidR="002B6B59" w:rsidRPr="002B6B59" w:rsidRDefault="002B6B59" w:rsidP="00E4741F">
            <w:pPr>
              <w:spacing w:after="0" w:line="240" w:lineRule="auto"/>
              <w:rPr>
                <w:rFonts w:ascii="Times New Roman" w:eastAsia="Times New Roman" w:hAnsi="Times New Roman"/>
                <w:b/>
                <w:bCs/>
                <w:sz w:val="21"/>
                <w:szCs w:val="21"/>
                <w:lang w:val="mk-MK" w:eastAsia="mk-MK"/>
              </w:rPr>
            </w:pPr>
          </w:p>
        </w:tc>
        <w:tc>
          <w:tcPr>
            <w:tcW w:w="222" w:type="dxa"/>
            <w:tcBorders>
              <w:top w:val="nil"/>
              <w:left w:val="nil"/>
              <w:bottom w:val="nil"/>
              <w:right w:val="nil"/>
            </w:tcBorders>
            <w:shd w:val="clear" w:color="auto" w:fill="auto"/>
            <w:noWrap/>
            <w:vAlign w:val="bottom"/>
            <w:hideMark/>
          </w:tcPr>
          <w:p w14:paraId="78AF25B5"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bottom"/>
            <w:hideMark/>
          </w:tcPr>
          <w:p w14:paraId="72467B13"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14EC7E84"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bottom"/>
            <w:hideMark/>
          </w:tcPr>
          <w:p w14:paraId="4FBE561C"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r>
      <w:tr w:rsidR="002B6B59" w:rsidRPr="002B6B59" w14:paraId="714C7ACD" w14:textId="77777777" w:rsidTr="002B6B59">
        <w:trPr>
          <w:trHeight w:val="300"/>
        </w:trPr>
        <w:tc>
          <w:tcPr>
            <w:tcW w:w="3420" w:type="dxa"/>
            <w:tcBorders>
              <w:top w:val="nil"/>
              <w:left w:val="nil"/>
              <w:bottom w:val="nil"/>
              <w:right w:val="nil"/>
            </w:tcBorders>
            <w:shd w:val="clear" w:color="auto" w:fill="auto"/>
            <w:noWrap/>
            <w:vAlign w:val="bottom"/>
            <w:hideMark/>
          </w:tcPr>
          <w:p w14:paraId="43804C10"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960" w:type="dxa"/>
            <w:tcBorders>
              <w:top w:val="nil"/>
              <w:left w:val="nil"/>
              <w:bottom w:val="nil"/>
              <w:right w:val="nil"/>
            </w:tcBorders>
            <w:shd w:val="clear" w:color="auto" w:fill="auto"/>
            <w:noWrap/>
            <w:vAlign w:val="bottom"/>
            <w:hideMark/>
          </w:tcPr>
          <w:p w14:paraId="2BF2EAB7"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21232D59"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bottom"/>
            <w:hideMark/>
          </w:tcPr>
          <w:p w14:paraId="5D8F7204"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6315F69E"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bottom"/>
            <w:hideMark/>
          </w:tcPr>
          <w:p w14:paraId="5CA2EC34"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r>
      <w:tr w:rsidR="002B6B59" w:rsidRPr="002B6B59" w14:paraId="21A968CD" w14:textId="77777777" w:rsidTr="002B6B59">
        <w:trPr>
          <w:trHeight w:val="300"/>
        </w:trPr>
        <w:tc>
          <w:tcPr>
            <w:tcW w:w="3420" w:type="dxa"/>
            <w:tcBorders>
              <w:top w:val="nil"/>
              <w:left w:val="nil"/>
              <w:bottom w:val="nil"/>
              <w:right w:val="nil"/>
            </w:tcBorders>
            <w:shd w:val="clear" w:color="auto" w:fill="auto"/>
            <w:noWrap/>
            <w:vAlign w:val="bottom"/>
            <w:hideMark/>
          </w:tcPr>
          <w:p w14:paraId="1E100A9A"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960" w:type="dxa"/>
            <w:tcBorders>
              <w:top w:val="nil"/>
              <w:left w:val="nil"/>
              <w:bottom w:val="nil"/>
              <w:right w:val="nil"/>
            </w:tcBorders>
            <w:shd w:val="clear" w:color="auto" w:fill="auto"/>
            <w:noWrap/>
            <w:vAlign w:val="bottom"/>
            <w:hideMark/>
          </w:tcPr>
          <w:p w14:paraId="687380CC"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3220FD8F"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bottom"/>
            <w:hideMark/>
          </w:tcPr>
          <w:p w14:paraId="36AC1C8F"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03D069FA"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bottom"/>
            <w:hideMark/>
          </w:tcPr>
          <w:p w14:paraId="6D7E4EFE" w14:textId="77777777" w:rsidR="002B6B59" w:rsidRPr="002B6B59" w:rsidRDefault="002B6B59" w:rsidP="00E4741F">
            <w:pPr>
              <w:spacing w:after="0" w:line="240" w:lineRule="auto"/>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in </w:t>
            </w:r>
            <w:r w:rsidRPr="002B6B59">
              <w:rPr>
                <w:rFonts w:ascii="Times New Roman" w:eastAsia="Times New Roman" w:hAnsi="Times New Roman"/>
                <w:b/>
                <w:bCs/>
                <w:sz w:val="21"/>
                <w:szCs w:val="21"/>
                <w:lang w:eastAsia="mk-MK"/>
              </w:rPr>
              <w:t>000</w:t>
            </w:r>
            <w:r w:rsidRPr="002B6B59">
              <w:rPr>
                <w:rFonts w:ascii="Times New Roman" w:eastAsia="Times New Roman" w:hAnsi="Times New Roman"/>
                <w:b/>
                <w:bCs/>
                <w:sz w:val="21"/>
                <w:szCs w:val="21"/>
                <w:lang w:val="mk-MK" w:eastAsia="mk-MK"/>
              </w:rPr>
              <w:t xml:space="preserve"> mkd </w:t>
            </w:r>
          </w:p>
        </w:tc>
      </w:tr>
      <w:tr w:rsidR="002B6B59" w:rsidRPr="002B6B59" w14:paraId="44C65B14" w14:textId="77777777" w:rsidTr="002B6B59">
        <w:trPr>
          <w:trHeight w:val="315"/>
        </w:trPr>
        <w:tc>
          <w:tcPr>
            <w:tcW w:w="3420" w:type="dxa"/>
            <w:tcBorders>
              <w:top w:val="nil"/>
              <w:left w:val="nil"/>
              <w:bottom w:val="nil"/>
              <w:right w:val="nil"/>
            </w:tcBorders>
            <w:shd w:val="clear" w:color="auto" w:fill="auto"/>
            <w:noWrap/>
            <w:vAlign w:val="bottom"/>
            <w:hideMark/>
          </w:tcPr>
          <w:p w14:paraId="7B264421" w14:textId="77777777" w:rsidR="002B6B59" w:rsidRPr="002B6B59" w:rsidRDefault="002B6B59" w:rsidP="00E4741F">
            <w:pPr>
              <w:spacing w:after="0" w:line="240" w:lineRule="auto"/>
              <w:rPr>
                <w:rFonts w:ascii="Times New Roman" w:eastAsia="Times New Roman" w:hAnsi="Times New Roman"/>
                <w:b/>
                <w:bCs/>
                <w:sz w:val="21"/>
                <w:szCs w:val="21"/>
                <w:lang w:val="mk-MK" w:eastAsia="mk-MK"/>
              </w:rPr>
            </w:pPr>
          </w:p>
        </w:tc>
        <w:tc>
          <w:tcPr>
            <w:tcW w:w="960" w:type="dxa"/>
            <w:tcBorders>
              <w:top w:val="nil"/>
              <w:left w:val="nil"/>
              <w:bottom w:val="single" w:sz="8" w:space="0" w:color="auto"/>
              <w:right w:val="nil"/>
            </w:tcBorders>
            <w:shd w:val="clear" w:color="auto" w:fill="auto"/>
            <w:noWrap/>
            <w:vAlign w:val="bottom"/>
            <w:hideMark/>
          </w:tcPr>
          <w:p w14:paraId="0610A705" w14:textId="77777777" w:rsidR="002B6B59" w:rsidRPr="002B6B59" w:rsidRDefault="002B6B59" w:rsidP="00E4741F">
            <w:pPr>
              <w:spacing w:after="0" w:line="240" w:lineRule="auto"/>
              <w:jc w:val="center"/>
              <w:rPr>
                <w:rFonts w:ascii="Times New Roman" w:eastAsia="Times New Roman" w:hAnsi="Times New Roman"/>
                <w:b/>
                <w:bCs/>
                <w:sz w:val="21"/>
                <w:szCs w:val="21"/>
                <w:lang w:eastAsia="mk-MK"/>
              </w:rPr>
            </w:pPr>
            <w:r w:rsidRPr="002B6B59">
              <w:rPr>
                <w:rFonts w:ascii="Times New Roman" w:eastAsia="Times New Roman" w:hAnsi="Times New Roman"/>
                <w:b/>
                <w:bCs/>
                <w:sz w:val="21"/>
                <w:szCs w:val="21"/>
                <w:lang w:eastAsia="mk-MK"/>
              </w:rPr>
              <w:t>Note</w:t>
            </w:r>
          </w:p>
        </w:tc>
        <w:tc>
          <w:tcPr>
            <w:tcW w:w="222" w:type="dxa"/>
            <w:tcBorders>
              <w:top w:val="nil"/>
              <w:left w:val="nil"/>
              <w:bottom w:val="nil"/>
              <w:right w:val="nil"/>
            </w:tcBorders>
            <w:shd w:val="clear" w:color="auto" w:fill="auto"/>
            <w:noWrap/>
            <w:vAlign w:val="bottom"/>
            <w:hideMark/>
          </w:tcPr>
          <w:p w14:paraId="47E41633" w14:textId="77777777" w:rsidR="002B6B59" w:rsidRPr="002B6B59" w:rsidRDefault="002B6B59" w:rsidP="00E4741F">
            <w:pPr>
              <w:spacing w:after="0" w:line="240" w:lineRule="auto"/>
              <w:jc w:val="center"/>
              <w:rPr>
                <w:rFonts w:ascii="Times New Roman" w:eastAsia="Times New Roman" w:hAnsi="Times New Roman"/>
                <w:b/>
                <w:bCs/>
                <w:sz w:val="21"/>
                <w:szCs w:val="21"/>
                <w:lang w:val="mk-MK" w:eastAsia="mk-MK"/>
              </w:rPr>
            </w:pPr>
          </w:p>
        </w:tc>
        <w:tc>
          <w:tcPr>
            <w:tcW w:w="1600" w:type="dxa"/>
            <w:tcBorders>
              <w:top w:val="nil"/>
              <w:left w:val="nil"/>
              <w:bottom w:val="single" w:sz="8" w:space="0" w:color="auto"/>
              <w:right w:val="nil"/>
            </w:tcBorders>
            <w:shd w:val="clear" w:color="auto" w:fill="auto"/>
            <w:noWrap/>
            <w:vAlign w:val="bottom"/>
            <w:hideMark/>
          </w:tcPr>
          <w:p w14:paraId="143482E3" w14:textId="77777777" w:rsidR="002B6B59" w:rsidRPr="002B6B59" w:rsidRDefault="002B6B59" w:rsidP="00E4741F">
            <w:pPr>
              <w:spacing w:after="0" w:line="240" w:lineRule="auto"/>
              <w:jc w:val="center"/>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2022</w:t>
            </w:r>
          </w:p>
        </w:tc>
        <w:tc>
          <w:tcPr>
            <w:tcW w:w="222" w:type="dxa"/>
            <w:tcBorders>
              <w:top w:val="nil"/>
              <w:left w:val="nil"/>
              <w:bottom w:val="nil"/>
              <w:right w:val="nil"/>
            </w:tcBorders>
            <w:shd w:val="clear" w:color="auto" w:fill="auto"/>
            <w:noWrap/>
            <w:vAlign w:val="bottom"/>
            <w:hideMark/>
          </w:tcPr>
          <w:p w14:paraId="3D8E0892" w14:textId="77777777" w:rsidR="002B6B59" w:rsidRPr="002B6B59" w:rsidRDefault="002B6B59" w:rsidP="00E4741F">
            <w:pPr>
              <w:spacing w:after="0" w:line="240" w:lineRule="auto"/>
              <w:jc w:val="center"/>
              <w:rPr>
                <w:rFonts w:ascii="Times New Roman" w:eastAsia="Times New Roman" w:hAnsi="Times New Roman"/>
                <w:b/>
                <w:bCs/>
                <w:sz w:val="21"/>
                <w:szCs w:val="21"/>
                <w:lang w:val="mk-MK" w:eastAsia="mk-MK"/>
              </w:rPr>
            </w:pPr>
          </w:p>
        </w:tc>
        <w:tc>
          <w:tcPr>
            <w:tcW w:w="1300" w:type="dxa"/>
            <w:tcBorders>
              <w:top w:val="nil"/>
              <w:left w:val="nil"/>
              <w:bottom w:val="single" w:sz="8" w:space="0" w:color="auto"/>
              <w:right w:val="nil"/>
            </w:tcBorders>
            <w:shd w:val="clear" w:color="auto" w:fill="auto"/>
            <w:noWrap/>
            <w:vAlign w:val="bottom"/>
            <w:hideMark/>
          </w:tcPr>
          <w:p w14:paraId="0CEB952B" w14:textId="77777777" w:rsidR="002B6B59" w:rsidRPr="002B6B59" w:rsidRDefault="002B6B59" w:rsidP="00E4741F">
            <w:pPr>
              <w:spacing w:after="0" w:line="240" w:lineRule="auto"/>
              <w:jc w:val="center"/>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2021</w:t>
            </w:r>
          </w:p>
        </w:tc>
      </w:tr>
      <w:tr w:rsidR="002B6B59" w:rsidRPr="002B6B59" w14:paraId="548086AA" w14:textId="77777777" w:rsidTr="002B6B59">
        <w:trPr>
          <w:trHeight w:val="570"/>
        </w:trPr>
        <w:tc>
          <w:tcPr>
            <w:tcW w:w="3420" w:type="dxa"/>
            <w:tcBorders>
              <w:top w:val="nil"/>
              <w:left w:val="nil"/>
              <w:bottom w:val="nil"/>
              <w:right w:val="nil"/>
            </w:tcBorders>
            <w:shd w:val="clear" w:color="auto" w:fill="auto"/>
            <w:noWrap/>
            <w:vAlign w:val="bottom"/>
            <w:hideMark/>
          </w:tcPr>
          <w:p w14:paraId="08A0DA8C" w14:textId="77777777" w:rsidR="002B6B59" w:rsidRPr="002B6B59" w:rsidRDefault="002B6B59" w:rsidP="00E4741F">
            <w:pPr>
              <w:spacing w:after="0" w:line="240" w:lineRule="auto"/>
              <w:jc w:val="center"/>
              <w:rPr>
                <w:rFonts w:ascii="Times New Roman" w:eastAsia="Times New Roman" w:hAnsi="Times New Roman"/>
                <w:b/>
                <w:bCs/>
                <w:sz w:val="21"/>
                <w:szCs w:val="21"/>
                <w:lang w:val="mk-MK" w:eastAsia="mk-MK"/>
              </w:rPr>
            </w:pPr>
          </w:p>
        </w:tc>
        <w:tc>
          <w:tcPr>
            <w:tcW w:w="960" w:type="dxa"/>
            <w:tcBorders>
              <w:top w:val="nil"/>
              <w:left w:val="nil"/>
              <w:bottom w:val="nil"/>
              <w:right w:val="nil"/>
            </w:tcBorders>
            <w:shd w:val="clear" w:color="auto" w:fill="auto"/>
            <w:noWrap/>
            <w:vAlign w:val="center"/>
            <w:hideMark/>
          </w:tcPr>
          <w:p w14:paraId="1DECDCE4"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22E2DADD"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bottom"/>
            <w:hideMark/>
          </w:tcPr>
          <w:p w14:paraId="73F3276D"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523C63F4"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bottom"/>
            <w:hideMark/>
          </w:tcPr>
          <w:p w14:paraId="71D35C15"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r>
      <w:tr w:rsidR="002B6B59" w:rsidRPr="002B6B59" w14:paraId="4306B9A5" w14:textId="77777777" w:rsidTr="002B6B59">
        <w:trPr>
          <w:trHeight w:val="300"/>
        </w:trPr>
        <w:tc>
          <w:tcPr>
            <w:tcW w:w="3420" w:type="dxa"/>
            <w:tcBorders>
              <w:top w:val="nil"/>
              <w:left w:val="nil"/>
              <w:bottom w:val="nil"/>
              <w:right w:val="nil"/>
            </w:tcBorders>
            <w:shd w:val="clear" w:color="auto" w:fill="auto"/>
            <w:noWrap/>
            <w:vAlign w:val="bottom"/>
            <w:hideMark/>
          </w:tcPr>
          <w:p w14:paraId="61BB1D78"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960" w:type="dxa"/>
            <w:tcBorders>
              <w:top w:val="nil"/>
              <w:left w:val="nil"/>
              <w:bottom w:val="nil"/>
              <w:right w:val="nil"/>
            </w:tcBorders>
            <w:shd w:val="clear" w:color="auto" w:fill="auto"/>
            <w:noWrap/>
            <w:vAlign w:val="center"/>
            <w:hideMark/>
          </w:tcPr>
          <w:p w14:paraId="62666C25"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0E4FA255"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bottom"/>
            <w:hideMark/>
          </w:tcPr>
          <w:p w14:paraId="20135705"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20FE20E0"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bottom"/>
            <w:hideMark/>
          </w:tcPr>
          <w:p w14:paraId="504004D8"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r>
      <w:tr w:rsidR="002B6B59" w:rsidRPr="002B6B59" w14:paraId="6EAFC491" w14:textId="77777777" w:rsidTr="002B6B59">
        <w:trPr>
          <w:trHeight w:val="300"/>
        </w:trPr>
        <w:tc>
          <w:tcPr>
            <w:tcW w:w="3420" w:type="dxa"/>
            <w:tcBorders>
              <w:top w:val="nil"/>
              <w:left w:val="nil"/>
              <w:bottom w:val="nil"/>
              <w:right w:val="nil"/>
            </w:tcBorders>
            <w:shd w:val="clear" w:color="auto" w:fill="auto"/>
            <w:noWrap/>
            <w:vAlign w:val="center"/>
            <w:hideMark/>
          </w:tcPr>
          <w:p w14:paraId="740CCD59"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Interest income</w:t>
            </w:r>
          </w:p>
        </w:tc>
        <w:tc>
          <w:tcPr>
            <w:tcW w:w="960" w:type="dxa"/>
            <w:tcBorders>
              <w:top w:val="nil"/>
              <w:left w:val="nil"/>
              <w:bottom w:val="nil"/>
              <w:right w:val="nil"/>
            </w:tcBorders>
            <w:shd w:val="clear" w:color="auto" w:fill="auto"/>
            <w:noWrap/>
            <w:vAlign w:val="center"/>
            <w:hideMark/>
          </w:tcPr>
          <w:p w14:paraId="2A2ECA71"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p>
        </w:tc>
        <w:tc>
          <w:tcPr>
            <w:tcW w:w="222" w:type="dxa"/>
            <w:tcBorders>
              <w:top w:val="nil"/>
              <w:left w:val="nil"/>
              <w:bottom w:val="nil"/>
              <w:right w:val="nil"/>
            </w:tcBorders>
            <w:shd w:val="clear" w:color="auto" w:fill="auto"/>
            <w:noWrap/>
            <w:vAlign w:val="bottom"/>
            <w:hideMark/>
          </w:tcPr>
          <w:p w14:paraId="6019154F"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3D5363BF"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4.423.517 </w:t>
            </w:r>
          </w:p>
        </w:tc>
        <w:tc>
          <w:tcPr>
            <w:tcW w:w="222" w:type="dxa"/>
            <w:tcBorders>
              <w:top w:val="nil"/>
              <w:left w:val="nil"/>
              <w:bottom w:val="nil"/>
              <w:right w:val="nil"/>
            </w:tcBorders>
            <w:shd w:val="clear" w:color="auto" w:fill="auto"/>
            <w:noWrap/>
            <w:vAlign w:val="center"/>
            <w:hideMark/>
          </w:tcPr>
          <w:p w14:paraId="43266D61"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343EF7A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4.113.872 </w:t>
            </w:r>
          </w:p>
        </w:tc>
      </w:tr>
      <w:tr w:rsidR="002B6B59" w:rsidRPr="002B6B59" w14:paraId="215847EE" w14:textId="77777777" w:rsidTr="002B6B59">
        <w:trPr>
          <w:trHeight w:val="300"/>
        </w:trPr>
        <w:tc>
          <w:tcPr>
            <w:tcW w:w="3420" w:type="dxa"/>
            <w:tcBorders>
              <w:top w:val="nil"/>
              <w:left w:val="nil"/>
              <w:bottom w:val="nil"/>
              <w:right w:val="nil"/>
            </w:tcBorders>
            <w:shd w:val="clear" w:color="auto" w:fill="auto"/>
            <w:noWrap/>
            <w:vAlign w:val="center"/>
            <w:hideMark/>
          </w:tcPr>
          <w:p w14:paraId="6814D507"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Interest expense</w:t>
            </w:r>
          </w:p>
        </w:tc>
        <w:tc>
          <w:tcPr>
            <w:tcW w:w="960" w:type="dxa"/>
            <w:tcBorders>
              <w:top w:val="nil"/>
              <w:left w:val="nil"/>
              <w:bottom w:val="nil"/>
              <w:right w:val="nil"/>
            </w:tcBorders>
            <w:shd w:val="clear" w:color="auto" w:fill="auto"/>
            <w:noWrap/>
            <w:vAlign w:val="center"/>
            <w:hideMark/>
          </w:tcPr>
          <w:p w14:paraId="023D4C2E"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p>
        </w:tc>
        <w:tc>
          <w:tcPr>
            <w:tcW w:w="222" w:type="dxa"/>
            <w:tcBorders>
              <w:top w:val="nil"/>
              <w:left w:val="nil"/>
              <w:bottom w:val="nil"/>
              <w:right w:val="nil"/>
            </w:tcBorders>
            <w:shd w:val="clear" w:color="auto" w:fill="auto"/>
            <w:noWrap/>
            <w:vAlign w:val="bottom"/>
            <w:hideMark/>
          </w:tcPr>
          <w:p w14:paraId="04A04400"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single" w:sz="4" w:space="0" w:color="auto"/>
              <w:right w:val="nil"/>
            </w:tcBorders>
            <w:shd w:val="clear" w:color="auto" w:fill="auto"/>
            <w:noWrap/>
            <w:vAlign w:val="center"/>
            <w:hideMark/>
          </w:tcPr>
          <w:p w14:paraId="135D6BD4"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(218.776)</w:t>
            </w:r>
          </w:p>
        </w:tc>
        <w:tc>
          <w:tcPr>
            <w:tcW w:w="222" w:type="dxa"/>
            <w:tcBorders>
              <w:top w:val="nil"/>
              <w:left w:val="nil"/>
              <w:bottom w:val="nil"/>
              <w:right w:val="nil"/>
            </w:tcBorders>
            <w:shd w:val="clear" w:color="auto" w:fill="auto"/>
            <w:noWrap/>
            <w:vAlign w:val="center"/>
            <w:hideMark/>
          </w:tcPr>
          <w:p w14:paraId="01FE547D"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single" w:sz="4" w:space="0" w:color="auto"/>
              <w:right w:val="nil"/>
            </w:tcBorders>
            <w:shd w:val="clear" w:color="auto" w:fill="auto"/>
            <w:noWrap/>
            <w:vAlign w:val="center"/>
            <w:hideMark/>
          </w:tcPr>
          <w:p w14:paraId="14FBF7A6"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(269.831)</w:t>
            </w:r>
          </w:p>
        </w:tc>
      </w:tr>
      <w:tr w:rsidR="002B6B59" w:rsidRPr="002B6B59" w14:paraId="52354899" w14:textId="77777777" w:rsidTr="002B6B59">
        <w:trPr>
          <w:trHeight w:val="300"/>
        </w:trPr>
        <w:tc>
          <w:tcPr>
            <w:tcW w:w="3420" w:type="dxa"/>
            <w:tcBorders>
              <w:top w:val="nil"/>
              <w:left w:val="nil"/>
              <w:bottom w:val="nil"/>
              <w:right w:val="nil"/>
            </w:tcBorders>
            <w:shd w:val="clear" w:color="auto" w:fill="auto"/>
            <w:noWrap/>
            <w:vAlign w:val="center"/>
            <w:hideMark/>
          </w:tcPr>
          <w:p w14:paraId="52CC332A"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r w:rsidRPr="002B6B59">
              <w:rPr>
                <w:rFonts w:ascii="Times New Roman" w:eastAsia="Times New Roman" w:hAnsi="Times New Roman"/>
                <w:b/>
                <w:bCs/>
                <w:sz w:val="21"/>
                <w:szCs w:val="21"/>
                <w:lang w:val="en-GB" w:eastAsia="mk-MK"/>
              </w:rPr>
              <w:lastRenderedPageBreak/>
              <w:t>Net interest income (expense)</w:t>
            </w:r>
          </w:p>
        </w:tc>
        <w:tc>
          <w:tcPr>
            <w:tcW w:w="960" w:type="dxa"/>
            <w:tcBorders>
              <w:top w:val="nil"/>
              <w:left w:val="nil"/>
              <w:bottom w:val="nil"/>
              <w:right w:val="nil"/>
            </w:tcBorders>
            <w:shd w:val="clear" w:color="auto" w:fill="auto"/>
            <w:noWrap/>
            <w:vAlign w:val="center"/>
            <w:hideMark/>
          </w:tcPr>
          <w:p w14:paraId="7ED3AF34" w14:textId="77777777" w:rsidR="002B6B59" w:rsidRPr="002B6B59" w:rsidRDefault="002B6B59" w:rsidP="00E4741F">
            <w:pPr>
              <w:spacing w:after="0" w:line="240" w:lineRule="auto"/>
              <w:jc w:val="center"/>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6</w:t>
            </w:r>
          </w:p>
        </w:tc>
        <w:tc>
          <w:tcPr>
            <w:tcW w:w="222" w:type="dxa"/>
            <w:tcBorders>
              <w:top w:val="nil"/>
              <w:left w:val="nil"/>
              <w:bottom w:val="nil"/>
              <w:right w:val="nil"/>
            </w:tcBorders>
            <w:shd w:val="clear" w:color="auto" w:fill="auto"/>
            <w:noWrap/>
            <w:vAlign w:val="bottom"/>
            <w:hideMark/>
          </w:tcPr>
          <w:p w14:paraId="19F5576D" w14:textId="77777777" w:rsidR="002B6B59" w:rsidRPr="002B6B59" w:rsidRDefault="002B6B59" w:rsidP="00E4741F">
            <w:pPr>
              <w:spacing w:after="0" w:line="240" w:lineRule="auto"/>
              <w:jc w:val="center"/>
              <w:rPr>
                <w:rFonts w:ascii="Times New Roman" w:eastAsia="Times New Roman" w:hAnsi="Times New Roman"/>
                <w:b/>
                <w:bCs/>
                <w:sz w:val="21"/>
                <w:szCs w:val="21"/>
                <w:lang w:val="mk-MK" w:eastAsia="mk-MK"/>
              </w:rPr>
            </w:pPr>
          </w:p>
        </w:tc>
        <w:tc>
          <w:tcPr>
            <w:tcW w:w="1600" w:type="dxa"/>
            <w:tcBorders>
              <w:top w:val="nil"/>
              <w:left w:val="nil"/>
              <w:bottom w:val="nil"/>
              <w:right w:val="nil"/>
            </w:tcBorders>
            <w:shd w:val="clear" w:color="auto" w:fill="auto"/>
            <w:noWrap/>
            <w:vAlign w:val="center"/>
            <w:hideMark/>
          </w:tcPr>
          <w:p w14:paraId="7427BC0C"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4.204.741 </w:t>
            </w:r>
          </w:p>
        </w:tc>
        <w:tc>
          <w:tcPr>
            <w:tcW w:w="222" w:type="dxa"/>
            <w:tcBorders>
              <w:top w:val="nil"/>
              <w:left w:val="nil"/>
              <w:bottom w:val="nil"/>
              <w:right w:val="nil"/>
            </w:tcBorders>
            <w:shd w:val="clear" w:color="auto" w:fill="auto"/>
            <w:noWrap/>
            <w:vAlign w:val="center"/>
            <w:hideMark/>
          </w:tcPr>
          <w:p w14:paraId="33661531"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1300" w:type="dxa"/>
            <w:tcBorders>
              <w:top w:val="nil"/>
              <w:left w:val="nil"/>
              <w:bottom w:val="nil"/>
              <w:right w:val="nil"/>
            </w:tcBorders>
            <w:shd w:val="clear" w:color="auto" w:fill="auto"/>
            <w:noWrap/>
            <w:vAlign w:val="center"/>
            <w:hideMark/>
          </w:tcPr>
          <w:p w14:paraId="6E47C3F4"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3.844.041 </w:t>
            </w:r>
          </w:p>
        </w:tc>
      </w:tr>
      <w:tr w:rsidR="002B6B59" w:rsidRPr="002B6B59" w14:paraId="48FE2D80" w14:textId="77777777" w:rsidTr="002B6B59">
        <w:trPr>
          <w:trHeight w:val="300"/>
        </w:trPr>
        <w:tc>
          <w:tcPr>
            <w:tcW w:w="3420" w:type="dxa"/>
            <w:tcBorders>
              <w:top w:val="nil"/>
              <w:left w:val="nil"/>
              <w:bottom w:val="nil"/>
              <w:right w:val="nil"/>
            </w:tcBorders>
            <w:shd w:val="clear" w:color="auto" w:fill="auto"/>
            <w:noWrap/>
            <w:vAlign w:val="center"/>
            <w:hideMark/>
          </w:tcPr>
          <w:p w14:paraId="612EF138"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960" w:type="dxa"/>
            <w:tcBorders>
              <w:top w:val="nil"/>
              <w:left w:val="nil"/>
              <w:bottom w:val="nil"/>
              <w:right w:val="nil"/>
            </w:tcBorders>
            <w:shd w:val="clear" w:color="auto" w:fill="auto"/>
            <w:noWrap/>
            <w:vAlign w:val="center"/>
            <w:hideMark/>
          </w:tcPr>
          <w:p w14:paraId="60E8D0CD"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5E9F320C"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1C4FCD94"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center"/>
            <w:hideMark/>
          </w:tcPr>
          <w:p w14:paraId="3C8E6ABA"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3EA131BE"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r>
      <w:tr w:rsidR="002B6B59" w:rsidRPr="002B6B59" w14:paraId="7342ED89" w14:textId="77777777" w:rsidTr="002B6B59">
        <w:trPr>
          <w:trHeight w:val="300"/>
        </w:trPr>
        <w:tc>
          <w:tcPr>
            <w:tcW w:w="3420" w:type="dxa"/>
            <w:tcBorders>
              <w:top w:val="nil"/>
              <w:left w:val="nil"/>
              <w:bottom w:val="nil"/>
              <w:right w:val="nil"/>
            </w:tcBorders>
            <w:shd w:val="clear" w:color="auto" w:fill="auto"/>
            <w:noWrap/>
            <w:vAlign w:val="center"/>
            <w:hideMark/>
          </w:tcPr>
          <w:p w14:paraId="5A245B6B"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Fee and commission income</w:t>
            </w:r>
          </w:p>
        </w:tc>
        <w:tc>
          <w:tcPr>
            <w:tcW w:w="960" w:type="dxa"/>
            <w:tcBorders>
              <w:top w:val="nil"/>
              <w:left w:val="nil"/>
              <w:bottom w:val="nil"/>
              <w:right w:val="nil"/>
            </w:tcBorders>
            <w:shd w:val="clear" w:color="auto" w:fill="auto"/>
            <w:noWrap/>
            <w:vAlign w:val="center"/>
            <w:hideMark/>
          </w:tcPr>
          <w:p w14:paraId="3FD4027F"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p>
        </w:tc>
        <w:tc>
          <w:tcPr>
            <w:tcW w:w="222" w:type="dxa"/>
            <w:tcBorders>
              <w:top w:val="nil"/>
              <w:left w:val="nil"/>
              <w:bottom w:val="nil"/>
              <w:right w:val="nil"/>
            </w:tcBorders>
            <w:shd w:val="clear" w:color="auto" w:fill="auto"/>
            <w:noWrap/>
            <w:vAlign w:val="bottom"/>
            <w:hideMark/>
          </w:tcPr>
          <w:p w14:paraId="437087D2"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4F175A4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1.521.304 </w:t>
            </w:r>
          </w:p>
        </w:tc>
        <w:tc>
          <w:tcPr>
            <w:tcW w:w="222" w:type="dxa"/>
            <w:tcBorders>
              <w:top w:val="nil"/>
              <w:left w:val="nil"/>
              <w:bottom w:val="nil"/>
              <w:right w:val="nil"/>
            </w:tcBorders>
            <w:shd w:val="clear" w:color="auto" w:fill="auto"/>
            <w:noWrap/>
            <w:vAlign w:val="center"/>
            <w:hideMark/>
          </w:tcPr>
          <w:p w14:paraId="4DEF5193"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711950F0"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1.439.240 </w:t>
            </w:r>
          </w:p>
        </w:tc>
      </w:tr>
      <w:tr w:rsidR="002B6B59" w:rsidRPr="002B6B59" w14:paraId="4A275D5A" w14:textId="77777777" w:rsidTr="002B6B59">
        <w:trPr>
          <w:trHeight w:val="300"/>
        </w:trPr>
        <w:tc>
          <w:tcPr>
            <w:tcW w:w="3420" w:type="dxa"/>
            <w:tcBorders>
              <w:top w:val="nil"/>
              <w:left w:val="nil"/>
              <w:bottom w:val="nil"/>
              <w:right w:val="nil"/>
            </w:tcBorders>
            <w:shd w:val="clear" w:color="auto" w:fill="auto"/>
            <w:noWrap/>
            <w:vAlign w:val="center"/>
            <w:hideMark/>
          </w:tcPr>
          <w:p w14:paraId="699FA5C4"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Fee and commission expense</w:t>
            </w:r>
          </w:p>
        </w:tc>
        <w:tc>
          <w:tcPr>
            <w:tcW w:w="960" w:type="dxa"/>
            <w:tcBorders>
              <w:top w:val="nil"/>
              <w:left w:val="nil"/>
              <w:bottom w:val="nil"/>
              <w:right w:val="nil"/>
            </w:tcBorders>
            <w:shd w:val="clear" w:color="auto" w:fill="auto"/>
            <w:noWrap/>
            <w:vAlign w:val="center"/>
            <w:hideMark/>
          </w:tcPr>
          <w:p w14:paraId="2CA739EE"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p>
        </w:tc>
        <w:tc>
          <w:tcPr>
            <w:tcW w:w="222" w:type="dxa"/>
            <w:tcBorders>
              <w:top w:val="nil"/>
              <w:left w:val="nil"/>
              <w:bottom w:val="nil"/>
              <w:right w:val="nil"/>
            </w:tcBorders>
            <w:shd w:val="clear" w:color="auto" w:fill="auto"/>
            <w:noWrap/>
            <w:vAlign w:val="bottom"/>
            <w:hideMark/>
          </w:tcPr>
          <w:p w14:paraId="26661E41"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single" w:sz="4" w:space="0" w:color="auto"/>
              <w:right w:val="nil"/>
            </w:tcBorders>
            <w:shd w:val="clear" w:color="auto" w:fill="auto"/>
            <w:noWrap/>
            <w:vAlign w:val="center"/>
            <w:hideMark/>
          </w:tcPr>
          <w:p w14:paraId="36A35F55"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(622.666)</w:t>
            </w:r>
          </w:p>
        </w:tc>
        <w:tc>
          <w:tcPr>
            <w:tcW w:w="222" w:type="dxa"/>
            <w:tcBorders>
              <w:top w:val="nil"/>
              <w:left w:val="nil"/>
              <w:bottom w:val="nil"/>
              <w:right w:val="nil"/>
            </w:tcBorders>
            <w:shd w:val="clear" w:color="auto" w:fill="auto"/>
            <w:noWrap/>
            <w:vAlign w:val="center"/>
            <w:hideMark/>
          </w:tcPr>
          <w:p w14:paraId="348D10CD"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single" w:sz="4" w:space="0" w:color="auto"/>
              <w:right w:val="nil"/>
            </w:tcBorders>
            <w:shd w:val="clear" w:color="auto" w:fill="auto"/>
            <w:noWrap/>
            <w:vAlign w:val="center"/>
            <w:hideMark/>
          </w:tcPr>
          <w:p w14:paraId="22CA68E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(607.750)</w:t>
            </w:r>
          </w:p>
        </w:tc>
      </w:tr>
      <w:tr w:rsidR="002B6B59" w:rsidRPr="002B6B59" w14:paraId="500516F2" w14:textId="77777777" w:rsidTr="002B6B59">
        <w:trPr>
          <w:trHeight w:val="300"/>
        </w:trPr>
        <w:tc>
          <w:tcPr>
            <w:tcW w:w="3420" w:type="dxa"/>
            <w:tcBorders>
              <w:top w:val="nil"/>
              <w:left w:val="nil"/>
              <w:bottom w:val="nil"/>
              <w:right w:val="nil"/>
            </w:tcBorders>
            <w:shd w:val="clear" w:color="auto" w:fill="auto"/>
            <w:noWrap/>
            <w:vAlign w:val="center"/>
            <w:hideMark/>
          </w:tcPr>
          <w:p w14:paraId="63353410"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r w:rsidRPr="002B6B59">
              <w:rPr>
                <w:rFonts w:ascii="Times New Roman" w:eastAsia="Times New Roman" w:hAnsi="Times New Roman"/>
                <w:b/>
                <w:bCs/>
                <w:sz w:val="21"/>
                <w:szCs w:val="21"/>
                <w:lang w:val="en-GB" w:eastAsia="mk-MK"/>
              </w:rPr>
              <w:t xml:space="preserve">Net fee and commission income (expense) </w:t>
            </w:r>
          </w:p>
        </w:tc>
        <w:tc>
          <w:tcPr>
            <w:tcW w:w="960" w:type="dxa"/>
            <w:tcBorders>
              <w:top w:val="nil"/>
              <w:left w:val="nil"/>
              <w:bottom w:val="nil"/>
              <w:right w:val="nil"/>
            </w:tcBorders>
            <w:shd w:val="clear" w:color="auto" w:fill="auto"/>
            <w:noWrap/>
            <w:vAlign w:val="center"/>
            <w:hideMark/>
          </w:tcPr>
          <w:p w14:paraId="0B1B3902" w14:textId="77777777" w:rsidR="002B6B59" w:rsidRPr="002B6B59" w:rsidRDefault="002B6B59" w:rsidP="00E4741F">
            <w:pPr>
              <w:spacing w:after="0" w:line="240" w:lineRule="auto"/>
              <w:jc w:val="center"/>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7</w:t>
            </w:r>
          </w:p>
        </w:tc>
        <w:tc>
          <w:tcPr>
            <w:tcW w:w="222" w:type="dxa"/>
            <w:tcBorders>
              <w:top w:val="nil"/>
              <w:left w:val="nil"/>
              <w:bottom w:val="nil"/>
              <w:right w:val="nil"/>
            </w:tcBorders>
            <w:shd w:val="clear" w:color="auto" w:fill="auto"/>
            <w:noWrap/>
            <w:vAlign w:val="bottom"/>
            <w:hideMark/>
          </w:tcPr>
          <w:p w14:paraId="2E66CA7C" w14:textId="77777777" w:rsidR="002B6B59" w:rsidRPr="002B6B59" w:rsidRDefault="002B6B59" w:rsidP="00E4741F">
            <w:pPr>
              <w:spacing w:after="0" w:line="240" w:lineRule="auto"/>
              <w:jc w:val="center"/>
              <w:rPr>
                <w:rFonts w:ascii="Times New Roman" w:eastAsia="Times New Roman" w:hAnsi="Times New Roman"/>
                <w:b/>
                <w:bCs/>
                <w:sz w:val="21"/>
                <w:szCs w:val="21"/>
                <w:lang w:val="mk-MK" w:eastAsia="mk-MK"/>
              </w:rPr>
            </w:pPr>
          </w:p>
        </w:tc>
        <w:tc>
          <w:tcPr>
            <w:tcW w:w="1600" w:type="dxa"/>
            <w:tcBorders>
              <w:top w:val="nil"/>
              <w:left w:val="nil"/>
              <w:bottom w:val="nil"/>
              <w:right w:val="nil"/>
            </w:tcBorders>
            <w:shd w:val="clear" w:color="auto" w:fill="auto"/>
            <w:noWrap/>
            <w:vAlign w:val="center"/>
            <w:hideMark/>
          </w:tcPr>
          <w:p w14:paraId="3872B8D6"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898.638 </w:t>
            </w:r>
          </w:p>
        </w:tc>
        <w:tc>
          <w:tcPr>
            <w:tcW w:w="222" w:type="dxa"/>
            <w:tcBorders>
              <w:top w:val="nil"/>
              <w:left w:val="nil"/>
              <w:bottom w:val="nil"/>
              <w:right w:val="nil"/>
            </w:tcBorders>
            <w:shd w:val="clear" w:color="auto" w:fill="auto"/>
            <w:noWrap/>
            <w:vAlign w:val="center"/>
            <w:hideMark/>
          </w:tcPr>
          <w:p w14:paraId="2429AFA7"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1300" w:type="dxa"/>
            <w:tcBorders>
              <w:top w:val="nil"/>
              <w:left w:val="nil"/>
              <w:bottom w:val="nil"/>
              <w:right w:val="nil"/>
            </w:tcBorders>
            <w:shd w:val="clear" w:color="auto" w:fill="auto"/>
            <w:noWrap/>
            <w:vAlign w:val="center"/>
            <w:hideMark/>
          </w:tcPr>
          <w:p w14:paraId="6E445F33"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831.490 </w:t>
            </w:r>
          </w:p>
        </w:tc>
      </w:tr>
      <w:tr w:rsidR="002B6B59" w:rsidRPr="002B6B59" w14:paraId="094B18A6" w14:textId="77777777" w:rsidTr="002B6B59">
        <w:trPr>
          <w:trHeight w:val="300"/>
        </w:trPr>
        <w:tc>
          <w:tcPr>
            <w:tcW w:w="3420" w:type="dxa"/>
            <w:tcBorders>
              <w:top w:val="nil"/>
              <w:left w:val="nil"/>
              <w:bottom w:val="nil"/>
              <w:right w:val="nil"/>
            </w:tcBorders>
            <w:shd w:val="clear" w:color="auto" w:fill="auto"/>
            <w:noWrap/>
            <w:vAlign w:val="center"/>
            <w:hideMark/>
          </w:tcPr>
          <w:p w14:paraId="6E4E1FA6"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960" w:type="dxa"/>
            <w:tcBorders>
              <w:top w:val="nil"/>
              <w:left w:val="nil"/>
              <w:bottom w:val="nil"/>
              <w:right w:val="nil"/>
            </w:tcBorders>
            <w:shd w:val="clear" w:color="auto" w:fill="auto"/>
            <w:noWrap/>
            <w:vAlign w:val="center"/>
            <w:hideMark/>
          </w:tcPr>
          <w:p w14:paraId="4621060F"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7BF256DF"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1AFB98A8"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center"/>
            <w:hideMark/>
          </w:tcPr>
          <w:p w14:paraId="411C3162"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719F59F6"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r>
      <w:tr w:rsidR="002B6B59" w:rsidRPr="002B6B59" w14:paraId="049B6A26" w14:textId="77777777" w:rsidTr="002B6B59">
        <w:trPr>
          <w:trHeight w:val="300"/>
        </w:trPr>
        <w:tc>
          <w:tcPr>
            <w:tcW w:w="3420" w:type="dxa"/>
            <w:tcBorders>
              <w:top w:val="nil"/>
              <w:left w:val="nil"/>
              <w:bottom w:val="nil"/>
              <w:right w:val="nil"/>
            </w:tcBorders>
            <w:shd w:val="clear" w:color="auto" w:fill="auto"/>
            <w:noWrap/>
            <w:vAlign w:val="center"/>
            <w:hideMark/>
          </w:tcPr>
          <w:p w14:paraId="20FD4989"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Trading income/(losses), net</w:t>
            </w:r>
          </w:p>
        </w:tc>
        <w:tc>
          <w:tcPr>
            <w:tcW w:w="960" w:type="dxa"/>
            <w:tcBorders>
              <w:top w:val="nil"/>
              <w:left w:val="nil"/>
              <w:bottom w:val="nil"/>
              <w:right w:val="nil"/>
            </w:tcBorders>
            <w:shd w:val="clear" w:color="auto" w:fill="auto"/>
            <w:noWrap/>
            <w:vAlign w:val="center"/>
            <w:hideMark/>
          </w:tcPr>
          <w:p w14:paraId="2FFACD36"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8</w:t>
            </w:r>
          </w:p>
        </w:tc>
        <w:tc>
          <w:tcPr>
            <w:tcW w:w="222" w:type="dxa"/>
            <w:tcBorders>
              <w:top w:val="nil"/>
              <w:left w:val="nil"/>
              <w:bottom w:val="nil"/>
              <w:right w:val="nil"/>
            </w:tcBorders>
            <w:shd w:val="clear" w:color="auto" w:fill="auto"/>
            <w:noWrap/>
            <w:vAlign w:val="bottom"/>
            <w:hideMark/>
          </w:tcPr>
          <w:p w14:paraId="439F4C2F"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513A906C"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26 </w:t>
            </w:r>
          </w:p>
        </w:tc>
        <w:tc>
          <w:tcPr>
            <w:tcW w:w="222" w:type="dxa"/>
            <w:tcBorders>
              <w:top w:val="nil"/>
              <w:left w:val="nil"/>
              <w:bottom w:val="nil"/>
              <w:right w:val="nil"/>
            </w:tcBorders>
            <w:shd w:val="clear" w:color="auto" w:fill="auto"/>
            <w:noWrap/>
            <w:vAlign w:val="center"/>
            <w:hideMark/>
          </w:tcPr>
          <w:p w14:paraId="4EC367E9"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397625F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(696)</w:t>
            </w:r>
          </w:p>
        </w:tc>
      </w:tr>
      <w:tr w:rsidR="002B6B59" w:rsidRPr="002B6B59" w14:paraId="39754116" w14:textId="77777777" w:rsidTr="002B6B59">
        <w:trPr>
          <w:trHeight w:val="300"/>
        </w:trPr>
        <w:tc>
          <w:tcPr>
            <w:tcW w:w="3420" w:type="dxa"/>
            <w:tcBorders>
              <w:top w:val="nil"/>
              <w:left w:val="nil"/>
              <w:bottom w:val="nil"/>
              <w:right w:val="nil"/>
            </w:tcBorders>
            <w:shd w:val="clear" w:color="auto" w:fill="auto"/>
            <w:noWrap/>
            <w:vAlign w:val="center"/>
            <w:hideMark/>
          </w:tcPr>
          <w:p w14:paraId="5943D91E"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Trading income from other financial instruments recorded at fair value, net</w:t>
            </w:r>
          </w:p>
        </w:tc>
        <w:tc>
          <w:tcPr>
            <w:tcW w:w="960" w:type="dxa"/>
            <w:tcBorders>
              <w:top w:val="nil"/>
              <w:left w:val="nil"/>
              <w:bottom w:val="nil"/>
              <w:right w:val="nil"/>
            </w:tcBorders>
            <w:shd w:val="clear" w:color="auto" w:fill="auto"/>
            <w:noWrap/>
            <w:vAlign w:val="center"/>
            <w:hideMark/>
          </w:tcPr>
          <w:p w14:paraId="1AED3F46"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9</w:t>
            </w:r>
          </w:p>
        </w:tc>
        <w:tc>
          <w:tcPr>
            <w:tcW w:w="222" w:type="dxa"/>
            <w:tcBorders>
              <w:top w:val="nil"/>
              <w:left w:val="nil"/>
              <w:bottom w:val="nil"/>
              <w:right w:val="nil"/>
            </w:tcBorders>
            <w:shd w:val="clear" w:color="auto" w:fill="auto"/>
            <w:noWrap/>
            <w:vAlign w:val="bottom"/>
            <w:hideMark/>
          </w:tcPr>
          <w:p w14:paraId="1AA11F13"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3231C9AF"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center"/>
            <w:hideMark/>
          </w:tcPr>
          <w:p w14:paraId="3B1317BD"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66828D57"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374989FA" w14:textId="77777777" w:rsidTr="002B6B59">
        <w:trPr>
          <w:trHeight w:val="300"/>
        </w:trPr>
        <w:tc>
          <w:tcPr>
            <w:tcW w:w="3420" w:type="dxa"/>
            <w:tcBorders>
              <w:top w:val="nil"/>
              <w:left w:val="nil"/>
              <w:bottom w:val="nil"/>
              <w:right w:val="nil"/>
            </w:tcBorders>
            <w:shd w:val="clear" w:color="auto" w:fill="auto"/>
            <w:noWrap/>
            <w:vAlign w:val="center"/>
            <w:hideMark/>
          </w:tcPr>
          <w:p w14:paraId="624EB3D8"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Foreign exchange gains/(losses), net</w:t>
            </w:r>
          </w:p>
        </w:tc>
        <w:tc>
          <w:tcPr>
            <w:tcW w:w="960" w:type="dxa"/>
            <w:tcBorders>
              <w:top w:val="nil"/>
              <w:left w:val="nil"/>
              <w:bottom w:val="nil"/>
              <w:right w:val="nil"/>
            </w:tcBorders>
            <w:shd w:val="clear" w:color="auto" w:fill="auto"/>
            <w:noWrap/>
            <w:vAlign w:val="center"/>
            <w:hideMark/>
          </w:tcPr>
          <w:p w14:paraId="005650EC"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10</w:t>
            </w:r>
          </w:p>
        </w:tc>
        <w:tc>
          <w:tcPr>
            <w:tcW w:w="222" w:type="dxa"/>
            <w:tcBorders>
              <w:top w:val="nil"/>
              <w:left w:val="nil"/>
              <w:bottom w:val="nil"/>
              <w:right w:val="nil"/>
            </w:tcBorders>
            <w:shd w:val="clear" w:color="auto" w:fill="auto"/>
            <w:noWrap/>
            <w:vAlign w:val="bottom"/>
            <w:hideMark/>
          </w:tcPr>
          <w:p w14:paraId="0A6B0CFC"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47DDC935"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157.425 </w:t>
            </w:r>
          </w:p>
        </w:tc>
        <w:tc>
          <w:tcPr>
            <w:tcW w:w="222" w:type="dxa"/>
            <w:tcBorders>
              <w:top w:val="nil"/>
              <w:left w:val="nil"/>
              <w:bottom w:val="nil"/>
              <w:right w:val="nil"/>
            </w:tcBorders>
            <w:shd w:val="clear" w:color="auto" w:fill="auto"/>
            <w:noWrap/>
            <w:vAlign w:val="center"/>
            <w:hideMark/>
          </w:tcPr>
          <w:p w14:paraId="227CDE2C"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2B640611"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110.078 </w:t>
            </w:r>
          </w:p>
        </w:tc>
      </w:tr>
      <w:tr w:rsidR="002B6B59" w:rsidRPr="002B6B59" w14:paraId="73720A09" w14:textId="77777777" w:rsidTr="002B6B59">
        <w:trPr>
          <w:trHeight w:val="300"/>
        </w:trPr>
        <w:tc>
          <w:tcPr>
            <w:tcW w:w="3420" w:type="dxa"/>
            <w:tcBorders>
              <w:top w:val="nil"/>
              <w:left w:val="nil"/>
              <w:bottom w:val="nil"/>
              <w:right w:val="nil"/>
            </w:tcBorders>
            <w:shd w:val="clear" w:color="auto" w:fill="auto"/>
            <w:noWrap/>
            <w:vAlign w:val="center"/>
            <w:hideMark/>
          </w:tcPr>
          <w:p w14:paraId="1B3F0075"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Other operating income</w:t>
            </w:r>
          </w:p>
        </w:tc>
        <w:tc>
          <w:tcPr>
            <w:tcW w:w="960" w:type="dxa"/>
            <w:tcBorders>
              <w:top w:val="nil"/>
              <w:left w:val="nil"/>
              <w:bottom w:val="nil"/>
              <w:right w:val="nil"/>
            </w:tcBorders>
            <w:shd w:val="clear" w:color="auto" w:fill="auto"/>
            <w:noWrap/>
            <w:vAlign w:val="center"/>
            <w:hideMark/>
          </w:tcPr>
          <w:p w14:paraId="5B014AAA"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11</w:t>
            </w:r>
          </w:p>
        </w:tc>
        <w:tc>
          <w:tcPr>
            <w:tcW w:w="222" w:type="dxa"/>
            <w:tcBorders>
              <w:top w:val="nil"/>
              <w:left w:val="nil"/>
              <w:bottom w:val="nil"/>
              <w:right w:val="nil"/>
            </w:tcBorders>
            <w:shd w:val="clear" w:color="auto" w:fill="auto"/>
            <w:noWrap/>
            <w:vAlign w:val="bottom"/>
            <w:hideMark/>
          </w:tcPr>
          <w:p w14:paraId="5B9A4482"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48430685"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594.926 </w:t>
            </w:r>
          </w:p>
        </w:tc>
        <w:tc>
          <w:tcPr>
            <w:tcW w:w="222" w:type="dxa"/>
            <w:tcBorders>
              <w:top w:val="nil"/>
              <w:left w:val="nil"/>
              <w:bottom w:val="nil"/>
              <w:right w:val="nil"/>
            </w:tcBorders>
            <w:shd w:val="clear" w:color="auto" w:fill="auto"/>
            <w:noWrap/>
            <w:vAlign w:val="center"/>
            <w:hideMark/>
          </w:tcPr>
          <w:p w14:paraId="4E5DE73F"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037D27F1"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463.221 </w:t>
            </w:r>
          </w:p>
        </w:tc>
      </w:tr>
      <w:tr w:rsidR="002B6B59" w:rsidRPr="002B6B59" w14:paraId="450A6DE0" w14:textId="77777777" w:rsidTr="002B6B59">
        <w:trPr>
          <w:trHeight w:val="300"/>
        </w:trPr>
        <w:tc>
          <w:tcPr>
            <w:tcW w:w="3420" w:type="dxa"/>
            <w:tcBorders>
              <w:top w:val="nil"/>
              <w:left w:val="nil"/>
              <w:bottom w:val="nil"/>
              <w:right w:val="nil"/>
            </w:tcBorders>
            <w:shd w:val="clear" w:color="auto" w:fill="auto"/>
            <w:noWrap/>
            <w:vAlign w:val="center"/>
            <w:hideMark/>
          </w:tcPr>
          <w:p w14:paraId="78F7F207"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Share in the profit of associates</w:t>
            </w:r>
          </w:p>
        </w:tc>
        <w:tc>
          <w:tcPr>
            <w:tcW w:w="960" w:type="dxa"/>
            <w:tcBorders>
              <w:top w:val="nil"/>
              <w:left w:val="nil"/>
              <w:bottom w:val="nil"/>
              <w:right w:val="nil"/>
            </w:tcBorders>
            <w:shd w:val="clear" w:color="auto" w:fill="auto"/>
            <w:noWrap/>
            <w:vAlign w:val="center"/>
            <w:hideMark/>
          </w:tcPr>
          <w:p w14:paraId="5B0CF2FF"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24</w:t>
            </w:r>
          </w:p>
        </w:tc>
        <w:tc>
          <w:tcPr>
            <w:tcW w:w="222" w:type="dxa"/>
            <w:tcBorders>
              <w:top w:val="nil"/>
              <w:left w:val="nil"/>
              <w:bottom w:val="nil"/>
              <w:right w:val="nil"/>
            </w:tcBorders>
            <w:shd w:val="clear" w:color="auto" w:fill="auto"/>
            <w:noWrap/>
            <w:vAlign w:val="bottom"/>
            <w:hideMark/>
          </w:tcPr>
          <w:p w14:paraId="1AD3159A"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2EF07D2D"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center"/>
            <w:hideMark/>
          </w:tcPr>
          <w:p w14:paraId="5AFF0515"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0472D963"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6F0BF1D5" w14:textId="77777777" w:rsidTr="002B6B59">
        <w:trPr>
          <w:trHeight w:val="300"/>
        </w:trPr>
        <w:tc>
          <w:tcPr>
            <w:tcW w:w="3420" w:type="dxa"/>
            <w:tcBorders>
              <w:top w:val="nil"/>
              <w:left w:val="nil"/>
              <w:bottom w:val="nil"/>
              <w:right w:val="nil"/>
            </w:tcBorders>
            <w:shd w:val="clear" w:color="auto" w:fill="auto"/>
            <w:noWrap/>
            <w:vAlign w:val="center"/>
            <w:hideMark/>
          </w:tcPr>
          <w:p w14:paraId="3C260C15"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 xml:space="preserve">Impairment losses on financial assets, net </w:t>
            </w:r>
          </w:p>
        </w:tc>
        <w:tc>
          <w:tcPr>
            <w:tcW w:w="960" w:type="dxa"/>
            <w:tcBorders>
              <w:top w:val="nil"/>
              <w:left w:val="nil"/>
              <w:bottom w:val="nil"/>
              <w:right w:val="nil"/>
            </w:tcBorders>
            <w:shd w:val="clear" w:color="auto" w:fill="auto"/>
            <w:noWrap/>
            <w:vAlign w:val="center"/>
            <w:hideMark/>
          </w:tcPr>
          <w:p w14:paraId="1AAA5613"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12</w:t>
            </w:r>
          </w:p>
        </w:tc>
        <w:tc>
          <w:tcPr>
            <w:tcW w:w="222" w:type="dxa"/>
            <w:tcBorders>
              <w:top w:val="nil"/>
              <w:left w:val="nil"/>
              <w:bottom w:val="nil"/>
              <w:right w:val="nil"/>
            </w:tcBorders>
            <w:shd w:val="clear" w:color="auto" w:fill="auto"/>
            <w:noWrap/>
            <w:vAlign w:val="bottom"/>
            <w:hideMark/>
          </w:tcPr>
          <w:p w14:paraId="13B4E595"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1DD82DF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(1.234.098)</w:t>
            </w:r>
          </w:p>
        </w:tc>
        <w:tc>
          <w:tcPr>
            <w:tcW w:w="222" w:type="dxa"/>
            <w:tcBorders>
              <w:top w:val="nil"/>
              <w:left w:val="nil"/>
              <w:bottom w:val="nil"/>
              <w:right w:val="nil"/>
            </w:tcBorders>
            <w:shd w:val="clear" w:color="auto" w:fill="auto"/>
            <w:noWrap/>
            <w:vAlign w:val="center"/>
            <w:hideMark/>
          </w:tcPr>
          <w:p w14:paraId="09683659"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7DF9B11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(772.417)</w:t>
            </w:r>
          </w:p>
        </w:tc>
      </w:tr>
      <w:tr w:rsidR="002B6B59" w:rsidRPr="002B6B59" w14:paraId="47C867E7" w14:textId="77777777" w:rsidTr="002B6B59">
        <w:trPr>
          <w:trHeight w:val="300"/>
        </w:trPr>
        <w:tc>
          <w:tcPr>
            <w:tcW w:w="3420" w:type="dxa"/>
            <w:tcBorders>
              <w:top w:val="nil"/>
              <w:left w:val="nil"/>
              <w:bottom w:val="nil"/>
              <w:right w:val="nil"/>
            </w:tcBorders>
            <w:shd w:val="clear" w:color="auto" w:fill="auto"/>
            <w:noWrap/>
            <w:vAlign w:val="center"/>
            <w:hideMark/>
          </w:tcPr>
          <w:p w14:paraId="38496BFE"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Impairment losses on non-financial assets, net</w:t>
            </w:r>
          </w:p>
        </w:tc>
        <w:tc>
          <w:tcPr>
            <w:tcW w:w="960" w:type="dxa"/>
            <w:tcBorders>
              <w:top w:val="nil"/>
              <w:left w:val="nil"/>
              <w:bottom w:val="nil"/>
              <w:right w:val="nil"/>
            </w:tcBorders>
            <w:shd w:val="clear" w:color="auto" w:fill="auto"/>
            <w:noWrap/>
            <w:vAlign w:val="center"/>
            <w:hideMark/>
          </w:tcPr>
          <w:p w14:paraId="73C0D399"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13</w:t>
            </w:r>
          </w:p>
        </w:tc>
        <w:tc>
          <w:tcPr>
            <w:tcW w:w="222" w:type="dxa"/>
            <w:tcBorders>
              <w:top w:val="nil"/>
              <w:left w:val="nil"/>
              <w:bottom w:val="nil"/>
              <w:right w:val="nil"/>
            </w:tcBorders>
            <w:shd w:val="clear" w:color="auto" w:fill="auto"/>
            <w:noWrap/>
            <w:vAlign w:val="bottom"/>
            <w:hideMark/>
          </w:tcPr>
          <w:p w14:paraId="47829D1A"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78D1C67C"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(27.112)</w:t>
            </w:r>
          </w:p>
        </w:tc>
        <w:tc>
          <w:tcPr>
            <w:tcW w:w="222" w:type="dxa"/>
            <w:tcBorders>
              <w:top w:val="nil"/>
              <w:left w:val="nil"/>
              <w:bottom w:val="nil"/>
              <w:right w:val="nil"/>
            </w:tcBorders>
            <w:shd w:val="clear" w:color="auto" w:fill="auto"/>
            <w:noWrap/>
            <w:vAlign w:val="center"/>
            <w:hideMark/>
          </w:tcPr>
          <w:p w14:paraId="22B86D4C"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1845C5F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65.774 </w:t>
            </w:r>
          </w:p>
        </w:tc>
      </w:tr>
      <w:tr w:rsidR="002B6B59" w:rsidRPr="002B6B59" w14:paraId="2A0D2F3A" w14:textId="77777777" w:rsidTr="002B6B59">
        <w:trPr>
          <w:trHeight w:val="300"/>
        </w:trPr>
        <w:tc>
          <w:tcPr>
            <w:tcW w:w="3420" w:type="dxa"/>
            <w:tcBorders>
              <w:top w:val="nil"/>
              <w:left w:val="nil"/>
              <w:bottom w:val="nil"/>
              <w:right w:val="nil"/>
            </w:tcBorders>
            <w:shd w:val="clear" w:color="auto" w:fill="auto"/>
            <w:noWrap/>
            <w:vAlign w:val="center"/>
            <w:hideMark/>
          </w:tcPr>
          <w:p w14:paraId="6E46D438"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Personnel expenses</w:t>
            </w:r>
          </w:p>
        </w:tc>
        <w:tc>
          <w:tcPr>
            <w:tcW w:w="960" w:type="dxa"/>
            <w:tcBorders>
              <w:top w:val="nil"/>
              <w:left w:val="nil"/>
              <w:bottom w:val="nil"/>
              <w:right w:val="nil"/>
            </w:tcBorders>
            <w:shd w:val="clear" w:color="auto" w:fill="auto"/>
            <w:noWrap/>
            <w:vAlign w:val="center"/>
            <w:hideMark/>
          </w:tcPr>
          <w:p w14:paraId="2E48573D"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14</w:t>
            </w:r>
          </w:p>
        </w:tc>
        <w:tc>
          <w:tcPr>
            <w:tcW w:w="222" w:type="dxa"/>
            <w:tcBorders>
              <w:top w:val="nil"/>
              <w:left w:val="nil"/>
              <w:bottom w:val="nil"/>
              <w:right w:val="nil"/>
            </w:tcBorders>
            <w:shd w:val="clear" w:color="auto" w:fill="auto"/>
            <w:noWrap/>
            <w:vAlign w:val="bottom"/>
            <w:hideMark/>
          </w:tcPr>
          <w:p w14:paraId="28479268"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5CC8720D"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(962.641)</w:t>
            </w:r>
          </w:p>
        </w:tc>
        <w:tc>
          <w:tcPr>
            <w:tcW w:w="222" w:type="dxa"/>
            <w:tcBorders>
              <w:top w:val="nil"/>
              <w:left w:val="nil"/>
              <w:bottom w:val="nil"/>
              <w:right w:val="nil"/>
            </w:tcBorders>
            <w:shd w:val="clear" w:color="auto" w:fill="auto"/>
            <w:noWrap/>
            <w:vAlign w:val="center"/>
            <w:hideMark/>
          </w:tcPr>
          <w:p w14:paraId="10CC4780"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07DFA6C3"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(890.490)</w:t>
            </w:r>
          </w:p>
        </w:tc>
      </w:tr>
      <w:tr w:rsidR="002B6B59" w:rsidRPr="002B6B59" w14:paraId="0CBE4632" w14:textId="77777777" w:rsidTr="002B6B59">
        <w:trPr>
          <w:trHeight w:val="300"/>
        </w:trPr>
        <w:tc>
          <w:tcPr>
            <w:tcW w:w="3420" w:type="dxa"/>
            <w:tcBorders>
              <w:top w:val="nil"/>
              <w:left w:val="nil"/>
              <w:bottom w:val="nil"/>
              <w:right w:val="nil"/>
            </w:tcBorders>
            <w:shd w:val="clear" w:color="auto" w:fill="auto"/>
            <w:noWrap/>
            <w:vAlign w:val="center"/>
            <w:hideMark/>
          </w:tcPr>
          <w:p w14:paraId="56D99A3D"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Depreciation and amortization</w:t>
            </w:r>
          </w:p>
        </w:tc>
        <w:tc>
          <w:tcPr>
            <w:tcW w:w="960" w:type="dxa"/>
            <w:tcBorders>
              <w:top w:val="nil"/>
              <w:left w:val="nil"/>
              <w:bottom w:val="nil"/>
              <w:right w:val="nil"/>
            </w:tcBorders>
            <w:shd w:val="clear" w:color="auto" w:fill="auto"/>
            <w:noWrap/>
            <w:vAlign w:val="center"/>
            <w:hideMark/>
          </w:tcPr>
          <w:p w14:paraId="74FEEBA7"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15</w:t>
            </w:r>
          </w:p>
        </w:tc>
        <w:tc>
          <w:tcPr>
            <w:tcW w:w="222" w:type="dxa"/>
            <w:tcBorders>
              <w:top w:val="nil"/>
              <w:left w:val="nil"/>
              <w:bottom w:val="nil"/>
              <w:right w:val="nil"/>
            </w:tcBorders>
            <w:shd w:val="clear" w:color="auto" w:fill="auto"/>
            <w:noWrap/>
            <w:vAlign w:val="bottom"/>
            <w:hideMark/>
          </w:tcPr>
          <w:p w14:paraId="72A3492C"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7D3AFF36"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(130.520)</w:t>
            </w:r>
          </w:p>
        </w:tc>
        <w:tc>
          <w:tcPr>
            <w:tcW w:w="222" w:type="dxa"/>
            <w:tcBorders>
              <w:top w:val="nil"/>
              <w:left w:val="nil"/>
              <w:bottom w:val="nil"/>
              <w:right w:val="nil"/>
            </w:tcBorders>
            <w:shd w:val="clear" w:color="auto" w:fill="auto"/>
            <w:noWrap/>
            <w:vAlign w:val="center"/>
            <w:hideMark/>
          </w:tcPr>
          <w:p w14:paraId="5B5DBFEA"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3698533E"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(123.372)</w:t>
            </w:r>
          </w:p>
        </w:tc>
      </w:tr>
      <w:tr w:rsidR="002B6B59" w:rsidRPr="002B6B59" w14:paraId="77147356" w14:textId="77777777" w:rsidTr="002B6B59">
        <w:trPr>
          <w:trHeight w:val="300"/>
        </w:trPr>
        <w:tc>
          <w:tcPr>
            <w:tcW w:w="3420" w:type="dxa"/>
            <w:tcBorders>
              <w:top w:val="nil"/>
              <w:left w:val="nil"/>
              <w:bottom w:val="nil"/>
              <w:right w:val="nil"/>
            </w:tcBorders>
            <w:shd w:val="clear" w:color="auto" w:fill="auto"/>
            <w:noWrap/>
            <w:vAlign w:val="center"/>
            <w:hideMark/>
          </w:tcPr>
          <w:p w14:paraId="7A97A961"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Other operating expenses</w:t>
            </w:r>
          </w:p>
        </w:tc>
        <w:tc>
          <w:tcPr>
            <w:tcW w:w="960" w:type="dxa"/>
            <w:tcBorders>
              <w:top w:val="nil"/>
              <w:left w:val="nil"/>
              <w:bottom w:val="nil"/>
              <w:right w:val="nil"/>
            </w:tcBorders>
            <w:shd w:val="clear" w:color="auto" w:fill="auto"/>
            <w:noWrap/>
            <w:vAlign w:val="center"/>
            <w:hideMark/>
          </w:tcPr>
          <w:p w14:paraId="2749D770"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16</w:t>
            </w:r>
          </w:p>
        </w:tc>
        <w:tc>
          <w:tcPr>
            <w:tcW w:w="222" w:type="dxa"/>
            <w:tcBorders>
              <w:top w:val="nil"/>
              <w:left w:val="nil"/>
              <w:bottom w:val="nil"/>
              <w:right w:val="nil"/>
            </w:tcBorders>
            <w:shd w:val="clear" w:color="auto" w:fill="auto"/>
            <w:noWrap/>
            <w:vAlign w:val="bottom"/>
            <w:hideMark/>
          </w:tcPr>
          <w:p w14:paraId="56DABE6D"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20C8342A"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(887.545)</w:t>
            </w:r>
          </w:p>
        </w:tc>
        <w:tc>
          <w:tcPr>
            <w:tcW w:w="222" w:type="dxa"/>
            <w:tcBorders>
              <w:top w:val="nil"/>
              <w:left w:val="nil"/>
              <w:bottom w:val="nil"/>
              <w:right w:val="nil"/>
            </w:tcBorders>
            <w:shd w:val="clear" w:color="auto" w:fill="auto"/>
            <w:noWrap/>
            <w:vAlign w:val="center"/>
            <w:hideMark/>
          </w:tcPr>
          <w:p w14:paraId="3B85FD8F"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1E5D29AC"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(798.796)</w:t>
            </w:r>
          </w:p>
        </w:tc>
      </w:tr>
      <w:tr w:rsidR="002B6B59" w:rsidRPr="002B6B59" w14:paraId="1A5E227C" w14:textId="77777777" w:rsidTr="002B6B59">
        <w:trPr>
          <w:trHeight w:val="300"/>
        </w:trPr>
        <w:tc>
          <w:tcPr>
            <w:tcW w:w="3420" w:type="dxa"/>
            <w:tcBorders>
              <w:top w:val="nil"/>
              <w:left w:val="nil"/>
              <w:bottom w:val="nil"/>
              <w:right w:val="nil"/>
            </w:tcBorders>
            <w:shd w:val="clear" w:color="auto" w:fill="auto"/>
            <w:noWrap/>
            <w:vAlign w:val="center"/>
            <w:hideMark/>
          </w:tcPr>
          <w:p w14:paraId="6699B1DC"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Share in the loss of associated companies</w:t>
            </w:r>
          </w:p>
        </w:tc>
        <w:tc>
          <w:tcPr>
            <w:tcW w:w="960" w:type="dxa"/>
            <w:tcBorders>
              <w:top w:val="nil"/>
              <w:left w:val="nil"/>
              <w:bottom w:val="nil"/>
              <w:right w:val="nil"/>
            </w:tcBorders>
            <w:shd w:val="clear" w:color="auto" w:fill="auto"/>
            <w:noWrap/>
            <w:vAlign w:val="center"/>
            <w:hideMark/>
          </w:tcPr>
          <w:p w14:paraId="31493C6F"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24</w:t>
            </w:r>
          </w:p>
        </w:tc>
        <w:tc>
          <w:tcPr>
            <w:tcW w:w="222" w:type="dxa"/>
            <w:tcBorders>
              <w:top w:val="nil"/>
              <w:left w:val="nil"/>
              <w:bottom w:val="nil"/>
              <w:right w:val="nil"/>
            </w:tcBorders>
            <w:shd w:val="clear" w:color="auto" w:fill="auto"/>
            <w:noWrap/>
            <w:vAlign w:val="bottom"/>
            <w:hideMark/>
          </w:tcPr>
          <w:p w14:paraId="61A03D4C"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single" w:sz="4" w:space="0" w:color="auto"/>
              <w:right w:val="nil"/>
            </w:tcBorders>
            <w:shd w:val="clear" w:color="auto" w:fill="auto"/>
            <w:noWrap/>
            <w:vAlign w:val="center"/>
            <w:hideMark/>
          </w:tcPr>
          <w:p w14:paraId="5B5C77AE"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w:t>
            </w:r>
          </w:p>
        </w:tc>
        <w:tc>
          <w:tcPr>
            <w:tcW w:w="222" w:type="dxa"/>
            <w:tcBorders>
              <w:top w:val="nil"/>
              <w:left w:val="nil"/>
              <w:bottom w:val="nil"/>
              <w:right w:val="nil"/>
            </w:tcBorders>
            <w:shd w:val="clear" w:color="auto" w:fill="auto"/>
            <w:noWrap/>
            <w:vAlign w:val="center"/>
            <w:hideMark/>
          </w:tcPr>
          <w:p w14:paraId="05683DB5"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single" w:sz="4" w:space="0" w:color="auto"/>
              <w:right w:val="nil"/>
            </w:tcBorders>
            <w:shd w:val="clear" w:color="auto" w:fill="auto"/>
            <w:noWrap/>
            <w:vAlign w:val="center"/>
            <w:hideMark/>
          </w:tcPr>
          <w:p w14:paraId="0B140706"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4C35504A" w14:textId="77777777" w:rsidTr="002B6B59">
        <w:trPr>
          <w:trHeight w:val="300"/>
        </w:trPr>
        <w:tc>
          <w:tcPr>
            <w:tcW w:w="3420" w:type="dxa"/>
            <w:tcBorders>
              <w:top w:val="nil"/>
              <w:left w:val="nil"/>
              <w:bottom w:val="nil"/>
              <w:right w:val="nil"/>
            </w:tcBorders>
            <w:shd w:val="clear" w:color="auto" w:fill="auto"/>
            <w:noWrap/>
            <w:vAlign w:val="center"/>
            <w:hideMark/>
          </w:tcPr>
          <w:p w14:paraId="285DB675"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r w:rsidRPr="002B6B59">
              <w:rPr>
                <w:rFonts w:ascii="Times New Roman" w:eastAsia="Times New Roman" w:hAnsi="Times New Roman"/>
                <w:b/>
                <w:bCs/>
                <w:sz w:val="21"/>
                <w:szCs w:val="21"/>
                <w:lang w:val="en-GB" w:eastAsia="mk-MK"/>
              </w:rPr>
              <w:t xml:space="preserve">Profit before tax </w:t>
            </w:r>
          </w:p>
        </w:tc>
        <w:tc>
          <w:tcPr>
            <w:tcW w:w="960" w:type="dxa"/>
            <w:tcBorders>
              <w:top w:val="nil"/>
              <w:left w:val="nil"/>
              <w:bottom w:val="nil"/>
              <w:right w:val="nil"/>
            </w:tcBorders>
            <w:shd w:val="clear" w:color="auto" w:fill="auto"/>
            <w:noWrap/>
            <w:vAlign w:val="center"/>
            <w:hideMark/>
          </w:tcPr>
          <w:p w14:paraId="2E2D5DF4"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p>
        </w:tc>
        <w:tc>
          <w:tcPr>
            <w:tcW w:w="222" w:type="dxa"/>
            <w:tcBorders>
              <w:top w:val="nil"/>
              <w:left w:val="nil"/>
              <w:bottom w:val="nil"/>
              <w:right w:val="nil"/>
            </w:tcBorders>
            <w:shd w:val="clear" w:color="auto" w:fill="auto"/>
            <w:noWrap/>
            <w:vAlign w:val="bottom"/>
            <w:hideMark/>
          </w:tcPr>
          <w:p w14:paraId="1D7A1D01"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70B76E27"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center"/>
            <w:hideMark/>
          </w:tcPr>
          <w:p w14:paraId="4809B040"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36BB5840"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r>
      <w:tr w:rsidR="002B6B59" w:rsidRPr="002B6B59" w14:paraId="42FB4FBF" w14:textId="77777777" w:rsidTr="002B6B59">
        <w:trPr>
          <w:trHeight w:val="300"/>
        </w:trPr>
        <w:tc>
          <w:tcPr>
            <w:tcW w:w="3420" w:type="dxa"/>
            <w:tcBorders>
              <w:top w:val="nil"/>
              <w:left w:val="nil"/>
              <w:bottom w:val="nil"/>
              <w:right w:val="nil"/>
            </w:tcBorders>
            <w:shd w:val="clear" w:color="auto" w:fill="auto"/>
            <w:noWrap/>
            <w:vAlign w:val="center"/>
            <w:hideMark/>
          </w:tcPr>
          <w:p w14:paraId="3455F3D6"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960" w:type="dxa"/>
            <w:tcBorders>
              <w:top w:val="nil"/>
              <w:left w:val="nil"/>
              <w:bottom w:val="nil"/>
              <w:right w:val="nil"/>
            </w:tcBorders>
            <w:shd w:val="clear" w:color="auto" w:fill="auto"/>
            <w:noWrap/>
            <w:vAlign w:val="center"/>
            <w:hideMark/>
          </w:tcPr>
          <w:p w14:paraId="6078211F"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7B9B8DEE"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19A0E457"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2.613.840 </w:t>
            </w:r>
          </w:p>
        </w:tc>
        <w:tc>
          <w:tcPr>
            <w:tcW w:w="222" w:type="dxa"/>
            <w:tcBorders>
              <w:top w:val="nil"/>
              <w:left w:val="nil"/>
              <w:bottom w:val="nil"/>
              <w:right w:val="nil"/>
            </w:tcBorders>
            <w:shd w:val="clear" w:color="auto" w:fill="auto"/>
            <w:noWrap/>
            <w:vAlign w:val="center"/>
            <w:hideMark/>
          </w:tcPr>
          <w:p w14:paraId="4C64A144"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1300" w:type="dxa"/>
            <w:tcBorders>
              <w:top w:val="nil"/>
              <w:left w:val="nil"/>
              <w:bottom w:val="nil"/>
              <w:right w:val="nil"/>
            </w:tcBorders>
            <w:shd w:val="clear" w:color="auto" w:fill="auto"/>
            <w:noWrap/>
            <w:vAlign w:val="center"/>
            <w:hideMark/>
          </w:tcPr>
          <w:p w14:paraId="4B8B885E"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2.728.833 </w:t>
            </w:r>
          </w:p>
        </w:tc>
      </w:tr>
      <w:tr w:rsidR="002B6B59" w:rsidRPr="002B6B59" w14:paraId="19BF9483" w14:textId="77777777" w:rsidTr="002B6B59">
        <w:trPr>
          <w:trHeight w:val="300"/>
        </w:trPr>
        <w:tc>
          <w:tcPr>
            <w:tcW w:w="3420" w:type="dxa"/>
            <w:tcBorders>
              <w:top w:val="nil"/>
              <w:left w:val="nil"/>
              <w:bottom w:val="nil"/>
              <w:right w:val="nil"/>
            </w:tcBorders>
            <w:shd w:val="clear" w:color="auto" w:fill="auto"/>
            <w:noWrap/>
            <w:vAlign w:val="bottom"/>
            <w:hideMark/>
          </w:tcPr>
          <w:p w14:paraId="3E2F24CF"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960" w:type="dxa"/>
            <w:tcBorders>
              <w:top w:val="nil"/>
              <w:left w:val="nil"/>
              <w:bottom w:val="nil"/>
              <w:right w:val="nil"/>
            </w:tcBorders>
            <w:shd w:val="clear" w:color="auto" w:fill="auto"/>
            <w:noWrap/>
            <w:vAlign w:val="center"/>
            <w:hideMark/>
          </w:tcPr>
          <w:p w14:paraId="31A3EB8C"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7890253C"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4CF164A9"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center"/>
            <w:hideMark/>
          </w:tcPr>
          <w:p w14:paraId="63AF769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5D657ED5"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r>
      <w:tr w:rsidR="002B6B59" w:rsidRPr="002B6B59" w14:paraId="707B0D5A" w14:textId="77777777" w:rsidTr="002B6B59">
        <w:trPr>
          <w:trHeight w:val="300"/>
        </w:trPr>
        <w:tc>
          <w:tcPr>
            <w:tcW w:w="3420" w:type="dxa"/>
            <w:tcBorders>
              <w:top w:val="nil"/>
              <w:left w:val="nil"/>
              <w:bottom w:val="nil"/>
              <w:right w:val="nil"/>
            </w:tcBorders>
            <w:shd w:val="clear" w:color="auto" w:fill="auto"/>
            <w:noWrap/>
            <w:vAlign w:val="center"/>
            <w:hideMark/>
          </w:tcPr>
          <w:p w14:paraId="65B124FA"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Income tax</w:t>
            </w:r>
          </w:p>
        </w:tc>
        <w:tc>
          <w:tcPr>
            <w:tcW w:w="960" w:type="dxa"/>
            <w:tcBorders>
              <w:top w:val="nil"/>
              <w:left w:val="nil"/>
              <w:bottom w:val="nil"/>
              <w:right w:val="nil"/>
            </w:tcBorders>
            <w:shd w:val="clear" w:color="auto" w:fill="auto"/>
            <w:noWrap/>
            <w:vAlign w:val="center"/>
            <w:hideMark/>
          </w:tcPr>
          <w:p w14:paraId="57E47E49" w14:textId="77777777" w:rsidR="002B6B59" w:rsidRPr="002B6B59" w:rsidRDefault="002B6B59" w:rsidP="00E4741F">
            <w:pPr>
              <w:spacing w:after="0" w:line="240" w:lineRule="auto"/>
              <w:jc w:val="center"/>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17</w:t>
            </w:r>
          </w:p>
        </w:tc>
        <w:tc>
          <w:tcPr>
            <w:tcW w:w="222" w:type="dxa"/>
            <w:tcBorders>
              <w:top w:val="nil"/>
              <w:left w:val="nil"/>
              <w:bottom w:val="nil"/>
              <w:right w:val="nil"/>
            </w:tcBorders>
            <w:shd w:val="clear" w:color="auto" w:fill="auto"/>
            <w:noWrap/>
            <w:vAlign w:val="bottom"/>
            <w:hideMark/>
          </w:tcPr>
          <w:p w14:paraId="73CD8CD6" w14:textId="77777777" w:rsidR="002B6B59" w:rsidRPr="002B6B59" w:rsidRDefault="002B6B59" w:rsidP="00E4741F">
            <w:pPr>
              <w:spacing w:after="0" w:line="240" w:lineRule="auto"/>
              <w:jc w:val="center"/>
              <w:rPr>
                <w:rFonts w:ascii="Times New Roman" w:eastAsia="Times New Roman" w:hAnsi="Times New Roman"/>
                <w:b/>
                <w:bCs/>
                <w:sz w:val="21"/>
                <w:szCs w:val="21"/>
                <w:lang w:val="mk-MK" w:eastAsia="mk-MK"/>
              </w:rPr>
            </w:pPr>
          </w:p>
        </w:tc>
        <w:tc>
          <w:tcPr>
            <w:tcW w:w="1600" w:type="dxa"/>
            <w:tcBorders>
              <w:top w:val="nil"/>
              <w:left w:val="nil"/>
              <w:bottom w:val="single" w:sz="4" w:space="0" w:color="auto"/>
              <w:right w:val="nil"/>
            </w:tcBorders>
            <w:shd w:val="clear" w:color="auto" w:fill="auto"/>
            <w:noWrap/>
            <w:vAlign w:val="center"/>
            <w:hideMark/>
          </w:tcPr>
          <w:p w14:paraId="2FA0D12C"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(242.162)</w:t>
            </w:r>
          </w:p>
        </w:tc>
        <w:tc>
          <w:tcPr>
            <w:tcW w:w="222" w:type="dxa"/>
            <w:tcBorders>
              <w:top w:val="nil"/>
              <w:left w:val="nil"/>
              <w:bottom w:val="nil"/>
              <w:right w:val="nil"/>
            </w:tcBorders>
            <w:shd w:val="clear" w:color="auto" w:fill="auto"/>
            <w:noWrap/>
            <w:vAlign w:val="center"/>
            <w:hideMark/>
          </w:tcPr>
          <w:p w14:paraId="47856052"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1300" w:type="dxa"/>
            <w:tcBorders>
              <w:top w:val="nil"/>
              <w:left w:val="nil"/>
              <w:bottom w:val="single" w:sz="4" w:space="0" w:color="auto"/>
              <w:right w:val="nil"/>
            </w:tcBorders>
            <w:shd w:val="clear" w:color="auto" w:fill="auto"/>
            <w:noWrap/>
            <w:vAlign w:val="center"/>
            <w:hideMark/>
          </w:tcPr>
          <w:p w14:paraId="62CD13BC"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(262.877)</w:t>
            </w:r>
          </w:p>
        </w:tc>
      </w:tr>
      <w:tr w:rsidR="002B6B59" w:rsidRPr="002B6B59" w14:paraId="4407E349" w14:textId="77777777" w:rsidTr="002B6B59">
        <w:trPr>
          <w:trHeight w:val="300"/>
        </w:trPr>
        <w:tc>
          <w:tcPr>
            <w:tcW w:w="3420" w:type="dxa"/>
            <w:tcBorders>
              <w:top w:val="nil"/>
              <w:left w:val="nil"/>
              <w:bottom w:val="nil"/>
              <w:right w:val="nil"/>
            </w:tcBorders>
            <w:shd w:val="clear" w:color="auto" w:fill="auto"/>
            <w:noWrap/>
            <w:vAlign w:val="bottom"/>
            <w:hideMark/>
          </w:tcPr>
          <w:p w14:paraId="3BBC31C7"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960" w:type="dxa"/>
            <w:tcBorders>
              <w:top w:val="nil"/>
              <w:left w:val="nil"/>
              <w:bottom w:val="nil"/>
              <w:right w:val="nil"/>
            </w:tcBorders>
            <w:shd w:val="clear" w:color="auto" w:fill="auto"/>
            <w:noWrap/>
            <w:vAlign w:val="center"/>
            <w:hideMark/>
          </w:tcPr>
          <w:p w14:paraId="3DCE7157" w14:textId="77777777" w:rsidR="002B6B59" w:rsidRPr="002B6B59" w:rsidRDefault="002B6B59" w:rsidP="00E4741F">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bottom"/>
            <w:hideMark/>
          </w:tcPr>
          <w:p w14:paraId="33DEEC79"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0A22BDF2"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noWrap/>
            <w:vAlign w:val="center"/>
            <w:hideMark/>
          </w:tcPr>
          <w:p w14:paraId="71DD942C"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5C8A6314"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r>
      <w:tr w:rsidR="002B6B59" w:rsidRPr="002B6B59" w14:paraId="4E9A584E" w14:textId="77777777" w:rsidTr="002B6B59">
        <w:trPr>
          <w:trHeight w:val="300"/>
        </w:trPr>
        <w:tc>
          <w:tcPr>
            <w:tcW w:w="3420" w:type="dxa"/>
            <w:tcBorders>
              <w:top w:val="nil"/>
              <w:left w:val="nil"/>
              <w:bottom w:val="nil"/>
              <w:right w:val="nil"/>
            </w:tcBorders>
            <w:shd w:val="clear" w:color="auto" w:fill="auto"/>
            <w:noWrap/>
            <w:vAlign w:val="center"/>
            <w:hideMark/>
          </w:tcPr>
          <w:p w14:paraId="7DA74C5F"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r w:rsidRPr="002B6B59">
              <w:rPr>
                <w:rFonts w:ascii="Times New Roman" w:eastAsia="Times New Roman" w:hAnsi="Times New Roman"/>
                <w:b/>
                <w:bCs/>
                <w:sz w:val="21"/>
                <w:szCs w:val="21"/>
                <w:lang w:val="en-GB" w:eastAsia="mk-MK"/>
              </w:rPr>
              <w:t>Net profit for the year</w:t>
            </w:r>
          </w:p>
        </w:tc>
        <w:tc>
          <w:tcPr>
            <w:tcW w:w="960" w:type="dxa"/>
            <w:tcBorders>
              <w:top w:val="nil"/>
              <w:left w:val="nil"/>
              <w:bottom w:val="nil"/>
              <w:right w:val="nil"/>
            </w:tcBorders>
            <w:shd w:val="clear" w:color="auto" w:fill="auto"/>
            <w:noWrap/>
            <w:vAlign w:val="center"/>
            <w:hideMark/>
          </w:tcPr>
          <w:p w14:paraId="1629C516"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p>
        </w:tc>
        <w:tc>
          <w:tcPr>
            <w:tcW w:w="222" w:type="dxa"/>
            <w:tcBorders>
              <w:top w:val="nil"/>
              <w:left w:val="nil"/>
              <w:bottom w:val="nil"/>
              <w:right w:val="nil"/>
            </w:tcBorders>
            <w:shd w:val="clear" w:color="auto" w:fill="auto"/>
            <w:noWrap/>
            <w:vAlign w:val="bottom"/>
            <w:hideMark/>
          </w:tcPr>
          <w:p w14:paraId="5B7A981C"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double" w:sz="6" w:space="0" w:color="auto"/>
              <w:right w:val="nil"/>
            </w:tcBorders>
            <w:shd w:val="clear" w:color="auto" w:fill="auto"/>
            <w:noWrap/>
            <w:vAlign w:val="center"/>
            <w:hideMark/>
          </w:tcPr>
          <w:p w14:paraId="092A5014"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2.371.678 </w:t>
            </w:r>
          </w:p>
        </w:tc>
        <w:tc>
          <w:tcPr>
            <w:tcW w:w="222" w:type="dxa"/>
            <w:tcBorders>
              <w:top w:val="nil"/>
              <w:left w:val="nil"/>
              <w:bottom w:val="nil"/>
              <w:right w:val="nil"/>
            </w:tcBorders>
            <w:shd w:val="clear" w:color="auto" w:fill="auto"/>
            <w:noWrap/>
            <w:vAlign w:val="center"/>
            <w:hideMark/>
          </w:tcPr>
          <w:p w14:paraId="374EC3F1"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1300" w:type="dxa"/>
            <w:tcBorders>
              <w:top w:val="nil"/>
              <w:left w:val="nil"/>
              <w:bottom w:val="double" w:sz="6" w:space="0" w:color="auto"/>
              <w:right w:val="nil"/>
            </w:tcBorders>
            <w:shd w:val="clear" w:color="auto" w:fill="auto"/>
            <w:noWrap/>
            <w:vAlign w:val="center"/>
            <w:hideMark/>
          </w:tcPr>
          <w:p w14:paraId="63BFC2A0"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2.465.956 </w:t>
            </w:r>
          </w:p>
        </w:tc>
      </w:tr>
    </w:tbl>
    <w:p w14:paraId="123A7C8F" w14:textId="77777777" w:rsidR="002B6B59" w:rsidRPr="00DD11F7" w:rsidRDefault="002B6B59" w:rsidP="002B6B59">
      <w:pPr>
        <w:autoSpaceDE w:val="0"/>
        <w:autoSpaceDN w:val="0"/>
        <w:adjustRightInd w:val="0"/>
        <w:spacing w:after="0"/>
        <w:jc w:val="both"/>
        <w:rPr>
          <w:rFonts w:ascii="Times New Roman" w:eastAsia="Times New Roman" w:hAnsi="Times New Roman"/>
          <w:sz w:val="24"/>
          <w:szCs w:val="24"/>
          <w:lang w:val="mk-MK"/>
        </w:rPr>
      </w:pPr>
    </w:p>
    <w:p w14:paraId="68C933B7" w14:textId="77777777" w:rsidR="002B6B59" w:rsidRPr="00DD11F7" w:rsidRDefault="002B6B59" w:rsidP="002B6B59">
      <w:pPr>
        <w:autoSpaceDE w:val="0"/>
        <w:autoSpaceDN w:val="0"/>
        <w:adjustRightInd w:val="0"/>
        <w:spacing w:after="0"/>
        <w:jc w:val="both"/>
        <w:rPr>
          <w:rFonts w:ascii="Times New Roman" w:eastAsia="Times New Roman" w:hAnsi="Times New Roman"/>
          <w:sz w:val="24"/>
          <w:szCs w:val="24"/>
          <w:lang w:val="mk-MK"/>
        </w:rPr>
      </w:pPr>
    </w:p>
    <w:tbl>
      <w:tblPr>
        <w:tblW w:w="8031" w:type="dxa"/>
        <w:tblLook w:val="04A0" w:firstRow="1" w:lastRow="0" w:firstColumn="1" w:lastColumn="0" w:noHBand="0" w:noVBand="1"/>
      </w:tblPr>
      <w:tblGrid>
        <w:gridCol w:w="3510"/>
        <w:gridCol w:w="1000"/>
        <w:gridCol w:w="222"/>
        <w:gridCol w:w="1380"/>
        <w:gridCol w:w="222"/>
        <w:gridCol w:w="1697"/>
      </w:tblGrid>
      <w:tr w:rsidR="002B6B59" w:rsidRPr="002B6B59" w14:paraId="56C06F45" w14:textId="77777777" w:rsidTr="002B6B59">
        <w:trPr>
          <w:trHeight w:val="300"/>
        </w:trPr>
        <w:tc>
          <w:tcPr>
            <w:tcW w:w="8031" w:type="dxa"/>
            <w:gridSpan w:val="6"/>
            <w:tcBorders>
              <w:top w:val="nil"/>
              <w:left w:val="nil"/>
              <w:bottom w:val="nil"/>
              <w:right w:val="nil"/>
            </w:tcBorders>
            <w:shd w:val="clear" w:color="auto" w:fill="auto"/>
            <w:noWrap/>
            <w:vAlign w:val="bottom"/>
            <w:hideMark/>
          </w:tcPr>
          <w:p w14:paraId="09D1F569" w14:textId="77777777" w:rsidR="002B6B59" w:rsidRPr="002B6B59" w:rsidRDefault="002B6B59" w:rsidP="00E4741F">
            <w:pPr>
              <w:spacing w:after="0" w:line="240" w:lineRule="auto"/>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Balance sheet -consolidated</w:t>
            </w:r>
          </w:p>
        </w:tc>
      </w:tr>
      <w:tr w:rsidR="002B6B59" w:rsidRPr="002B6B59" w14:paraId="4826BCB9" w14:textId="77777777" w:rsidTr="002B6B59">
        <w:trPr>
          <w:trHeight w:val="300"/>
        </w:trPr>
        <w:tc>
          <w:tcPr>
            <w:tcW w:w="3510" w:type="dxa"/>
            <w:tcBorders>
              <w:top w:val="nil"/>
              <w:left w:val="nil"/>
              <w:bottom w:val="nil"/>
              <w:right w:val="nil"/>
            </w:tcBorders>
            <w:shd w:val="clear" w:color="auto" w:fill="auto"/>
            <w:vAlign w:val="bottom"/>
            <w:hideMark/>
          </w:tcPr>
          <w:p w14:paraId="2F7997C3" w14:textId="77777777" w:rsidR="002B6B59" w:rsidRPr="002B6B59" w:rsidRDefault="002B6B59" w:rsidP="00E4741F">
            <w:pPr>
              <w:spacing w:after="0" w:line="240" w:lineRule="auto"/>
              <w:rPr>
                <w:rFonts w:ascii="Times New Roman" w:eastAsia="Times New Roman" w:hAnsi="Times New Roman"/>
                <w:b/>
                <w:bCs/>
                <w:sz w:val="21"/>
                <w:szCs w:val="21"/>
                <w:lang w:val="mk-MK" w:eastAsia="mk-MK"/>
              </w:rPr>
            </w:pPr>
          </w:p>
        </w:tc>
        <w:tc>
          <w:tcPr>
            <w:tcW w:w="1000" w:type="dxa"/>
            <w:tcBorders>
              <w:top w:val="nil"/>
              <w:left w:val="nil"/>
              <w:bottom w:val="single" w:sz="8" w:space="0" w:color="auto"/>
              <w:right w:val="nil"/>
            </w:tcBorders>
            <w:shd w:val="clear" w:color="auto" w:fill="auto"/>
            <w:vAlign w:val="bottom"/>
            <w:hideMark/>
          </w:tcPr>
          <w:p w14:paraId="66BFEAAE" w14:textId="77777777" w:rsidR="002B6B59" w:rsidRPr="002B6B59" w:rsidRDefault="002B6B59" w:rsidP="00E4741F">
            <w:pPr>
              <w:spacing w:after="0" w:line="240" w:lineRule="auto"/>
              <w:jc w:val="center"/>
              <w:rPr>
                <w:rFonts w:ascii="Times New Roman" w:eastAsia="Times New Roman" w:hAnsi="Times New Roman"/>
                <w:b/>
                <w:bCs/>
                <w:sz w:val="21"/>
                <w:szCs w:val="21"/>
                <w:lang w:eastAsia="mk-MK"/>
              </w:rPr>
            </w:pPr>
            <w:r w:rsidRPr="002B6B59">
              <w:rPr>
                <w:rFonts w:ascii="Times New Roman" w:eastAsia="Times New Roman" w:hAnsi="Times New Roman"/>
                <w:b/>
                <w:bCs/>
                <w:sz w:val="21"/>
                <w:szCs w:val="21"/>
                <w:lang w:eastAsia="mk-MK"/>
              </w:rPr>
              <w:t>Note</w:t>
            </w:r>
          </w:p>
        </w:tc>
        <w:tc>
          <w:tcPr>
            <w:tcW w:w="222" w:type="dxa"/>
            <w:tcBorders>
              <w:top w:val="nil"/>
              <w:left w:val="nil"/>
              <w:bottom w:val="nil"/>
              <w:right w:val="nil"/>
            </w:tcBorders>
            <w:shd w:val="clear" w:color="auto" w:fill="auto"/>
            <w:vAlign w:val="bottom"/>
            <w:hideMark/>
          </w:tcPr>
          <w:p w14:paraId="6B9B030E" w14:textId="77777777" w:rsidR="002B6B59" w:rsidRPr="002B6B59" w:rsidRDefault="002B6B59" w:rsidP="00E4741F">
            <w:pPr>
              <w:spacing w:after="0" w:line="240" w:lineRule="auto"/>
              <w:jc w:val="center"/>
              <w:rPr>
                <w:rFonts w:ascii="Times New Roman" w:eastAsia="Times New Roman" w:hAnsi="Times New Roman"/>
                <w:b/>
                <w:bCs/>
                <w:sz w:val="21"/>
                <w:szCs w:val="21"/>
                <w:lang w:val="mk-MK" w:eastAsia="mk-MK"/>
              </w:rPr>
            </w:pPr>
          </w:p>
        </w:tc>
        <w:tc>
          <w:tcPr>
            <w:tcW w:w="1380" w:type="dxa"/>
            <w:tcBorders>
              <w:top w:val="nil"/>
              <w:left w:val="nil"/>
              <w:bottom w:val="single" w:sz="8" w:space="0" w:color="auto"/>
              <w:right w:val="nil"/>
            </w:tcBorders>
            <w:shd w:val="clear" w:color="auto" w:fill="auto"/>
            <w:vAlign w:val="bottom"/>
            <w:hideMark/>
          </w:tcPr>
          <w:p w14:paraId="34D114DE"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2022</w:t>
            </w:r>
          </w:p>
        </w:tc>
        <w:tc>
          <w:tcPr>
            <w:tcW w:w="222" w:type="dxa"/>
            <w:tcBorders>
              <w:top w:val="nil"/>
              <w:left w:val="nil"/>
              <w:bottom w:val="nil"/>
              <w:right w:val="nil"/>
            </w:tcBorders>
            <w:shd w:val="clear" w:color="auto" w:fill="auto"/>
            <w:vAlign w:val="bottom"/>
            <w:hideMark/>
          </w:tcPr>
          <w:p w14:paraId="541A47F6"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696" w:type="dxa"/>
            <w:tcBorders>
              <w:top w:val="nil"/>
              <w:left w:val="nil"/>
              <w:bottom w:val="single" w:sz="8" w:space="0" w:color="auto"/>
              <w:right w:val="nil"/>
            </w:tcBorders>
            <w:shd w:val="clear" w:color="auto" w:fill="auto"/>
            <w:vAlign w:val="bottom"/>
            <w:hideMark/>
          </w:tcPr>
          <w:p w14:paraId="0F4794DE"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2021</w:t>
            </w:r>
          </w:p>
        </w:tc>
      </w:tr>
      <w:tr w:rsidR="002B6B59" w:rsidRPr="002B6B59" w14:paraId="0019DFDA" w14:textId="77777777" w:rsidTr="002B6B59">
        <w:trPr>
          <w:trHeight w:val="300"/>
        </w:trPr>
        <w:tc>
          <w:tcPr>
            <w:tcW w:w="3510" w:type="dxa"/>
            <w:tcBorders>
              <w:top w:val="nil"/>
              <w:left w:val="nil"/>
              <w:bottom w:val="nil"/>
              <w:right w:val="nil"/>
            </w:tcBorders>
            <w:shd w:val="clear" w:color="auto" w:fill="auto"/>
            <w:vAlign w:val="bottom"/>
            <w:hideMark/>
          </w:tcPr>
          <w:p w14:paraId="1122E844"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000" w:type="dxa"/>
            <w:tcBorders>
              <w:top w:val="nil"/>
              <w:left w:val="nil"/>
              <w:bottom w:val="nil"/>
              <w:right w:val="nil"/>
            </w:tcBorders>
            <w:shd w:val="clear" w:color="auto" w:fill="auto"/>
            <w:noWrap/>
            <w:vAlign w:val="center"/>
            <w:hideMark/>
          </w:tcPr>
          <w:p w14:paraId="03353121" w14:textId="77777777" w:rsidR="002B6B59" w:rsidRPr="002B6B59" w:rsidRDefault="002B6B59" w:rsidP="00E4741F">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2AAA69D9"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bottom"/>
            <w:hideMark/>
          </w:tcPr>
          <w:p w14:paraId="66AB7FC6"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5C51CCE2"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492DE0E7"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r>
      <w:tr w:rsidR="002B6B59" w:rsidRPr="002B6B59" w14:paraId="303D866A" w14:textId="77777777" w:rsidTr="002B6B59">
        <w:trPr>
          <w:trHeight w:val="300"/>
        </w:trPr>
        <w:tc>
          <w:tcPr>
            <w:tcW w:w="3510" w:type="dxa"/>
            <w:tcBorders>
              <w:top w:val="nil"/>
              <w:left w:val="nil"/>
              <w:bottom w:val="nil"/>
              <w:right w:val="nil"/>
            </w:tcBorders>
            <w:shd w:val="clear" w:color="auto" w:fill="auto"/>
            <w:vAlign w:val="bottom"/>
            <w:hideMark/>
          </w:tcPr>
          <w:p w14:paraId="7BAD712E" w14:textId="77777777" w:rsidR="002B6B59" w:rsidRPr="002B6B59" w:rsidRDefault="002B6B59" w:rsidP="00E4741F">
            <w:pPr>
              <w:spacing w:after="0" w:line="240" w:lineRule="auto"/>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ASSETS</w:t>
            </w:r>
          </w:p>
        </w:tc>
        <w:tc>
          <w:tcPr>
            <w:tcW w:w="1000" w:type="dxa"/>
            <w:tcBorders>
              <w:top w:val="nil"/>
              <w:left w:val="nil"/>
              <w:bottom w:val="nil"/>
              <w:right w:val="nil"/>
            </w:tcBorders>
            <w:shd w:val="clear" w:color="auto" w:fill="auto"/>
            <w:noWrap/>
            <w:vAlign w:val="center"/>
            <w:hideMark/>
          </w:tcPr>
          <w:p w14:paraId="47DBDA63" w14:textId="77777777" w:rsidR="002B6B59" w:rsidRPr="002B6B59" w:rsidRDefault="002B6B59" w:rsidP="00E4741F">
            <w:pPr>
              <w:spacing w:after="0" w:line="240" w:lineRule="auto"/>
              <w:rPr>
                <w:rFonts w:ascii="Times New Roman" w:eastAsia="Times New Roman" w:hAnsi="Times New Roman"/>
                <w:b/>
                <w:bCs/>
                <w:sz w:val="21"/>
                <w:szCs w:val="21"/>
                <w:lang w:val="mk-MK" w:eastAsia="mk-MK"/>
              </w:rPr>
            </w:pPr>
          </w:p>
        </w:tc>
        <w:tc>
          <w:tcPr>
            <w:tcW w:w="222" w:type="dxa"/>
            <w:tcBorders>
              <w:top w:val="nil"/>
              <w:left w:val="nil"/>
              <w:bottom w:val="nil"/>
              <w:right w:val="nil"/>
            </w:tcBorders>
            <w:shd w:val="clear" w:color="auto" w:fill="auto"/>
            <w:vAlign w:val="bottom"/>
            <w:hideMark/>
          </w:tcPr>
          <w:p w14:paraId="5855E600"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bottom"/>
            <w:hideMark/>
          </w:tcPr>
          <w:p w14:paraId="72656643"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3711177E"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25BF200E"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r>
      <w:tr w:rsidR="002B6B59" w:rsidRPr="002B6B59" w14:paraId="352D60C9" w14:textId="77777777" w:rsidTr="002B6B59">
        <w:trPr>
          <w:trHeight w:val="300"/>
        </w:trPr>
        <w:tc>
          <w:tcPr>
            <w:tcW w:w="3510" w:type="dxa"/>
            <w:tcBorders>
              <w:top w:val="nil"/>
              <w:left w:val="nil"/>
              <w:bottom w:val="nil"/>
              <w:right w:val="nil"/>
            </w:tcBorders>
            <w:shd w:val="clear" w:color="auto" w:fill="auto"/>
            <w:vAlign w:val="center"/>
            <w:hideMark/>
          </w:tcPr>
          <w:p w14:paraId="435A555E"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Cash and cash equivalents</w:t>
            </w:r>
          </w:p>
        </w:tc>
        <w:tc>
          <w:tcPr>
            <w:tcW w:w="1000" w:type="dxa"/>
            <w:tcBorders>
              <w:top w:val="nil"/>
              <w:left w:val="nil"/>
              <w:bottom w:val="nil"/>
              <w:right w:val="nil"/>
            </w:tcBorders>
            <w:shd w:val="clear" w:color="auto" w:fill="auto"/>
            <w:noWrap/>
            <w:vAlign w:val="center"/>
            <w:hideMark/>
          </w:tcPr>
          <w:p w14:paraId="7B89CE36"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18</w:t>
            </w:r>
          </w:p>
        </w:tc>
        <w:tc>
          <w:tcPr>
            <w:tcW w:w="222" w:type="dxa"/>
            <w:tcBorders>
              <w:top w:val="nil"/>
              <w:left w:val="nil"/>
              <w:bottom w:val="nil"/>
              <w:right w:val="nil"/>
            </w:tcBorders>
            <w:shd w:val="clear" w:color="auto" w:fill="auto"/>
            <w:vAlign w:val="bottom"/>
            <w:hideMark/>
          </w:tcPr>
          <w:p w14:paraId="70B8F05D"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01EA1EA5"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22.469.444 </w:t>
            </w:r>
          </w:p>
        </w:tc>
        <w:tc>
          <w:tcPr>
            <w:tcW w:w="222" w:type="dxa"/>
            <w:tcBorders>
              <w:top w:val="nil"/>
              <w:left w:val="nil"/>
              <w:bottom w:val="nil"/>
              <w:right w:val="nil"/>
            </w:tcBorders>
            <w:shd w:val="clear" w:color="auto" w:fill="auto"/>
            <w:vAlign w:val="bottom"/>
            <w:hideMark/>
          </w:tcPr>
          <w:p w14:paraId="0DA640FD"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3E17E15C"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20.867.797 </w:t>
            </w:r>
          </w:p>
        </w:tc>
      </w:tr>
      <w:tr w:rsidR="002B6B59" w:rsidRPr="002B6B59" w14:paraId="214E5A3D" w14:textId="77777777" w:rsidTr="002B6B59">
        <w:trPr>
          <w:trHeight w:val="300"/>
        </w:trPr>
        <w:tc>
          <w:tcPr>
            <w:tcW w:w="3510" w:type="dxa"/>
            <w:tcBorders>
              <w:top w:val="nil"/>
              <w:left w:val="nil"/>
              <w:bottom w:val="nil"/>
              <w:right w:val="nil"/>
            </w:tcBorders>
            <w:shd w:val="clear" w:color="auto" w:fill="auto"/>
            <w:vAlign w:val="center"/>
            <w:hideMark/>
          </w:tcPr>
          <w:p w14:paraId="28E6DB1C"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 xml:space="preserve">Trading financial assets </w:t>
            </w:r>
          </w:p>
        </w:tc>
        <w:tc>
          <w:tcPr>
            <w:tcW w:w="1000" w:type="dxa"/>
            <w:tcBorders>
              <w:top w:val="nil"/>
              <w:left w:val="nil"/>
              <w:bottom w:val="nil"/>
              <w:right w:val="nil"/>
            </w:tcBorders>
            <w:shd w:val="clear" w:color="auto" w:fill="auto"/>
            <w:noWrap/>
            <w:vAlign w:val="center"/>
            <w:hideMark/>
          </w:tcPr>
          <w:p w14:paraId="3B707DB7"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19</w:t>
            </w:r>
          </w:p>
        </w:tc>
        <w:tc>
          <w:tcPr>
            <w:tcW w:w="222" w:type="dxa"/>
            <w:tcBorders>
              <w:top w:val="nil"/>
              <w:left w:val="nil"/>
              <w:bottom w:val="nil"/>
              <w:right w:val="nil"/>
            </w:tcBorders>
            <w:shd w:val="clear" w:color="auto" w:fill="auto"/>
            <w:vAlign w:val="bottom"/>
            <w:hideMark/>
          </w:tcPr>
          <w:p w14:paraId="6593A653"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6C60BDFA"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2.021 </w:t>
            </w:r>
          </w:p>
        </w:tc>
        <w:tc>
          <w:tcPr>
            <w:tcW w:w="222" w:type="dxa"/>
            <w:tcBorders>
              <w:top w:val="nil"/>
              <w:left w:val="nil"/>
              <w:bottom w:val="nil"/>
              <w:right w:val="nil"/>
            </w:tcBorders>
            <w:shd w:val="clear" w:color="auto" w:fill="auto"/>
            <w:vAlign w:val="bottom"/>
            <w:hideMark/>
          </w:tcPr>
          <w:p w14:paraId="56651B60"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7FD81FF1"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1.999 </w:t>
            </w:r>
          </w:p>
        </w:tc>
      </w:tr>
      <w:tr w:rsidR="002B6B59" w:rsidRPr="002B6B59" w14:paraId="0C65E815" w14:textId="77777777" w:rsidTr="002B6B59">
        <w:trPr>
          <w:trHeight w:val="570"/>
        </w:trPr>
        <w:tc>
          <w:tcPr>
            <w:tcW w:w="3510" w:type="dxa"/>
            <w:tcBorders>
              <w:top w:val="nil"/>
              <w:left w:val="nil"/>
              <w:bottom w:val="nil"/>
              <w:right w:val="nil"/>
            </w:tcBorders>
            <w:shd w:val="clear" w:color="auto" w:fill="auto"/>
            <w:vAlign w:val="center"/>
            <w:hideMark/>
          </w:tcPr>
          <w:p w14:paraId="55E88909"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lastRenderedPageBreak/>
              <w:t>Financial assets at fair value through Income Statement determined as such at initial recognition</w:t>
            </w:r>
          </w:p>
        </w:tc>
        <w:tc>
          <w:tcPr>
            <w:tcW w:w="1000" w:type="dxa"/>
            <w:tcBorders>
              <w:top w:val="nil"/>
              <w:left w:val="nil"/>
              <w:bottom w:val="nil"/>
              <w:right w:val="nil"/>
            </w:tcBorders>
            <w:shd w:val="clear" w:color="auto" w:fill="auto"/>
            <w:noWrap/>
            <w:vAlign w:val="center"/>
            <w:hideMark/>
          </w:tcPr>
          <w:p w14:paraId="54DE04EC"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20</w:t>
            </w:r>
          </w:p>
        </w:tc>
        <w:tc>
          <w:tcPr>
            <w:tcW w:w="222" w:type="dxa"/>
            <w:tcBorders>
              <w:top w:val="nil"/>
              <w:left w:val="nil"/>
              <w:bottom w:val="nil"/>
              <w:right w:val="nil"/>
            </w:tcBorders>
            <w:shd w:val="clear" w:color="auto" w:fill="auto"/>
            <w:vAlign w:val="bottom"/>
            <w:hideMark/>
          </w:tcPr>
          <w:p w14:paraId="646FA5BA"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2A35C22A"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6B6686D1"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574EFDA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7B746BC5" w14:textId="77777777" w:rsidTr="002B6B59">
        <w:trPr>
          <w:trHeight w:val="300"/>
        </w:trPr>
        <w:tc>
          <w:tcPr>
            <w:tcW w:w="3510" w:type="dxa"/>
            <w:tcBorders>
              <w:top w:val="nil"/>
              <w:left w:val="nil"/>
              <w:bottom w:val="nil"/>
              <w:right w:val="nil"/>
            </w:tcBorders>
            <w:shd w:val="clear" w:color="auto" w:fill="auto"/>
            <w:vAlign w:val="center"/>
            <w:hideMark/>
          </w:tcPr>
          <w:p w14:paraId="3C851D22"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Derivative assets held for risk management</w:t>
            </w:r>
          </w:p>
        </w:tc>
        <w:tc>
          <w:tcPr>
            <w:tcW w:w="1000" w:type="dxa"/>
            <w:tcBorders>
              <w:top w:val="nil"/>
              <w:left w:val="nil"/>
              <w:bottom w:val="nil"/>
              <w:right w:val="nil"/>
            </w:tcBorders>
            <w:shd w:val="clear" w:color="auto" w:fill="auto"/>
            <w:noWrap/>
            <w:vAlign w:val="center"/>
            <w:hideMark/>
          </w:tcPr>
          <w:p w14:paraId="59BB8155"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21</w:t>
            </w:r>
          </w:p>
        </w:tc>
        <w:tc>
          <w:tcPr>
            <w:tcW w:w="222" w:type="dxa"/>
            <w:tcBorders>
              <w:top w:val="nil"/>
              <w:left w:val="nil"/>
              <w:bottom w:val="nil"/>
              <w:right w:val="nil"/>
            </w:tcBorders>
            <w:shd w:val="clear" w:color="auto" w:fill="auto"/>
            <w:vAlign w:val="bottom"/>
            <w:hideMark/>
          </w:tcPr>
          <w:p w14:paraId="095D8DDF"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65185E61"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72E99C2E"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071994F7"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2404DDBE" w14:textId="77777777" w:rsidTr="002B6B59">
        <w:trPr>
          <w:trHeight w:val="300"/>
        </w:trPr>
        <w:tc>
          <w:tcPr>
            <w:tcW w:w="3510" w:type="dxa"/>
            <w:tcBorders>
              <w:top w:val="nil"/>
              <w:left w:val="nil"/>
              <w:bottom w:val="nil"/>
              <w:right w:val="nil"/>
            </w:tcBorders>
            <w:shd w:val="clear" w:color="auto" w:fill="auto"/>
            <w:vAlign w:val="center"/>
            <w:hideMark/>
          </w:tcPr>
          <w:p w14:paraId="3C574C91"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Placements with, and loans to banks</w:t>
            </w:r>
          </w:p>
        </w:tc>
        <w:tc>
          <w:tcPr>
            <w:tcW w:w="1000" w:type="dxa"/>
            <w:tcBorders>
              <w:top w:val="nil"/>
              <w:left w:val="nil"/>
              <w:bottom w:val="nil"/>
              <w:right w:val="nil"/>
            </w:tcBorders>
            <w:shd w:val="clear" w:color="auto" w:fill="auto"/>
            <w:noWrap/>
            <w:vAlign w:val="center"/>
            <w:hideMark/>
          </w:tcPr>
          <w:p w14:paraId="7C213502"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22.1</w:t>
            </w:r>
          </w:p>
        </w:tc>
        <w:tc>
          <w:tcPr>
            <w:tcW w:w="222" w:type="dxa"/>
            <w:tcBorders>
              <w:top w:val="nil"/>
              <w:left w:val="nil"/>
              <w:bottom w:val="nil"/>
              <w:right w:val="nil"/>
            </w:tcBorders>
            <w:shd w:val="clear" w:color="auto" w:fill="auto"/>
            <w:vAlign w:val="bottom"/>
            <w:hideMark/>
          </w:tcPr>
          <w:p w14:paraId="20FB81DE"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6BB1EA1A"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297.437 </w:t>
            </w:r>
          </w:p>
        </w:tc>
        <w:tc>
          <w:tcPr>
            <w:tcW w:w="222" w:type="dxa"/>
            <w:tcBorders>
              <w:top w:val="nil"/>
              <w:left w:val="nil"/>
              <w:bottom w:val="nil"/>
              <w:right w:val="nil"/>
            </w:tcBorders>
            <w:shd w:val="clear" w:color="auto" w:fill="auto"/>
            <w:vAlign w:val="bottom"/>
            <w:hideMark/>
          </w:tcPr>
          <w:p w14:paraId="236EDA16"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6EB1548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278.118 </w:t>
            </w:r>
          </w:p>
        </w:tc>
      </w:tr>
      <w:tr w:rsidR="002B6B59" w:rsidRPr="002B6B59" w14:paraId="47F09A75" w14:textId="77777777" w:rsidTr="002B6B59">
        <w:trPr>
          <w:trHeight w:val="300"/>
        </w:trPr>
        <w:tc>
          <w:tcPr>
            <w:tcW w:w="3510" w:type="dxa"/>
            <w:tcBorders>
              <w:top w:val="nil"/>
              <w:left w:val="nil"/>
              <w:bottom w:val="nil"/>
              <w:right w:val="nil"/>
            </w:tcBorders>
            <w:shd w:val="clear" w:color="auto" w:fill="auto"/>
            <w:vAlign w:val="center"/>
            <w:hideMark/>
          </w:tcPr>
          <w:p w14:paraId="69BB9112"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Loans to customers</w:t>
            </w:r>
          </w:p>
        </w:tc>
        <w:tc>
          <w:tcPr>
            <w:tcW w:w="1000" w:type="dxa"/>
            <w:tcBorders>
              <w:top w:val="nil"/>
              <w:left w:val="nil"/>
              <w:bottom w:val="nil"/>
              <w:right w:val="nil"/>
            </w:tcBorders>
            <w:shd w:val="clear" w:color="auto" w:fill="auto"/>
            <w:noWrap/>
            <w:vAlign w:val="center"/>
            <w:hideMark/>
          </w:tcPr>
          <w:p w14:paraId="5BB95194"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22.2</w:t>
            </w:r>
          </w:p>
        </w:tc>
        <w:tc>
          <w:tcPr>
            <w:tcW w:w="222" w:type="dxa"/>
            <w:tcBorders>
              <w:top w:val="nil"/>
              <w:left w:val="nil"/>
              <w:bottom w:val="nil"/>
              <w:right w:val="nil"/>
            </w:tcBorders>
            <w:shd w:val="clear" w:color="auto" w:fill="auto"/>
            <w:vAlign w:val="bottom"/>
            <w:hideMark/>
          </w:tcPr>
          <w:p w14:paraId="6F7B8623"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70D5D1B7"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85.916.705 </w:t>
            </w:r>
          </w:p>
        </w:tc>
        <w:tc>
          <w:tcPr>
            <w:tcW w:w="222" w:type="dxa"/>
            <w:tcBorders>
              <w:top w:val="nil"/>
              <w:left w:val="nil"/>
              <w:bottom w:val="nil"/>
              <w:right w:val="nil"/>
            </w:tcBorders>
            <w:shd w:val="clear" w:color="auto" w:fill="auto"/>
            <w:vAlign w:val="bottom"/>
            <w:hideMark/>
          </w:tcPr>
          <w:p w14:paraId="55DB53FD"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5A31EA26"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78.037.088 </w:t>
            </w:r>
          </w:p>
        </w:tc>
      </w:tr>
      <w:tr w:rsidR="002B6B59" w:rsidRPr="002B6B59" w14:paraId="62A688FE" w14:textId="77777777" w:rsidTr="002B6B59">
        <w:trPr>
          <w:trHeight w:val="300"/>
        </w:trPr>
        <w:tc>
          <w:tcPr>
            <w:tcW w:w="3510" w:type="dxa"/>
            <w:tcBorders>
              <w:top w:val="nil"/>
              <w:left w:val="nil"/>
              <w:bottom w:val="nil"/>
              <w:right w:val="nil"/>
            </w:tcBorders>
            <w:shd w:val="clear" w:color="auto" w:fill="auto"/>
            <w:vAlign w:val="center"/>
            <w:hideMark/>
          </w:tcPr>
          <w:p w14:paraId="74624E7F"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Investments in securities</w:t>
            </w:r>
          </w:p>
        </w:tc>
        <w:tc>
          <w:tcPr>
            <w:tcW w:w="1000" w:type="dxa"/>
            <w:tcBorders>
              <w:top w:val="nil"/>
              <w:left w:val="nil"/>
              <w:bottom w:val="nil"/>
              <w:right w:val="nil"/>
            </w:tcBorders>
            <w:shd w:val="clear" w:color="auto" w:fill="auto"/>
            <w:noWrap/>
            <w:vAlign w:val="center"/>
            <w:hideMark/>
          </w:tcPr>
          <w:p w14:paraId="7A6A4FBA"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23</w:t>
            </w:r>
          </w:p>
        </w:tc>
        <w:tc>
          <w:tcPr>
            <w:tcW w:w="222" w:type="dxa"/>
            <w:tcBorders>
              <w:top w:val="nil"/>
              <w:left w:val="nil"/>
              <w:bottom w:val="nil"/>
              <w:right w:val="nil"/>
            </w:tcBorders>
            <w:shd w:val="clear" w:color="auto" w:fill="auto"/>
            <w:vAlign w:val="bottom"/>
            <w:hideMark/>
          </w:tcPr>
          <w:p w14:paraId="5B817A7F"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11453195"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10.386.884 </w:t>
            </w:r>
          </w:p>
        </w:tc>
        <w:tc>
          <w:tcPr>
            <w:tcW w:w="222" w:type="dxa"/>
            <w:tcBorders>
              <w:top w:val="nil"/>
              <w:left w:val="nil"/>
              <w:bottom w:val="nil"/>
              <w:right w:val="nil"/>
            </w:tcBorders>
            <w:shd w:val="clear" w:color="auto" w:fill="auto"/>
            <w:vAlign w:val="bottom"/>
            <w:hideMark/>
          </w:tcPr>
          <w:p w14:paraId="268BD3A2"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5D42B1A9"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12.297.667 </w:t>
            </w:r>
          </w:p>
        </w:tc>
      </w:tr>
      <w:tr w:rsidR="002B6B59" w:rsidRPr="002B6B59" w14:paraId="3FF38446" w14:textId="77777777" w:rsidTr="002B6B59">
        <w:trPr>
          <w:trHeight w:val="300"/>
        </w:trPr>
        <w:tc>
          <w:tcPr>
            <w:tcW w:w="3510" w:type="dxa"/>
            <w:tcBorders>
              <w:top w:val="nil"/>
              <w:left w:val="nil"/>
              <w:bottom w:val="nil"/>
              <w:right w:val="nil"/>
            </w:tcBorders>
            <w:shd w:val="clear" w:color="auto" w:fill="auto"/>
            <w:vAlign w:val="center"/>
            <w:hideMark/>
          </w:tcPr>
          <w:p w14:paraId="29E267FE"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 xml:space="preserve">Investments in associates </w:t>
            </w:r>
          </w:p>
        </w:tc>
        <w:tc>
          <w:tcPr>
            <w:tcW w:w="1000" w:type="dxa"/>
            <w:tcBorders>
              <w:top w:val="nil"/>
              <w:left w:val="nil"/>
              <w:bottom w:val="nil"/>
              <w:right w:val="nil"/>
            </w:tcBorders>
            <w:shd w:val="clear" w:color="auto" w:fill="auto"/>
            <w:noWrap/>
            <w:vAlign w:val="center"/>
            <w:hideMark/>
          </w:tcPr>
          <w:p w14:paraId="6DBC4E71"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24</w:t>
            </w:r>
          </w:p>
        </w:tc>
        <w:tc>
          <w:tcPr>
            <w:tcW w:w="222" w:type="dxa"/>
            <w:tcBorders>
              <w:top w:val="nil"/>
              <w:left w:val="nil"/>
              <w:bottom w:val="nil"/>
              <w:right w:val="nil"/>
            </w:tcBorders>
            <w:shd w:val="clear" w:color="auto" w:fill="auto"/>
            <w:vAlign w:val="bottom"/>
            <w:hideMark/>
          </w:tcPr>
          <w:p w14:paraId="6C1A36B7"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44B1F973"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c>
          <w:tcPr>
            <w:tcW w:w="222" w:type="dxa"/>
            <w:tcBorders>
              <w:top w:val="nil"/>
              <w:left w:val="nil"/>
              <w:bottom w:val="nil"/>
              <w:right w:val="nil"/>
            </w:tcBorders>
            <w:shd w:val="clear" w:color="auto" w:fill="auto"/>
            <w:vAlign w:val="bottom"/>
            <w:hideMark/>
          </w:tcPr>
          <w:p w14:paraId="7ABB8B10"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07D2E04C"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6D10760B" w14:textId="77777777" w:rsidTr="002B6B59">
        <w:trPr>
          <w:trHeight w:val="300"/>
        </w:trPr>
        <w:tc>
          <w:tcPr>
            <w:tcW w:w="3510" w:type="dxa"/>
            <w:tcBorders>
              <w:top w:val="nil"/>
              <w:left w:val="nil"/>
              <w:bottom w:val="nil"/>
              <w:right w:val="nil"/>
            </w:tcBorders>
            <w:shd w:val="clear" w:color="auto" w:fill="auto"/>
            <w:vAlign w:val="center"/>
            <w:hideMark/>
          </w:tcPr>
          <w:p w14:paraId="7C2641E6"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Income tax receivable (current)</w:t>
            </w:r>
          </w:p>
        </w:tc>
        <w:tc>
          <w:tcPr>
            <w:tcW w:w="1000" w:type="dxa"/>
            <w:tcBorders>
              <w:top w:val="nil"/>
              <w:left w:val="nil"/>
              <w:bottom w:val="nil"/>
              <w:right w:val="nil"/>
            </w:tcBorders>
            <w:shd w:val="clear" w:color="auto" w:fill="auto"/>
            <w:noWrap/>
            <w:vAlign w:val="center"/>
            <w:hideMark/>
          </w:tcPr>
          <w:p w14:paraId="62BB17E7"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30.1</w:t>
            </w:r>
          </w:p>
        </w:tc>
        <w:tc>
          <w:tcPr>
            <w:tcW w:w="222" w:type="dxa"/>
            <w:tcBorders>
              <w:top w:val="nil"/>
              <w:left w:val="nil"/>
              <w:bottom w:val="nil"/>
              <w:right w:val="nil"/>
            </w:tcBorders>
            <w:shd w:val="clear" w:color="auto" w:fill="auto"/>
            <w:vAlign w:val="bottom"/>
            <w:hideMark/>
          </w:tcPr>
          <w:p w14:paraId="3E90E2CB"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57595279"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18BDC5CC"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4359F4C8"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r>
      <w:tr w:rsidR="002B6B59" w:rsidRPr="002B6B59" w14:paraId="3B95A9B1" w14:textId="77777777" w:rsidTr="002B6B59">
        <w:trPr>
          <w:trHeight w:val="300"/>
        </w:trPr>
        <w:tc>
          <w:tcPr>
            <w:tcW w:w="3510" w:type="dxa"/>
            <w:tcBorders>
              <w:top w:val="nil"/>
              <w:left w:val="nil"/>
              <w:bottom w:val="nil"/>
              <w:right w:val="nil"/>
            </w:tcBorders>
            <w:shd w:val="clear" w:color="auto" w:fill="auto"/>
            <w:vAlign w:val="center"/>
            <w:hideMark/>
          </w:tcPr>
          <w:p w14:paraId="2B8D7896"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Other receivables</w:t>
            </w:r>
          </w:p>
        </w:tc>
        <w:tc>
          <w:tcPr>
            <w:tcW w:w="1000" w:type="dxa"/>
            <w:tcBorders>
              <w:top w:val="nil"/>
              <w:left w:val="nil"/>
              <w:bottom w:val="nil"/>
              <w:right w:val="nil"/>
            </w:tcBorders>
            <w:shd w:val="clear" w:color="auto" w:fill="auto"/>
            <w:noWrap/>
            <w:vAlign w:val="center"/>
            <w:hideMark/>
          </w:tcPr>
          <w:p w14:paraId="6D57DE3E"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25</w:t>
            </w:r>
          </w:p>
        </w:tc>
        <w:tc>
          <w:tcPr>
            <w:tcW w:w="222" w:type="dxa"/>
            <w:tcBorders>
              <w:top w:val="nil"/>
              <w:left w:val="nil"/>
              <w:bottom w:val="nil"/>
              <w:right w:val="nil"/>
            </w:tcBorders>
            <w:shd w:val="clear" w:color="auto" w:fill="auto"/>
            <w:vAlign w:val="bottom"/>
            <w:hideMark/>
          </w:tcPr>
          <w:p w14:paraId="5EF5E2DD"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1A0D1952"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2.582.596 </w:t>
            </w:r>
          </w:p>
        </w:tc>
        <w:tc>
          <w:tcPr>
            <w:tcW w:w="222" w:type="dxa"/>
            <w:tcBorders>
              <w:top w:val="nil"/>
              <w:left w:val="nil"/>
              <w:bottom w:val="nil"/>
              <w:right w:val="nil"/>
            </w:tcBorders>
            <w:shd w:val="clear" w:color="auto" w:fill="auto"/>
            <w:vAlign w:val="bottom"/>
            <w:hideMark/>
          </w:tcPr>
          <w:p w14:paraId="03911AE3"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70C11D80"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1.562.418 </w:t>
            </w:r>
          </w:p>
        </w:tc>
      </w:tr>
      <w:tr w:rsidR="002B6B59" w:rsidRPr="002B6B59" w14:paraId="57B7294A" w14:textId="77777777" w:rsidTr="002B6B59">
        <w:trPr>
          <w:trHeight w:val="300"/>
        </w:trPr>
        <w:tc>
          <w:tcPr>
            <w:tcW w:w="3510" w:type="dxa"/>
            <w:tcBorders>
              <w:top w:val="nil"/>
              <w:left w:val="nil"/>
              <w:bottom w:val="nil"/>
              <w:right w:val="nil"/>
            </w:tcBorders>
            <w:shd w:val="clear" w:color="auto" w:fill="auto"/>
            <w:vAlign w:val="center"/>
            <w:hideMark/>
          </w:tcPr>
          <w:p w14:paraId="779BBE3E"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Collateralized assets</w:t>
            </w:r>
          </w:p>
        </w:tc>
        <w:tc>
          <w:tcPr>
            <w:tcW w:w="1000" w:type="dxa"/>
            <w:tcBorders>
              <w:top w:val="nil"/>
              <w:left w:val="nil"/>
              <w:bottom w:val="nil"/>
              <w:right w:val="nil"/>
            </w:tcBorders>
            <w:shd w:val="clear" w:color="auto" w:fill="auto"/>
            <w:noWrap/>
            <w:vAlign w:val="center"/>
            <w:hideMark/>
          </w:tcPr>
          <w:p w14:paraId="2CDE53A6"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26</w:t>
            </w:r>
          </w:p>
        </w:tc>
        <w:tc>
          <w:tcPr>
            <w:tcW w:w="222" w:type="dxa"/>
            <w:tcBorders>
              <w:top w:val="nil"/>
              <w:left w:val="nil"/>
              <w:bottom w:val="nil"/>
              <w:right w:val="nil"/>
            </w:tcBorders>
            <w:shd w:val="clear" w:color="auto" w:fill="auto"/>
            <w:vAlign w:val="bottom"/>
            <w:hideMark/>
          </w:tcPr>
          <w:p w14:paraId="683BDC59"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5B812264"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04112AED"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21A87C59"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561B7878" w14:textId="77777777" w:rsidTr="002B6B59">
        <w:trPr>
          <w:trHeight w:val="300"/>
        </w:trPr>
        <w:tc>
          <w:tcPr>
            <w:tcW w:w="3510" w:type="dxa"/>
            <w:tcBorders>
              <w:top w:val="nil"/>
              <w:left w:val="nil"/>
              <w:bottom w:val="nil"/>
              <w:right w:val="nil"/>
            </w:tcBorders>
            <w:shd w:val="clear" w:color="auto" w:fill="auto"/>
            <w:vAlign w:val="center"/>
            <w:hideMark/>
          </w:tcPr>
          <w:p w14:paraId="28B7D640"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Assets acquired through foreclosure proceedings</w:t>
            </w:r>
          </w:p>
        </w:tc>
        <w:tc>
          <w:tcPr>
            <w:tcW w:w="1000" w:type="dxa"/>
            <w:tcBorders>
              <w:top w:val="nil"/>
              <w:left w:val="nil"/>
              <w:bottom w:val="nil"/>
              <w:right w:val="nil"/>
            </w:tcBorders>
            <w:shd w:val="clear" w:color="auto" w:fill="auto"/>
            <w:noWrap/>
            <w:vAlign w:val="center"/>
            <w:hideMark/>
          </w:tcPr>
          <w:p w14:paraId="2FA30AFA"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27</w:t>
            </w:r>
          </w:p>
        </w:tc>
        <w:tc>
          <w:tcPr>
            <w:tcW w:w="222" w:type="dxa"/>
            <w:tcBorders>
              <w:top w:val="nil"/>
              <w:left w:val="nil"/>
              <w:bottom w:val="nil"/>
              <w:right w:val="nil"/>
            </w:tcBorders>
            <w:shd w:val="clear" w:color="auto" w:fill="auto"/>
            <w:vAlign w:val="bottom"/>
            <w:hideMark/>
          </w:tcPr>
          <w:p w14:paraId="1CE8D55D"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2B4E21A2"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93.408 </w:t>
            </w:r>
          </w:p>
        </w:tc>
        <w:tc>
          <w:tcPr>
            <w:tcW w:w="222" w:type="dxa"/>
            <w:tcBorders>
              <w:top w:val="nil"/>
              <w:left w:val="nil"/>
              <w:bottom w:val="nil"/>
              <w:right w:val="nil"/>
            </w:tcBorders>
            <w:shd w:val="clear" w:color="auto" w:fill="auto"/>
            <w:vAlign w:val="bottom"/>
            <w:hideMark/>
          </w:tcPr>
          <w:p w14:paraId="6F6D1D50"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480A819E"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127.048 </w:t>
            </w:r>
          </w:p>
        </w:tc>
      </w:tr>
      <w:tr w:rsidR="002B6B59" w:rsidRPr="002B6B59" w14:paraId="7613C237" w14:textId="77777777" w:rsidTr="002B6B59">
        <w:trPr>
          <w:trHeight w:val="300"/>
        </w:trPr>
        <w:tc>
          <w:tcPr>
            <w:tcW w:w="3510" w:type="dxa"/>
            <w:tcBorders>
              <w:top w:val="nil"/>
              <w:left w:val="nil"/>
              <w:bottom w:val="nil"/>
              <w:right w:val="nil"/>
            </w:tcBorders>
            <w:shd w:val="clear" w:color="auto" w:fill="auto"/>
            <w:vAlign w:val="center"/>
            <w:hideMark/>
          </w:tcPr>
          <w:p w14:paraId="76E966E9"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Intangible assets</w:t>
            </w:r>
          </w:p>
        </w:tc>
        <w:tc>
          <w:tcPr>
            <w:tcW w:w="1000" w:type="dxa"/>
            <w:tcBorders>
              <w:top w:val="nil"/>
              <w:left w:val="nil"/>
              <w:bottom w:val="nil"/>
              <w:right w:val="nil"/>
            </w:tcBorders>
            <w:shd w:val="clear" w:color="auto" w:fill="auto"/>
            <w:noWrap/>
            <w:vAlign w:val="center"/>
            <w:hideMark/>
          </w:tcPr>
          <w:p w14:paraId="731DF83F"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28</w:t>
            </w:r>
          </w:p>
        </w:tc>
        <w:tc>
          <w:tcPr>
            <w:tcW w:w="222" w:type="dxa"/>
            <w:tcBorders>
              <w:top w:val="nil"/>
              <w:left w:val="nil"/>
              <w:bottom w:val="nil"/>
              <w:right w:val="nil"/>
            </w:tcBorders>
            <w:shd w:val="clear" w:color="auto" w:fill="auto"/>
            <w:vAlign w:val="bottom"/>
            <w:hideMark/>
          </w:tcPr>
          <w:p w14:paraId="5FC96F9D"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4DCBB513"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136.870 </w:t>
            </w:r>
          </w:p>
        </w:tc>
        <w:tc>
          <w:tcPr>
            <w:tcW w:w="222" w:type="dxa"/>
            <w:tcBorders>
              <w:top w:val="nil"/>
              <w:left w:val="nil"/>
              <w:bottom w:val="nil"/>
              <w:right w:val="nil"/>
            </w:tcBorders>
            <w:shd w:val="clear" w:color="auto" w:fill="auto"/>
            <w:vAlign w:val="bottom"/>
            <w:hideMark/>
          </w:tcPr>
          <w:p w14:paraId="1AEE67FB"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4717C600"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111.435 </w:t>
            </w:r>
          </w:p>
        </w:tc>
      </w:tr>
      <w:tr w:rsidR="002B6B59" w:rsidRPr="002B6B59" w14:paraId="2CB72FDE" w14:textId="77777777" w:rsidTr="002B6B59">
        <w:trPr>
          <w:trHeight w:val="300"/>
        </w:trPr>
        <w:tc>
          <w:tcPr>
            <w:tcW w:w="3510" w:type="dxa"/>
            <w:tcBorders>
              <w:top w:val="nil"/>
              <w:left w:val="nil"/>
              <w:bottom w:val="nil"/>
              <w:right w:val="nil"/>
            </w:tcBorders>
            <w:shd w:val="clear" w:color="auto" w:fill="auto"/>
            <w:vAlign w:val="center"/>
            <w:hideMark/>
          </w:tcPr>
          <w:p w14:paraId="6F0EBE79"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Property and equipment</w:t>
            </w:r>
          </w:p>
        </w:tc>
        <w:tc>
          <w:tcPr>
            <w:tcW w:w="1000" w:type="dxa"/>
            <w:tcBorders>
              <w:top w:val="nil"/>
              <w:left w:val="nil"/>
              <w:bottom w:val="nil"/>
              <w:right w:val="nil"/>
            </w:tcBorders>
            <w:shd w:val="clear" w:color="auto" w:fill="auto"/>
            <w:noWrap/>
            <w:vAlign w:val="center"/>
            <w:hideMark/>
          </w:tcPr>
          <w:p w14:paraId="23AE29F6"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29</w:t>
            </w:r>
          </w:p>
        </w:tc>
        <w:tc>
          <w:tcPr>
            <w:tcW w:w="222" w:type="dxa"/>
            <w:tcBorders>
              <w:top w:val="nil"/>
              <w:left w:val="nil"/>
              <w:bottom w:val="nil"/>
              <w:right w:val="nil"/>
            </w:tcBorders>
            <w:shd w:val="clear" w:color="auto" w:fill="auto"/>
            <w:vAlign w:val="bottom"/>
            <w:hideMark/>
          </w:tcPr>
          <w:p w14:paraId="6B8C7B89"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076C2751"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907.733 </w:t>
            </w:r>
          </w:p>
        </w:tc>
        <w:tc>
          <w:tcPr>
            <w:tcW w:w="222" w:type="dxa"/>
            <w:tcBorders>
              <w:top w:val="nil"/>
              <w:left w:val="nil"/>
              <w:bottom w:val="nil"/>
              <w:right w:val="nil"/>
            </w:tcBorders>
            <w:shd w:val="clear" w:color="auto" w:fill="auto"/>
            <w:vAlign w:val="bottom"/>
            <w:hideMark/>
          </w:tcPr>
          <w:p w14:paraId="5B2CFB4E"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67B1D7F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819.129 </w:t>
            </w:r>
          </w:p>
        </w:tc>
      </w:tr>
      <w:tr w:rsidR="002B6B59" w:rsidRPr="002B6B59" w14:paraId="09D820A3" w14:textId="77777777" w:rsidTr="002B6B59">
        <w:trPr>
          <w:trHeight w:val="300"/>
        </w:trPr>
        <w:tc>
          <w:tcPr>
            <w:tcW w:w="3510" w:type="dxa"/>
            <w:tcBorders>
              <w:top w:val="nil"/>
              <w:left w:val="nil"/>
              <w:bottom w:val="nil"/>
              <w:right w:val="nil"/>
            </w:tcBorders>
            <w:shd w:val="clear" w:color="auto" w:fill="auto"/>
            <w:vAlign w:val="center"/>
            <w:hideMark/>
          </w:tcPr>
          <w:p w14:paraId="0AB42B46"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Deferred tax assets</w:t>
            </w:r>
          </w:p>
        </w:tc>
        <w:tc>
          <w:tcPr>
            <w:tcW w:w="1000" w:type="dxa"/>
            <w:tcBorders>
              <w:top w:val="nil"/>
              <w:left w:val="nil"/>
              <w:bottom w:val="nil"/>
              <w:right w:val="nil"/>
            </w:tcBorders>
            <w:shd w:val="clear" w:color="auto" w:fill="auto"/>
            <w:noWrap/>
            <w:vAlign w:val="center"/>
            <w:hideMark/>
          </w:tcPr>
          <w:p w14:paraId="3CECC4D1"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30.2</w:t>
            </w:r>
          </w:p>
        </w:tc>
        <w:tc>
          <w:tcPr>
            <w:tcW w:w="222" w:type="dxa"/>
            <w:tcBorders>
              <w:top w:val="nil"/>
              <w:left w:val="nil"/>
              <w:bottom w:val="nil"/>
              <w:right w:val="nil"/>
            </w:tcBorders>
            <w:shd w:val="clear" w:color="auto" w:fill="auto"/>
            <w:vAlign w:val="bottom"/>
            <w:hideMark/>
          </w:tcPr>
          <w:p w14:paraId="62475C17"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66A4DA36"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5D542D1F"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0153E07F"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57CAD896" w14:textId="77777777" w:rsidTr="002B6B59">
        <w:trPr>
          <w:trHeight w:val="300"/>
        </w:trPr>
        <w:tc>
          <w:tcPr>
            <w:tcW w:w="3510" w:type="dxa"/>
            <w:tcBorders>
              <w:top w:val="nil"/>
              <w:left w:val="nil"/>
              <w:bottom w:val="nil"/>
              <w:right w:val="nil"/>
            </w:tcBorders>
            <w:shd w:val="clear" w:color="auto" w:fill="auto"/>
            <w:vAlign w:val="center"/>
            <w:hideMark/>
          </w:tcPr>
          <w:p w14:paraId="4368BF0B"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 xml:space="preserve">Non-current assets held for sale and disposal group </w:t>
            </w:r>
          </w:p>
        </w:tc>
        <w:tc>
          <w:tcPr>
            <w:tcW w:w="1000" w:type="dxa"/>
            <w:tcBorders>
              <w:top w:val="nil"/>
              <w:left w:val="nil"/>
              <w:bottom w:val="nil"/>
              <w:right w:val="nil"/>
            </w:tcBorders>
            <w:shd w:val="clear" w:color="auto" w:fill="auto"/>
            <w:noWrap/>
            <w:vAlign w:val="center"/>
            <w:hideMark/>
          </w:tcPr>
          <w:p w14:paraId="2475E652"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31</w:t>
            </w:r>
          </w:p>
        </w:tc>
        <w:tc>
          <w:tcPr>
            <w:tcW w:w="222" w:type="dxa"/>
            <w:tcBorders>
              <w:top w:val="nil"/>
              <w:left w:val="nil"/>
              <w:bottom w:val="nil"/>
              <w:right w:val="nil"/>
            </w:tcBorders>
            <w:shd w:val="clear" w:color="auto" w:fill="auto"/>
            <w:vAlign w:val="bottom"/>
            <w:hideMark/>
          </w:tcPr>
          <w:p w14:paraId="5A11A75D"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724E70E0"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464D3643"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1B278FF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2E7D9E28" w14:textId="77777777" w:rsidTr="002B6B59">
        <w:trPr>
          <w:trHeight w:val="300"/>
        </w:trPr>
        <w:tc>
          <w:tcPr>
            <w:tcW w:w="3510" w:type="dxa"/>
            <w:tcBorders>
              <w:top w:val="nil"/>
              <w:left w:val="nil"/>
              <w:bottom w:val="nil"/>
              <w:right w:val="nil"/>
            </w:tcBorders>
            <w:shd w:val="clear" w:color="auto" w:fill="auto"/>
            <w:vAlign w:val="center"/>
            <w:hideMark/>
          </w:tcPr>
          <w:p w14:paraId="1BE3D4E0"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r w:rsidRPr="002B6B59">
              <w:rPr>
                <w:rFonts w:ascii="Times New Roman" w:eastAsia="Times New Roman" w:hAnsi="Times New Roman"/>
                <w:b/>
                <w:bCs/>
                <w:sz w:val="21"/>
                <w:szCs w:val="21"/>
                <w:lang w:val="en-GB" w:eastAsia="mk-MK"/>
              </w:rPr>
              <w:t>Total assets</w:t>
            </w:r>
          </w:p>
        </w:tc>
        <w:tc>
          <w:tcPr>
            <w:tcW w:w="1000" w:type="dxa"/>
            <w:tcBorders>
              <w:top w:val="nil"/>
              <w:left w:val="nil"/>
              <w:bottom w:val="nil"/>
              <w:right w:val="nil"/>
            </w:tcBorders>
            <w:shd w:val="clear" w:color="auto" w:fill="auto"/>
            <w:noWrap/>
            <w:vAlign w:val="center"/>
            <w:hideMark/>
          </w:tcPr>
          <w:p w14:paraId="0E6A5BD0"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p>
        </w:tc>
        <w:tc>
          <w:tcPr>
            <w:tcW w:w="222" w:type="dxa"/>
            <w:tcBorders>
              <w:top w:val="nil"/>
              <w:left w:val="nil"/>
              <w:bottom w:val="nil"/>
              <w:right w:val="nil"/>
            </w:tcBorders>
            <w:shd w:val="clear" w:color="auto" w:fill="auto"/>
            <w:vAlign w:val="bottom"/>
            <w:hideMark/>
          </w:tcPr>
          <w:p w14:paraId="2150E426"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single" w:sz="4" w:space="0" w:color="auto"/>
              <w:left w:val="nil"/>
              <w:bottom w:val="double" w:sz="6" w:space="0" w:color="auto"/>
              <w:right w:val="nil"/>
            </w:tcBorders>
            <w:shd w:val="clear" w:color="auto" w:fill="auto"/>
            <w:vAlign w:val="bottom"/>
            <w:hideMark/>
          </w:tcPr>
          <w:p w14:paraId="374D5860"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122.793.098 </w:t>
            </w:r>
          </w:p>
        </w:tc>
        <w:tc>
          <w:tcPr>
            <w:tcW w:w="222" w:type="dxa"/>
            <w:tcBorders>
              <w:top w:val="nil"/>
              <w:left w:val="nil"/>
              <w:bottom w:val="nil"/>
              <w:right w:val="nil"/>
            </w:tcBorders>
            <w:shd w:val="clear" w:color="auto" w:fill="auto"/>
            <w:vAlign w:val="bottom"/>
            <w:hideMark/>
          </w:tcPr>
          <w:p w14:paraId="2D443B29"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1696" w:type="dxa"/>
            <w:tcBorders>
              <w:top w:val="single" w:sz="4" w:space="0" w:color="auto"/>
              <w:left w:val="nil"/>
              <w:bottom w:val="double" w:sz="6" w:space="0" w:color="auto"/>
              <w:right w:val="nil"/>
            </w:tcBorders>
            <w:shd w:val="clear" w:color="auto" w:fill="auto"/>
            <w:vAlign w:val="bottom"/>
            <w:hideMark/>
          </w:tcPr>
          <w:p w14:paraId="2D9E5708"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114.102.699 </w:t>
            </w:r>
          </w:p>
        </w:tc>
      </w:tr>
      <w:tr w:rsidR="002B6B59" w:rsidRPr="002B6B59" w14:paraId="4DF2D4F5" w14:textId="77777777" w:rsidTr="002B6B59">
        <w:trPr>
          <w:trHeight w:val="300"/>
        </w:trPr>
        <w:tc>
          <w:tcPr>
            <w:tcW w:w="3510" w:type="dxa"/>
            <w:tcBorders>
              <w:top w:val="nil"/>
              <w:left w:val="nil"/>
              <w:bottom w:val="nil"/>
              <w:right w:val="nil"/>
            </w:tcBorders>
            <w:shd w:val="clear" w:color="auto" w:fill="auto"/>
            <w:vAlign w:val="bottom"/>
            <w:hideMark/>
          </w:tcPr>
          <w:p w14:paraId="24292C9D"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1000" w:type="dxa"/>
            <w:tcBorders>
              <w:top w:val="nil"/>
              <w:left w:val="nil"/>
              <w:bottom w:val="nil"/>
              <w:right w:val="nil"/>
            </w:tcBorders>
            <w:shd w:val="clear" w:color="auto" w:fill="auto"/>
            <w:noWrap/>
            <w:vAlign w:val="center"/>
            <w:hideMark/>
          </w:tcPr>
          <w:p w14:paraId="5AA152D5" w14:textId="77777777" w:rsidR="002B6B59" w:rsidRPr="002B6B59" w:rsidRDefault="002B6B59" w:rsidP="00E4741F">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79F3A060"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center"/>
            <w:hideMark/>
          </w:tcPr>
          <w:p w14:paraId="125C6B67"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7E9110E0"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center"/>
            <w:hideMark/>
          </w:tcPr>
          <w:p w14:paraId="1E416600"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r>
      <w:tr w:rsidR="002B6B59" w:rsidRPr="002B6B59" w14:paraId="356779FE" w14:textId="77777777" w:rsidTr="002B6B59">
        <w:trPr>
          <w:trHeight w:val="300"/>
        </w:trPr>
        <w:tc>
          <w:tcPr>
            <w:tcW w:w="3510" w:type="dxa"/>
            <w:tcBorders>
              <w:top w:val="nil"/>
              <w:left w:val="nil"/>
              <w:bottom w:val="nil"/>
              <w:right w:val="nil"/>
            </w:tcBorders>
            <w:shd w:val="clear" w:color="auto" w:fill="auto"/>
            <w:vAlign w:val="center"/>
            <w:hideMark/>
          </w:tcPr>
          <w:p w14:paraId="77E0955D"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r w:rsidRPr="002B6B59">
              <w:rPr>
                <w:rFonts w:ascii="Times New Roman" w:eastAsia="Times New Roman" w:hAnsi="Times New Roman"/>
                <w:b/>
                <w:bCs/>
                <w:sz w:val="21"/>
                <w:szCs w:val="21"/>
                <w:lang w:val="en-GB" w:eastAsia="mk-MK"/>
              </w:rPr>
              <w:t>LIABILITIES</w:t>
            </w:r>
          </w:p>
        </w:tc>
        <w:tc>
          <w:tcPr>
            <w:tcW w:w="1000" w:type="dxa"/>
            <w:tcBorders>
              <w:top w:val="nil"/>
              <w:left w:val="nil"/>
              <w:bottom w:val="nil"/>
              <w:right w:val="nil"/>
            </w:tcBorders>
            <w:shd w:val="clear" w:color="auto" w:fill="auto"/>
            <w:noWrap/>
            <w:vAlign w:val="center"/>
            <w:hideMark/>
          </w:tcPr>
          <w:p w14:paraId="7DCF133B"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p>
        </w:tc>
        <w:tc>
          <w:tcPr>
            <w:tcW w:w="222" w:type="dxa"/>
            <w:tcBorders>
              <w:top w:val="nil"/>
              <w:left w:val="nil"/>
              <w:bottom w:val="nil"/>
              <w:right w:val="nil"/>
            </w:tcBorders>
            <w:shd w:val="clear" w:color="auto" w:fill="auto"/>
            <w:vAlign w:val="bottom"/>
            <w:hideMark/>
          </w:tcPr>
          <w:p w14:paraId="0C21C7C8"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center"/>
            <w:hideMark/>
          </w:tcPr>
          <w:p w14:paraId="06F9F530"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3E3FE863"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center"/>
            <w:hideMark/>
          </w:tcPr>
          <w:p w14:paraId="34C2EF6A"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r>
      <w:tr w:rsidR="002B6B59" w:rsidRPr="002B6B59" w14:paraId="6A479746" w14:textId="77777777" w:rsidTr="002B6B59">
        <w:trPr>
          <w:trHeight w:val="300"/>
        </w:trPr>
        <w:tc>
          <w:tcPr>
            <w:tcW w:w="3510" w:type="dxa"/>
            <w:tcBorders>
              <w:top w:val="nil"/>
              <w:left w:val="nil"/>
              <w:bottom w:val="nil"/>
              <w:right w:val="nil"/>
            </w:tcBorders>
            <w:shd w:val="clear" w:color="auto" w:fill="auto"/>
            <w:vAlign w:val="center"/>
            <w:hideMark/>
          </w:tcPr>
          <w:p w14:paraId="5DBFDFDC"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Trading financial liabilities</w:t>
            </w:r>
          </w:p>
        </w:tc>
        <w:tc>
          <w:tcPr>
            <w:tcW w:w="1000" w:type="dxa"/>
            <w:tcBorders>
              <w:top w:val="nil"/>
              <w:left w:val="nil"/>
              <w:bottom w:val="nil"/>
              <w:right w:val="nil"/>
            </w:tcBorders>
            <w:shd w:val="clear" w:color="auto" w:fill="auto"/>
            <w:noWrap/>
            <w:vAlign w:val="center"/>
            <w:hideMark/>
          </w:tcPr>
          <w:p w14:paraId="24FBEBEA"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32</w:t>
            </w:r>
          </w:p>
        </w:tc>
        <w:tc>
          <w:tcPr>
            <w:tcW w:w="222" w:type="dxa"/>
            <w:tcBorders>
              <w:top w:val="nil"/>
              <w:left w:val="nil"/>
              <w:bottom w:val="nil"/>
              <w:right w:val="nil"/>
            </w:tcBorders>
            <w:shd w:val="clear" w:color="auto" w:fill="auto"/>
            <w:vAlign w:val="bottom"/>
            <w:hideMark/>
          </w:tcPr>
          <w:p w14:paraId="6F96468C"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731D6131"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49268A37"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66912BBB"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1BF56F60" w14:textId="77777777" w:rsidTr="002B6B59">
        <w:trPr>
          <w:trHeight w:val="570"/>
        </w:trPr>
        <w:tc>
          <w:tcPr>
            <w:tcW w:w="3510" w:type="dxa"/>
            <w:tcBorders>
              <w:top w:val="nil"/>
              <w:left w:val="nil"/>
              <w:bottom w:val="nil"/>
              <w:right w:val="nil"/>
            </w:tcBorders>
            <w:shd w:val="clear" w:color="auto" w:fill="auto"/>
            <w:vAlign w:val="center"/>
            <w:hideMark/>
          </w:tcPr>
          <w:p w14:paraId="57833950"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Financial liabilities at fair value through Income Statement determined as such at initial recognition</w:t>
            </w:r>
          </w:p>
        </w:tc>
        <w:tc>
          <w:tcPr>
            <w:tcW w:w="1000" w:type="dxa"/>
            <w:tcBorders>
              <w:top w:val="nil"/>
              <w:left w:val="nil"/>
              <w:bottom w:val="nil"/>
              <w:right w:val="nil"/>
            </w:tcBorders>
            <w:shd w:val="clear" w:color="auto" w:fill="auto"/>
            <w:noWrap/>
            <w:vAlign w:val="center"/>
            <w:hideMark/>
          </w:tcPr>
          <w:p w14:paraId="603A8694"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33</w:t>
            </w:r>
          </w:p>
        </w:tc>
        <w:tc>
          <w:tcPr>
            <w:tcW w:w="222" w:type="dxa"/>
            <w:tcBorders>
              <w:top w:val="nil"/>
              <w:left w:val="nil"/>
              <w:bottom w:val="nil"/>
              <w:right w:val="nil"/>
            </w:tcBorders>
            <w:shd w:val="clear" w:color="auto" w:fill="auto"/>
            <w:vAlign w:val="bottom"/>
            <w:hideMark/>
          </w:tcPr>
          <w:p w14:paraId="4049D7C6"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6BE79201"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2DD930B8"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002EBC2B"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020F2078" w14:textId="77777777" w:rsidTr="002B6B59">
        <w:trPr>
          <w:trHeight w:val="300"/>
        </w:trPr>
        <w:tc>
          <w:tcPr>
            <w:tcW w:w="3510" w:type="dxa"/>
            <w:tcBorders>
              <w:top w:val="nil"/>
              <w:left w:val="nil"/>
              <w:bottom w:val="nil"/>
              <w:right w:val="nil"/>
            </w:tcBorders>
            <w:shd w:val="clear" w:color="auto" w:fill="auto"/>
            <w:vAlign w:val="center"/>
            <w:hideMark/>
          </w:tcPr>
          <w:p w14:paraId="31BE80BB" w14:textId="77777777" w:rsidR="002B6B59" w:rsidRPr="002B6B59" w:rsidRDefault="002B6B59" w:rsidP="00E4741F">
            <w:pPr>
              <w:spacing w:after="0" w:line="240" w:lineRule="auto"/>
              <w:ind w:firstLineChars="100" w:firstLine="210"/>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Derivative obligations held for risk management</w:t>
            </w:r>
          </w:p>
        </w:tc>
        <w:tc>
          <w:tcPr>
            <w:tcW w:w="1000" w:type="dxa"/>
            <w:tcBorders>
              <w:top w:val="nil"/>
              <w:left w:val="nil"/>
              <w:bottom w:val="nil"/>
              <w:right w:val="nil"/>
            </w:tcBorders>
            <w:shd w:val="clear" w:color="auto" w:fill="auto"/>
            <w:noWrap/>
            <w:vAlign w:val="center"/>
            <w:hideMark/>
          </w:tcPr>
          <w:p w14:paraId="745D5967"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21</w:t>
            </w:r>
          </w:p>
        </w:tc>
        <w:tc>
          <w:tcPr>
            <w:tcW w:w="222" w:type="dxa"/>
            <w:tcBorders>
              <w:top w:val="nil"/>
              <w:left w:val="nil"/>
              <w:bottom w:val="nil"/>
              <w:right w:val="nil"/>
            </w:tcBorders>
            <w:shd w:val="clear" w:color="auto" w:fill="auto"/>
            <w:vAlign w:val="bottom"/>
            <w:hideMark/>
          </w:tcPr>
          <w:p w14:paraId="3C3BAB98"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5832C4B4"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2EB1091B"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58B710DF"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68FC22B9" w14:textId="77777777" w:rsidTr="002B6B59">
        <w:trPr>
          <w:trHeight w:val="300"/>
        </w:trPr>
        <w:tc>
          <w:tcPr>
            <w:tcW w:w="3510" w:type="dxa"/>
            <w:tcBorders>
              <w:top w:val="nil"/>
              <w:left w:val="nil"/>
              <w:bottom w:val="nil"/>
              <w:right w:val="nil"/>
            </w:tcBorders>
            <w:shd w:val="clear" w:color="auto" w:fill="auto"/>
            <w:vAlign w:val="center"/>
            <w:hideMark/>
          </w:tcPr>
          <w:p w14:paraId="195D4CD3" w14:textId="77777777" w:rsidR="002B6B59" w:rsidRPr="002B6B59" w:rsidRDefault="002B6B59" w:rsidP="00E4741F">
            <w:pPr>
              <w:spacing w:after="0" w:line="240" w:lineRule="auto"/>
              <w:ind w:firstLineChars="100" w:firstLine="210"/>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Deposits from banks and financial institutions</w:t>
            </w:r>
          </w:p>
        </w:tc>
        <w:tc>
          <w:tcPr>
            <w:tcW w:w="1000" w:type="dxa"/>
            <w:tcBorders>
              <w:top w:val="nil"/>
              <w:left w:val="nil"/>
              <w:bottom w:val="nil"/>
              <w:right w:val="nil"/>
            </w:tcBorders>
            <w:shd w:val="clear" w:color="auto" w:fill="auto"/>
            <w:noWrap/>
            <w:vAlign w:val="center"/>
            <w:hideMark/>
          </w:tcPr>
          <w:p w14:paraId="2B58FB18"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34.1</w:t>
            </w:r>
          </w:p>
        </w:tc>
        <w:tc>
          <w:tcPr>
            <w:tcW w:w="222" w:type="dxa"/>
            <w:tcBorders>
              <w:top w:val="nil"/>
              <w:left w:val="nil"/>
              <w:bottom w:val="nil"/>
              <w:right w:val="nil"/>
            </w:tcBorders>
            <w:shd w:val="clear" w:color="auto" w:fill="auto"/>
            <w:vAlign w:val="bottom"/>
            <w:hideMark/>
          </w:tcPr>
          <w:p w14:paraId="0FA59A4B"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5F1CE92A"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2.902.315 </w:t>
            </w:r>
          </w:p>
        </w:tc>
        <w:tc>
          <w:tcPr>
            <w:tcW w:w="222" w:type="dxa"/>
            <w:tcBorders>
              <w:top w:val="nil"/>
              <w:left w:val="nil"/>
              <w:bottom w:val="nil"/>
              <w:right w:val="nil"/>
            </w:tcBorders>
            <w:shd w:val="clear" w:color="auto" w:fill="auto"/>
            <w:vAlign w:val="bottom"/>
            <w:hideMark/>
          </w:tcPr>
          <w:p w14:paraId="7329D9C1"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2793B7BA"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1.425.335 </w:t>
            </w:r>
          </w:p>
        </w:tc>
      </w:tr>
      <w:tr w:rsidR="002B6B59" w:rsidRPr="002B6B59" w14:paraId="20015E57" w14:textId="77777777" w:rsidTr="002B6B59">
        <w:trPr>
          <w:trHeight w:val="300"/>
        </w:trPr>
        <w:tc>
          <w:tcPr>
            <w:tcW w:w="3510" w:type="dxa"/>
            <w:tcBorders>
              <w:top w:val="nil"/>
              <w:left w:val="nil"/>
              <w:bottom w:val="nil"/>
              <w:right w:val="nil"/>
            </w:tcBorders>
            <w:shd w:val="clear" w:color="auto" w:fill="auto"/>
            <w:vAlign w:val="center"/>
            <w:hideMark/>
          </w:tcPr>
          <w:p w14:paraId="2BCD1057"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Deposits from customers</w:t>
            </w:r>
          </w:p>
        </w:tc>
        <w:tc>
          <w:tcPr>
            <w:tcW w:w="1000" w:type="dxa"/>
            <w:tcBorders>
              <w:top w:val="nil"/>
              <w:left w:val="nil"/>
              <w:bottom w:val="nil"/>
              <w:right w:val="nil"/>
            </w:tcBorders>
            <w:shd w:val="clear" w:color="auto" w:fill="auto"/>
            <w:noWrap/>
            <w:vAlign w:val="center"/>
            <w:hideMark/>
          </w:tcPr>
          <w:p w14:paraId="74F89A1E"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34.2</w:t>
            </w:r>
          </w:p>
        </w:tc>
        <w:tc>
          <w:tcPr>
            <w:tcW w:w="222" w:type="dxa"/>
            <w:tcBorders>
              <w:top w:val="nil"/>
              <w:left w:val="nil"/>
              <w:bottom w:val="nil"/>
              <w:right w:val="nil"/>
            </w:tcBorders>
            <w:shd w:val="clear" w:color="auto" w:fill="auto"/>
            <w:vAlign w:val="bottom"/>
            <w:hideMark/>
          </w:tcPr>
          <w:p w14:paraId="003D59CD"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4CAACC56"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94.379.647 </w:t>
            </w:r>
          </w:p>
        </w:tc>
        <w:tc>
          <w:tcPr>
            <w:tcW w:w="222" w:type="dxa"/>
            <w:tcBorders>
              <w:top w:val="nil"/>
              <w:left w:val="nil"/>
              <w:bottom w:val="nil"/>
              <w:right w:val="nil"/>
            </w:tcBorders>
            <w:shd w:val="clear" w:color="auto" w:fill="auto"/>
            <w:vAlign w:val="bottom"/>
            <w:hideMark/>
          </w:tcPr>
          <w:p w14:paraId="4F6DE84B"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4675606F"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89.673.439 </w:t>
            </w:r>
          </w:p>
        </w:tc>
      </w:tr>
      <w:tr w:rsidR="002B6B59" w:rsidRPr="002B6B59" w14:paraId="4285F85C" w14:textId="77777777" w:rsidTr="002B6B59">
        <w:trPr>
          <w:trHeight w:val="300"/>
        </w:trPr>
        <w:tc>
          <w:tcPr>
            <w:tcW w:w="3510" w:type="dxa"/>
            <w:tcBorders>
              <w:top w:val="nil"/>
              <w:left w:val="nil"/>
              <w:bottom w:val="nil"/>
              <w:right w:val="nil"/>
            </w:tcBorders>
            <w:shd w:val="clear" w:color="auto" w:fill="auto"/>
            <w:vAlign w:val="center"/>
            <w:hideMark/>
          </w:tcPr>
          <w:p w14:paraId="6F8CE52D"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Issued debt securities</w:t>
            </w:r>
          </w:p>
        </w:tc>
        <w:tc>
          <w:tcPr>
            <w:tcW w:w="1000" w:type="dxa"/>
            <w:tcBorders>
              <w:top w:val="nil"/>
              <w:left w:val="nil"/>
              <w:bottom w:val="nil"/>
              <w:right w:val="nil"/>
            </w:tcBorders>
            <w:shd w:val="clear" w:color="auto" w:fill="auto"/>
            <w:noWrap/>
            <w:vAlign w:val="center"/>
            <w:hideMark/>
          </w:tcPr>
          <w:p w14:paraId="0B40EAAF"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35</w:t>
            </w:r>
          </w:p>
        </w:tc>
        <w:tc>
          <w:tcPr>
            <w:tcW w:w="222" w:type="dxa"/>
            <w:tcBorders>
              <w:top w:val="nil"/>
              <w:left w:val="nil"/>
              <w:bottom w:val="nil"/>
              <w:right w:val="nil"/>
            </w:tcBorders>
            <w:shd w:val="clear" w:color="auto" w:fill="auto"/>
            <w:vAlign w:val="bottom"/>
            <w:hideMark/>
          </w:tcPr>
          <w:p w14:paraId="5477EE73"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1803986F"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5CFB87F4"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389B8D3C"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1ABAFCC5" w14:textId="77777777" w:rsidTr="002B6B59">
        <w:trPr>
          <w:trHeight w:val="300"/>
        </w:trPr>
        <w:tc>
          <w:tcPr>
            <w:tcW w:w="3510" w:type="dxa"/>
            <w:tcBorders>
              <w:top w:val="nil"/>
              <w:left w:val="nil"/>
              <w:bottom w:val="nil"/>
              <w:right w:val="nil"/>
            </w:tcBorders>
            <w:shd w:val="clear" w:color="auto" w:fill="auto"/>
            <w:vAlign w:val="center"/>
            <w:hideMark/>
          </w:tcPr>
          <w:p w14:paraId="2895B8CA"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Borrowings</w:t>
            </w:r>
          </w:p>
        </w:tc>
        <w:tc>
          <w:tcPr>
            <w:tcW w:w="1000" w:type="dxa"/>
            <w:tcBorders>
              <w:top w:val="nil"/>
              <w:left w:val="nil"/>
              <w:bottom w:val="nil"/>
              <w:right w:val="nil"/>
            </w:tcBorders>
            <w:shd w:val="clear" w:color="auto" w:fill="auto"/>
            <w:noWrap/>
            <w:vAlign w:val="center"/>
            <w:hideMark/>
          </w:tcPr>
          <w:p w14:paraId="12DEEF48"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36</w:t>
            </w:r>
          </w:p>
        </w:tc>
        <w:tc>
          <w:tcPr>
            <w:tcW w:w="222" w:type="dxa"/>
            <w:tcBorders>
              <w:top w:val="nil"/>
              <w:left w:val="nil"/>
              <w:bottom w:val="nil"/>
              <w:right w:val="nil"/>
            </w:tcBorders>
            <w:shd w:val="clear" w:color="auto" w:fill="auto"/>
            <w:vAlign w:val="bottom"/>
            <w:hideMark/>
          </w:tcPr>
          <w:p w14:paraId="0D8E6517"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2AC8E53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1.930.696 </w:t>
            </w:r>
          </w:p>
        </w:tc>
        <w:tc>
          <w:tcPr>
            <w:tcW w:w="222" w:type="dxa"/>
            <w:tcBorders>
              <w:top w:val="nil"/>
              <w:left w:val="nil"/>
              <w:bottom w:val="nil"/>
              <w:right w:val="nil"/>
            </w:tcBorders>
            <w:shd w:val="clear" w:color="auto" w:fill="auto"/>
            <w:vAlign w:val="bottom"/>
            <w:hideMark/>
          </w:tcPr>
          <w:p w14:paraId="780E623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5ADAE61E"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1.686.298 </w:t>
            </w:r>
          </w:p>
        </w:tc>
      </w:tr>
      <w:tr w:rsidR="002B6B59" w:rsidRPr="002B6B59" w14:paraId="0FFA054E" w14:textId="77777777" w:rsidTr="002B6B59">
        <w:trPr>
          <w:trHeight w:val="300"/>
        </w:trPr>
        <w:tc>
          <w:tcPr>
            <w:tcW w:w="3510" w:type="dxa"/>
            <w:tcBorders>
              <w:top w:val="nil"/>
              <w:left w:val="nil"/>
              <w:bottom w:val="nil"/>
              <w:right w:val="nil"/>
            </w:tcBorders>
            <w:shd w:val="clear" w:color="auto" w:fill="auto"/>
            <w:vAlign w:val="center"/>
            <w:hideMark/>
          </w:tcPr>
          <w:p w14:paraId="127FCC50"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Subordinated debt</w:t>
            </w:r>
          </w:p>
        </w:tc>
        <w:tc>
          <w:tcPr>
            <w:tcW w:w="1000" w:type="dxa"/>
            <w:tcBorders>
              <w:top w:val="nil"/>
              <w:left w:val="nil"/>
              <w:bottom w:val="nil"/>
              <w:right w:val="nil"/>
            </w:tcBorders>
            <w:shd w:val="clear" w:color="auto" w:fill="auto"/>
            <w:noWrap/>
            <w:vAlign w:val="center"/>
            <w:hideMark/>
          </w:tcPr>
          <w:p w14:paraId="4BCDDC1F"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37</w:t>
            </w:r>
          </w:p>
        </w:tc>
        <w:tc>
          <w:tcPr>
            <w:tcW w:w="222" w:type="dxa"/>
            <w:tcBorders>
              <w:top w:val="nil"/>
              <w:left w:val="nil"/>
              <w:bottom w:val="nil"/>
              <w:right w:val="nil"/>
            </w:tcBorders>
            <w:shd w:val="clear" w:color="auto" w:fill="auto"/>
            <w:vAlign w:val="bottom"/>
            <w:hideMark/>
          </w:tcPr>
          <w:p w14:paraId="338280E8"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3098107C"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54BD3478"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7992CE1C"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55FB9BF2" w14:textId="77777777" w:rsidTr="002B6B59">
        <w:trPr>
          <w:trHeight w:val="300"/>
        </w:trPr>
        <w:tc>
          <w:tcPr>
            <w:tcW w:w="3510" w:type="dxa"/>
            <w:tcBorders>
              <w:top w:val="nil"/>
              <w:left w:val="nil"/>
              <w:bottom w:val="nil"/>
              <w:right w:val="nil"/>
            </w:tcBorders>
            <w:shd w:val="clear" w:color="auto" w:fill="auto"/>
            <w:vAlign w:val="center"/>
            <w:hideMark/>
          </w:tcPr>
          <w:p w14:paraId="05AA4201"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Special reserve and provisions</w:t>
            </w:r>
          </w:p>
        </w:tc>
        <w:tc>
          <w:tcPr>
            <w:tcW w:w="1000" w:type="dxa"/>
            <w:tcBorders>
              <w:top w:val="nil"/>
              <w:left w:val="nil"/>
              <w:bottom w:val="nil"/>
              <w:right w:val="nil"/>
            </w:tcBorders>
            <w:shd w:val="clear" w:color="auto" w:fill="auto"/>
            <w:noWrap/>
            <w:vAlign w:val="center"/>
            <w:hideMark/>
          </w:tcPr>
          <w:p w14:paraId="6FB2CA78"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38</w:t>
            </w:r>
          </w:p>
        </w:tc>
        <w:tc>
          <w:tcPr>
            <w:tcW w:w="222" w:type="dxa"/>
            <w:tcBorders>
              <w:top w:val="nil"/>
              <w:left w:val="nil"/>
              <w:bottom w:val="nil"/>
              <w:right w:val="nil"/>
            </w:tcBorders>
            <w:shd w:val="clear" w:color="auto" w:fill="auto"/>
            <w:vAlign w:val="bottom"/>
            <w:hideMark/>
          </w:tcPr>
          <w:p w14:paraId="390E60F2"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77A9E76C"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111.922 </w:t>
            </w:r>
          </w:p>
        </w:tc>
        <w:tc>
          <w:tcPr>
            <w:tcW w:w="222" w:type="dxa"/>
            <w:tcBorders>
              <w:top w:val="nil"/>
              <w:left w:val="nil"/>
              <w:bottom w:val="nil"/>
              <w:right w:val="nil"/>
            </w:tcBorders>
            <w:shd w:val="clear" w:color="auto" w:fill="auto"/>
            <w:vAlign w:val="bottom"/>
            <w:hideMark/>
          </w:tcPr>
          <w:p w14:paraId="4C200D53"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04AC02FF"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107.431 </w:t>
            </w:r>
          </w:p>
        </w:tc>
      </w:tr>
      <w:tr w:rsidR="002B6B59" w:rsidRPr="002B6B59" w14:paraId="4D0CF62A" w14:textId="77777777" w:rsidTr="002B6B59">
        <w:trPr>
          <w:trHeight w:val="300"/>
        </w:trPr>
        <w:tc>
          <w:tcPr>
            <w:tcW w:w="3510" w:type="dxa"/>
            <w:tcBorders>
              <w:top w:val="nil"/>
              <w:left w:val="nil"/>
              <w:bottom w:val="nil"/>
              <w:right w:val="nil"/>
            </w:tcBorders>
            <w:shd w:val="clear" w:color="auto" w:fill="auto"/>
            <w:vAlign w:val="center"/>
            <w:hideMark/>
          </w:tcPr>
          <w:p w14:paraId="309A6C4E"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Income tax payable (current)</w:t>
            </w:r>
          </w:p>
        </w:tc>
        <w:tc>
          <w:tcPr>
            <w:tcW w:w="1000" w:type="dxa"/>
            <w:tcBorders>
              <w:top w:val="nil"/>
              <w:left w:val="nil"/>
              <w:bottom w:val="nil"/>
              <w:right w:val="nil"/>
            </w:tcBorders>
            <w:shd w:val="clear" w:color="auto" w:fill="auto"/>
            <w:noWrap/>
            <w:vAlign w:val="center"/>
            <w:hideMark/>
          </w:tcPr>
          <w:p w14:paraId="2F39BA90"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30.1</w:t>
            </w:r>
          </w:p>
        </w:tc>
        <w:tc>
          <w:tcPr>
            <w:tcW w:w="222" w:type="dxa"/>
            <w:tcBorders>
              <w:top w:val="nil"/>
              <w:left w:val="nil"/>
              <w:bottom w:val="nil"/>
              <w:right w:val="nil"/>
            </w:tcBorders>
            <w:shd w:val="clear" w:color="auto" w:fill="auto"/>
            <w:vAlign w:val="bottom"/>
            <w:hideMark/>
          </w:tcPr>
          <w:p w14:paraId="54B6F210"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09714228"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892 </w:t>
            </w:r>
          </w:p>
        </w:tc>
        <w:tc>
          <w:tcPr>
            <w:tcW w:w="222" w:type="dxa"/>
            <w:tcBorders>
              <w:top w:val="nil"/>
              <w:left w:val="nil"/>
              <w:bottom w:val="nil"/>
              <w:right w:val="nil"/>
            </w:tcBorders>
            <w:shd w:val="clear" w:color="auto" w:fill="auto"/>
            <w:vAlign w:val="bottom"/>
            <w:hideMark/>
          </w:tcPr>
          <w:p w14:paraId="5903B30D"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7DF8CE3D"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72.595 </w:t>
            </w:r>
          </w:p>
        </w:tc>
      </w:tr>
      <w:tr w:rsidR="002B6B59" w:rsidRPr="002B6B59" w14:paraId="506A6D7F" w14:textId="77777777" w:rsidTr="002B6B59">
        <w:trPr>
          <w:trHeight w:val="300"/>
        </w:trPr>
        <w:tc>
          <w:tcPr>
            <w:tcW w:w="3510" w:type="dxa"/>
            <w:tcBorders>
              <w:top w:val="nil"/>
              <w:left w:val="nil"/>
              <w:bottom w:val="nil"/>
              <w:right w:val="nil"/>
            </w:tcBorders>
            <w:shd w:val="clear" w:color="auto" w:fill="auto"/>
            <w:vAlign w:val="center"/>
            <w:hideMark/>
          </w:tcPr>
          <w:p w14:paraId="054C9AC7"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lastRenderedPageBreak/>
              <w:t>Deferred tax liabilities</w:t>
            </w:r>
          </w:p>
        </w:tc>
        <w:tc>
          <w:tcPr>
            <w:tcW w:w="1000" w:type="dxa"/>
            <w:tcBorders>
              <w:top w:val="nil"/>
              <w:left w:val="nil"/>
              <w:bottom w:val="nil"/>
              <w:right w:val="nil"/>
            </w:tcBorders>
            <w:shd w:val="clear" w:color="auto" w:fill="auto"/>
            <w:noWrap/>
            <w:vAlign w:val="center"/>
            <w:hideMark/>
          </w:tcPr>
          <w:p w14:paraId="66DA7EE3"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30.2</w:t>
            </w:r>
          </w:p>
        </w:tc>
        <w:tc>
          <w:tcPr>
            <w:tcW w:w="222" w:type="dxa"/>
            <w:tcBorders>
              <w:top w:val="nil"/>
              <w:left w:val="nil"/>
              <w:bottom w:val="nil"/>
              <w:right w:val="nil"/>
            </w:tcBorders>
            <w:shd w:val="clear" w:color="auto" w:fill="auto"/>
            <w:vAlign w:val="bottom"/>
            <w:hideMark/>
          </w:tcPr>
          <w:p w14:paraId="6742A5F3"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02E5532B"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32B43DB6"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47B04596"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051C5900" w14:textId="77777777" w:rsidTr="002B6B59">
        <w:trPr>
          <w:trHeight w:val="300"/>
        </w:trPr>
        <w:tc>
          <w:tcPr>
            <w:tcW w:w="3510" w:type="dxa"/>
            <w:tcBorders>
              <w:top w:val="nil"/>
              <w:left w:val="nil"/>
              <w:bottom w:val="nil"/>
              <w:right w:val="nil"/>
            </w:tcBorders>
            <w:shd w:val="clear" w:color="auto" w:fill="auto"/>
            <w:vAlign w:val="center"/>
            <w:hideMark/>
          </w:tcPr>
          <w:p w14:paraId="1DF79175"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Other liabilities</w:t>
            </w:r>
          </w:p>
        </w:tc>
        <w:tc>
          <w:tcPr>
            <w:tcW w:w="1000" w:type="dxa"/>
            <w:tcBorders>
              <w:top w:val="nil"/>
              <w:left w:val="nil"/>
              <w:bottom w:val="nil"/>
              <w:right w:val="nil"/>
            </w:tcBorders>
            <w:shd w:val="clear" w:color="auto" w:fill="auto"/>
            <w:noWrap/>
            <w:vAlign w:val="center"/>
            <w:hideMark/>
          </w:tcPr>
          <w:p w14:paraId="3D93F3B2"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39</w:t>
            </w:r>
          </w:p>
        </w:tc>
        <w:tc>
          <w:tcPr>
            <w:tcW w:w="222" w:type="dxa"/>
            <w:tcBorders>
              <w:top w:val="nil"/>
              <w:left w:val="nil"/>
              <w:bottom w:val="nil"/>
              <w:right w:val="nil"/>
            </w:tcBorders>
            <w:shd w:val="clear" w:color="auto" w:fill="auto"/>
            <w:vAlign w:val="bottom"/>
            <w:hideMark/>
          </w:tcPr>
          <w:p w14:paraId="6FF8C45C"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3591EF50"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1.269.287 </w:t>
            </w:r>
          </w:p>
        </w:tc>
        <w:tc>
          <w:tcPr>
            <w:tcW w:w="222" w:type="dxa"/>
            <w:tcBorders>
              <w:top w:val="nil"/>
              <w:left w:val="nil"/>
              <w:bottom w:val="nil"/>
              <w:right w:val="nil"/>
            </w:tcBorders>
            <w:shd w:val="clear" w:color="auto" w:fill="auto"/>
            <w:vAlign w:val="bottom"/>
            <w:hideMark/>
          </w:tcPr>
          <w:p w14:paraId="3A96AD80"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418ACE62"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1.345.262 </w:t>
            </w:r>
          </w:p>
        </w:tc>
      </w:tr>
      <w:tr w:rsidR="002B6B59" w:rsidRPr="002B6B59" w14:paraId="0F3A332F" w14:textId="77777777" w:rsidTr="002B6B59">
        <w:trPr>
          <w:trHeight w:val="300"/>
        </w:trPr>
        <w:tc>
          <w:tcPr>
            <w:tcW w:w="3510" w:type="dxa"/>
            <w:tcBorders>
              <w:top w:val="nil"/>
              <w:left w:val="nil"/>
              <w:bottom w:val="nil"/>
              <w:right w:val="nil"/>
            </w:tcBorders>
            <w:shd w:val="clear" w:color="auto" w:fill="auto"/>
            <w:vAlign w:val="center"/>
            <w:hideMark/>
          </w:tcPr>
          <w:p w14:paraId="2B8F0ED9"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 xml:space="preserve">Liabilities directly related to disposal group of assets </w:t>
            </w:r>
          </w:p>
        </w:tc>
        <w:tc>
          <w:tcPr>
            <w:tcW w:w="1000" w:type="dxa"/>
            <w:tcBorders>
              <w:top w:val="nil"/>
              <w:left w:val="nil"/>
              <w:bottom w:val="nil"/>
              <w:right w:val="nil"/>
            </w:tcBorders>
            <w:shd w:val="clear" w:color="auto" w:fill="auto"/>
            <w:noWrap/>
            <w:vAlign w:val="center"/>
            <w:hideMark/>
          </w:tcPr>
          <w:p w14:paraId="2A395700"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31</w:t>
            </w:r>
          </w:p>
        </w:tc>
        <w:tc>
          <w:tcPr>
            <w:tcW w:w="222" w:type="dxa"/>
            <w:tcBorders>
              <w:top w:val="nil"/>
              <w:left w:val="nil"/>
              <w:bottom w:val="nil"/>
              <w:right w:val="nil"/>
            </w:tcBorders>
            <w:shd w:val="clear" w:color="auto" w:fill="auto"/>
            <w:vAlign w:val="bottom"/>
            <w:hideMark/>
          </w:tcPr>
          <w:p w14:paraId="74CB6F5E"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3B7C5738"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2C2AD2BE"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01E37CDF"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029E87AC" w14:textId="77777777" w:rsidTr="002B6B59">
        <w:trPr>
          <w:trHeight w:val="300"/>
        </w:trPr>
        <w:tc>
          <w:tcPr>
            <w:tcW w:w="3510" w:type="dxa"/>
            <w:tcBorders>
              <w:top w:val="nil"/>
              <w:left w:val="nil"/>
              <w:bottom w:val="nil"/>
              <w:right w:val="nil"/>
            </w:tcBorders>
            <w:shd w:val="clear" w:color="auto" w:fill="auto"/>
            <w:vAlign w:val="center"/>
            <w:hideMark/>
          </w:tcPr>
          <w:p w14:paraId="46CA4015"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r w:rsidRPr="002B6B59">
              <w:rPr>
                <w:rFonts w:ascii="Times New Roman" w:eastAsia="Times New Roman" w:hAnsi="Times New Roman"/>
                <w:b/>
                <w:bCs/>
                <w:sz w:val="21"/>
                <w:szCs w:val="21"/>
                <w:lang w:val="en-GB" w:eastAsia="mk-MK"/>
              </w:rPr>
              <w:t>Total liabilities</w:t>
            </w:r>
          </w:p>
        </w:tc>
        <w:tc>
          <w:tcPr>
            <w:tcW w:w="1000" w:type="dxa"/>
            <w:tcBorders>
              <w:top w:val="nil"/>
              <w:left w:val="nil"/>
              <w:bottom w:val="nil"/>
              <w:right w:val="nil"/>
            </w:tcBorders>
            <w:shd w:val="clear" w:color="auto" w:fill="auto"/>
            <w:noWrap/>
            <w:vAlign w:val="center"/>
            <w:hideMark/>
          </w:tcPr>
          <w:p w14:paraId="58094456"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p>
        </w:tc>
        <w:tc>
          <w:tcPr>
            <w:tcW w:w="222" w:type="dxa"/>
            <w:tcBorders>
              <w:top w:val="nil"/>
              <w:left w:val="nil"/>
              <w:bottom w:val="nil"/>
              <w:right w:val="nil"/>
            </w:tcBorders>
            <w:shd w:val="clear" w:color="auto" w:fill="auto"/>
            <w:vAlign w:val="bottom"/>
            <w:hideMark/>
          </w:tcPr>
          <w:p w14:paraId="768F87DB"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single" w:sz="4" w:space="0" w:color="auto"/>
              <w:left w:val="nil"/>
              <w:bottom w:val="single" w:sz="4" w:space="0" w:color="auto"/>
              <w:right w:val="nil"/>
            </w:tcBorders>
            <w:shd w:val="clear" w:color="auto" w:fill="auto"/>
            <w:vAlign w:val="bottom"/>
            <w:hideMark/>
          </w:tcPr>
          <w:p w14:paraId="7B5BDCFB"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100.594.759 </w:t>
            </w:r>
          </w:p>
        </w:tc>
        <w:tc>
          <w:tcPr>
            <w:tcW w:w="222" w:type="dxa"/>
            <w:tcBorders>
              <w:top w:val="nil"/>
              <w:left w:val="nil"/>
              <w:bottom w:val="nil"/>
              <w:right w:val="nil"/>
            </w:tcBorders>
            <w:shd w:val="clear" w:color="auto" w:fill="auto"/>
            <w:vAlign w:val="bottom"/>
            <w:hideMark/>
          </w:tcPr>
          <w:p w14:paraId="0E399647"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1696" w:type="dxa"/>
            <w:tcBorders>
              <w:top w:val="single" w:sz="4" w:space="0" w:color="auto"/>
              <w:left w:val="nil"/>
              <w:bottom w:val="single" w:sz="4" w:space="0" w:color="auto"/>
              <w:right w:val="nil"/>
            </w:tcBorders>
            <w:shd w:val="clear" w:color="auto" w:fill="auto"/>
            <w:vAlign w:val="bottom"/>
            <w:hideMark/>
          </w:tcPr>
          <w:p w14:paraId="5246D677"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94.310.360 </w:t>
            </w:r>
          </w:p>
        </w:tc>
      </w:tr>
      <w:tr w:rsidR="002B6B59" w:rsidRPr="002B6B59" w14:paraId="2DD8DD12" w14:textId="77777777" w:rsidTr="002B6B59">
        <w:trPr>
          <w:trHeight w:val="300"/>
        </w:trPr>
        <w:tc>
          <w:tcPr>
            <w:tcW w:w="3510" w:type="dxa"/>
            <w:tcBorders>
              <w:top w:val="nil"/>
              <w:left w:val="nil"/>
              <w:bottom w:val="nil"/>
              <w:right w:val="nil"/>
            </w:tcBorders>
            <w:shd w:val="clear" w:color="auto" w:fill="auto"/>
            <w:noWrap/>
            <w:vAlign w:val="bottom"/>
            <w:hideMark/>
          </w:tcPr>
          <w:p w14:paraId="16C78F4E"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1000" w:type="dxa"/>
            <w:tcBorders>
              <w:top w:val="nil"/>
              <w:left w:val="nil"/>
              <w:bottom w:val="nil"/>
              <w:right w:val="nil"/>
            </w:tcBorders>
            <w:shd w:val="clear" w:color="auto" w:fill="auto"/>
            <w:noWrap/>
            <w:vAlign w:val="bottom"/>
            <w:hideMark/>
          </w:tcPr>
          <w:p w14:paraId="00D15133" w14:textId="77777777" w:rsidR="002B6B59" w:rsidRPr="002B6B59" w:rsidRDefault="002B6B59" w:rsidP="00E4741F">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7924BBEF" w14:textId="77777777" w:rsidR="002B6B59" w:rsidRPr="002B6B59" w:rsidRDefault="002B6B59" w:rsidP="00E4741F">
            <w:pPr>
              <w:spacing w:after="0" w:line="240" w:lineRule="auto"/>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center"/>
            <w:hideMark/>
          </w:tcPr>
          <w:p w14:paraId="114AB8B0"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7A9BF680"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center"/>
            <w:hideMark/>
          </w:tcPr>
          <w:p w14:paraId="4C4C800A"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r>
      <w:tr w:rsidR="002B6B59" w:rsidRPr="002B6B59" w14:paraId="3EE79F03" w14:textId="77777777" w:rsidTr="002B6B59">
        <w:trPr>
          <w:trHeight w:val="300"/>
        </w:trPr>
        <w:tc>
          <w:tcPr>
            <w:tcW w:w="3510" w:type="dxa"/>
            <w:tcBorders>
              <w:top w:val="nil"/>
              <w:left w:val="nil"/>
              <w:bottom w:val="nil"/>
              <w:right w:val="nil"/>
            </w:tcBorders>
            <w:shd w:val="clear" w:color="auto" w:fill="auto"/>
            <w:noWrap/>
            <w:vAlign w:val="bottom"/>
            <w:hideMark/>
          </w:tcPr>
          <w:p w14:paraId="73A5C26B"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000" w:type="dxa"/>
            <w:tcBorders>
              <w:top w:val="nil"/>
              <w:left w:val="nil"/>
              <w:bottom w:val="nil"/>
              <w:right w:val="nil"/>
            </w:tcBorders>
            <w:shd w:val="clear" w:color="auto" w:fill="auto"/>
            <w:noWrap/>
            <w:vAlign w:val="bottom"/>
            <w:hideMark/>
          </w:tcPr>
          <w:p w14:paraId="39207CA1" w14:textId="77777777" w:rsidR="002B6B59" w:rsidRPr="002B6B59" w:rsidRDefault="002B6B59" w:rsidP="00E4741F">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noWrap/>
            <w:vAlign w:val="bottom"/>
            <w:hideMark/>
          </w:tcPr>
          <w:p w14:paraId="2E5A0CC6" w14:textId="77777777" w:rsidR="002B6B59" w:rsidRPr="002B6B59" w:rsidRDefault="002B6B59" w:rsidP="00E4741F">
            <w:pPr>
              <w:spacing w:after="0" w:line="240" w:lineRule="auto"/>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center"/>
            <w:hideMark/>
          </w:tcPr>
          <w:p w14:paraId="4FA8CB11" w14:textId="77777777" w:rsidR="002B6B59" w:rsidRPr="002B6B59" w:rsidRDefault="002B6B59" w:rsidP="00E4741F">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19831B6D"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center"/>
            <w:hideMark/>
          </w:tcPr>
          <w:p w14:paraId="55BFECAD"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r>
      <w:tr w:rsidR="002B6B59" w:rsidRPr="002B6B59" w14:paraId="51678AC7" w14:textId="77777777" w:rsidTr="002B6B59">
        <w:trPr>
          <w:trHeight w:val="300"/>
        </w:trPr>
        <w:tc>
          <w:tcPr>
            <w:tcW w:w="3510" w:type="dxa"/>
            <w:tcBorders>
              <w:top w:val="nil"/>
              <w:left w:val="nil"/>
              <w:bottom w:val="nil"/>
              <w:right w:val="nil"/>
            </w:tcBorders>
            <w:shd w:val="clear" w:color="auto" w:fill="auto"/>
            <w:vAlign w:val="center"/>
            <w:hideMark/>
          </w:tcPr>
          <w:p w14:paraId="56CBFAB9"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r w:rsidRPr="002B6B59">
              <w:rPr>
                <w:rFonts w:ascii="Times New Roman" w:eastAsia="Times New Roman" w:hAnsi="Times New Roman"/>
                <w:b/>
                <w:bCs/>
                <w:sz w:val="21"/>
                <w:szCs w:val="21"/>
                <w:lang w:val="en-GB" w:eastAsia="mk-MK"/>
              </w:rPr>
              <w:t>EQUITY AND RESERVES</w:t>
            </w:r>
          </w:p>
        </w:tc>
        <w:tc>
          <w:tcPr>
            <w:tcW w:w="1000" w:type="dxa"/>
            <w:tcBorders>
              <w:top w:val="nil"/>
              <w:left w:val="nil"/>
              <w:bottom w:val="nil"/>
              <w:right w:val="nil"/>
            </w:tcBorders>
            <w:shd w:val="clear" w:color="auto" w:fill="auto"/>
            <w:noWrap/>
            <w:vAlign w:val="center"/>
            <w:hideMark/>
          </w:tcPr>
          <w:p w14:paraId="6A5E73BB"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p>
        </w:tc>
        <w:tc>
          <w:tcPr>
            <w:tcW w:w="222" w:type="dxa"/>
            <w:tcBorders>
              <w:top w:val="nil"/>
              <w:left w:val="nil"/>
              <w:bottom w:val="nil"/>
              <w:right w:val="nil"/>
            </w:tcBorders>
            <w:shd w:val="clear" w:color="auto" w:fill="auto"/>
            <w:vAlign w:val="bottom"/>
            <w:hideMark/>
          </w:tcPr>
          <w:p w14:paraId="448AB5AF"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center"/>
            <w:hideMark/>
          </w:tcPr>
          <w:p w14:paraId="1868D1DE" w14:textId="77777777" w:rsidR="002B6B59" w:rsidRPr="002B6B59" w:rsidRDefault="002B6B59" w:rsidP="00E4741F">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0847FC95"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center"/>
            <w:hideMark/>
          </w:tcPr>
          <w:p w14:paraId="4CB185D1"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r>
      <w:tr w:rsidR="002B6B59" w:rsidRPr="002B6B59" w14:paraId="116415FA" w14:textId="77777777" w:rsidTr="002B6B59">
        <w:trPr>
          <w:trHeight w:val="300"/>
        </w:trPr>
        <w:tc>
          <w:tcPr>
            <w:tcW w:w="3510" w:type="dxa"/>
            <w:tcBorders>
              <w:top w:val="nil"/>
              <w:left w:val="nil"/>
              <w:bottom w:val="nil"/>
              <w:right w:val="nil"/>
            </w:tcBorders>
            <w:shd w:val="clear" w:color="auto" w:fill="auto"/>
            <w:vAlign w:val="center"/>
            <w:hideMark/>
          </w:tcPr>
          <w:p w14:paraId="0C43C4B2"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Subscribed capital</w:t>
            </w:r>
          </w:p>
        </w:tc>
        <w:tc>
          <w:tcPr>
            <w:tcW w:w="1000" w:type="dxa"/>
            <w:tcBorders>
              <w:top w:val="nil"/>
              <w:left w:val="nil"/>
              <w:bottom w:val="nil"/>
              <w:right w:val="nil"/>
            </w:tcBorders>
            <w:shd w:val="clear" w:color="auto" w:fill="auto"/>
            <w:noWrap/>
            <w:vAlign w:val="center"/>
            <w:hideMark/>
          </w:tcPr>
          <w:p w14:paraId="1EDD9052"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40</w:t>
            </w:r>
          </w:p>
        </w:tc>
        <w:tc>
          <w:tcPr>
            <w:tcW w:w="222" w:type="dxa"/>
            <w:tcBorders>
              <w:top w:val="nil"/>
              <w:left w:val="nil"/>
              <w:bottom w:val="nil"/>
              <w:right w:val="nil"/>
            </w:tcBorders>
            <w:shd w:val="clear" w:color="auto" w:fill="auto"/>
            <w:vAlign w:val="bottom"/>
            <w:hideMark/>
          </w:tcPr>
          <w:p w14:paraId="34F66159"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6B0158B7"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3.511.242 </w:t>
            </w:r>
          </w:p>
        </w:tc>
        <w:tc>
          <w:tcPr>
            <w:tcW w:w="222" w:type="dxa"/>
            <w:tcBorders>
              <w:top w:val="nil"/>
              <w:left w:val="nil"/>
              <w:bottom w:val="nil"/>
              <w:right w:val="nil"/>
            </w:tcBorders>
            <w:shd w:val="clear" w:color="auto" w:fill="auto"/>
            <w:vAlign w:val="bottom"/>
            <w:hideMark/>
          </w:tcPr>
          <w:p w14:paraId="2DB545F7"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1E49D459"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3.511.242 </w:t>
            </w:r>
          </w:p>
        </w:tc>
      </w:tr>
      <w:tr w:rsidR="002B6B59" w:rsidRPr="002B6B59" w14:paraId="2B97B0E0" w14:textId="77777777" w:rsidTr="002B6B59">
        <w:trPr>
          <w:trHeight w:val="300"/>
        </w:trPr>
        <w:tc>
          <w:tcPr>
            <w:tcW w:w="3510" w:type="dxa"/>
            <w:tcBorders>
              <w:top w:val="nil"/>
              <w:left w:val="nil"/>
              <w:bottom w:val="nil"/>
              <w:right w:val="nil"/>
            </w:tcBorders>
            <w:shd w:val="clear" w:color="auto" w:fill="auto"/>
            <w:vAlign w:val="center"/>
            <w:hideMark/>
          </w:tcPr>
          <w:p w14:paraId="47ABE1C6"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Share premium</w:t>
            </w:r>
          </w:p>
        </w:tc>
        <w:tc>
          <w:tcPr>
            <w:tcW w:w="1000" w:type="dxa"/>
            <w:tcBorders>
              <w:top w:val="nil"/>
              <w:left w:val="nil"/>
              <w:bottom w:val="nil"/>
              <w:right w:val="nil"/>
            </w:tcBorders>
            <w:shd w:val="clear" w:color="auto" w:fill="auto"/>
            <w:noWrap/>
            <w:vAlign w:val="center"/>
            <w:hideMark/>
          </w:tcPr>
          <w:p w14:paraId="28014D7C"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p>
        </w:tc>
        <w:tc>
          <w:tcPr>
            <w:tcW w:w="222" w:type="dxa"/>
            <w:tcBorders>
              <w:top w:val="nil"/>
              <w:left w:val="nil"/>
              <w:bottom w:val="nil"/>
              <w:right w:val="nil"/>
            </w:tcBorders>
            <w:shd w:val="clear" w:color="auto" w:fill="auto"/>
            <w:vAlign w:val="bottom"/>
            <w:hideMark/>
          </w:tcPr>
          <w:p w14:paraId="55065EBE"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bottom"/>
            <w:hideMark/>
          </w:tcPr>
          <w:p w14:paraId="706D90E9" w14:textId="77777777" w:rsidR="002B6B59" w:rsidRPr="002B6B59" w:rsidRDefault="002B6B59" w:rsidP="00E4741F">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365D3E72"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3231625F"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613B2540" w14:textId="77777777" w:rsidTr="002B6B59">
        <w:trPr>
          <w:trHeight w:val="300"/>
        </w:trPr>
        <w:tc>
          <w:tcPr>
            <w:tcW w:w="3510" w:type="dxa"/>
            <w:tcBorders>
              <w:top w:val="nil"/>
              <w:left w:val="nil"/>
              <w:bottom w:val="nil"/>
              <w:right w:val="nil"/>
            </w:tcBorders>
            <w:shd w:val="clear" w:color="auto" w:fill="auto"/>
            <w:vAlign w:val="center"/>
            <w:hideMark/>
          </w:tcPr>
          <w:p w14:paraId="75695D75"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Treasury shares</w:t>
            </w:r>
          </w:p>
        </w:tc>
        <w:tc>
          <w:tcPr>
            <w:tcW w:w="1000" w:type="dxa"/>
            <w:tcBorders>
              <w:top w:val="nil"/>
              <w:left w:val="nil"/>
              <w:bottom w:val="nil"/>
              <w:right w:val="nil"/>
            </w:tcBorders>
            <w:shd w:val="clear" w:color="auto" w:fill="auto"/>
            <w:noWrap/>
            <w:vAlign w:val="center"/>
            <w:hideMark/>
          </w:tcPr>
          <w:p w14:paraId="66335AC5"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p>
        </w:tc>
        <w:tc>
          <w:tcPr>
            <w:tcW w:w="222" w:type="dxa"/>
            <w:tcBorders>
              <w:top w:val="nil"/>
              <w:left w:val="nil"/>
              <w:bottom w:val="nil"/>
              <w:right w:val="nil"/>
            </w:tcBorders>
            <w:shd w:val="clear" w:color="auto" w:fill="auto"/>
            <w:vAlign w:val="bottom"/>
            <w:hideMark/>
          </w:tcPr>
          <w:p w14:paraId="5B2E2EC7"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bottom"/>
            <w:hideMark/>
          </w:tcPr>
          <w:p w14:paraId="15C561C3" w14:textId="77777777" w:rsidR="002B6B59" w:rsidRPr="002B6B59" w:rsidRDefault="002B6B59" w:rsidP="00E4741F">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504424AB"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613FA21D"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74EE13D3" w14:textId="77777777" w:rsidTr="002B6B59">
        <w:trPr>
          <w:trHeight w:val="300"/>
        </w:trPr>
        <w:tc>
          <w:tcPr>
            <w:tcW w:w="3510" w:type="dxa"/>
            <w:tcBorders>
              <w:top w:val="nil"/>
              <w:left w:val="nil"/>
              <w:bottom w:val="nil"/>
              <w:right w:val="nil"/>
            </w:tcBorders>
            <w:shd w:val="clear" w:color="auto" w:fill="auto"/>
            <w:vAlign w:val="center"/>
            <w:hideMark/>
          </w:tcPr>
          <w:p w14:paraId="3510E59D"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Other equity instruments</w:t>
            </w:r>
          </w:p>
        </w:tc>
        <w:tc>
          <w:tcPr>
            <w:tcW w:w="1000" w:type="dxa"/>
            <w:tcBorders>
              <w:top w:val="nil"/>
              <w:left w:val="nil"/>
              <w:bottom w:val="nil"/>
              <w:right w:val="nil"/>
            </w:tcBorders>
            <w:shd w:val="clear" w:color="auto" w:fill="auto"/>
            <w:noWrap/>
            <w:vAlign w:val="center"/>
            <w:hideMark/>
          </w:tcPr>
          <w:p w14:paraId="644577F2"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p>
        </w:tc>
        <w:tc>
          <w:tcPr>
            <w:tcW w:w="222" w:type="dxa"/>
            <w:tcBorders>
              <w:top w:val="nil"/>
              <w:left w:val="nil"/>
              <w:bottom w:val="nil"/>
              <w:right w:val="nil"/>
            </w:tcBorders>
            <w:shd w:val="clear" w:color="auto" w:fill="auto"/>
            <w:vAlign w:val="bottom"/>
            <w:hideMark/>
          </w:tcPr>
          <w:p w14:paraId="58177CCB"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bottom"/>
            <w:hideMark/>
          </w:tcPr>
          <w:p w14:paraId="181B5795" w14:textId="77777777" w:rsidR="002B6B59" w:rsidRPr="002B6B59" w:rsidRDefault="002B6B59" w:rsidP="00E4741F">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6BFBAED1" w14:textId="77777777" w:rsidR="002B6B59" w:rsidRPr="002B6B59" w:rsidRDefault="002B6B59" w:rsidP="00E4741F">
            <w:pPr>
              <w:spacing w:after="0" w:line="240" w:lineRule="auto"/>
              <w:jc w:val="right"/>
              <w:rPr>
                <w:rFonts w:ascii="Times New Roman" w:eastAsia="Times New Roman" w:hAnsi="Times New Roman"/>
                <w:sz w:val="20"/>
                <w:szCs w:val="20"/>
                <w:lang w:val="mk-MK" w:eastAsia="mk-MK"/>
              </w:rPr>
            </w:pPr>
          </w:p>
        </w:tc>
        <w:tc>
          <w:tcPr>
            <w:tcW w:w="1696" w:type="dxa"/>
            <w:tcBorders>
              <w:top w:val="nil"/>
              <w:left w:val="nil"/>
              <w:bottom w:val="nil"/>
              <w:right w:val="nil"/>
            </w:tcBorders>
            <w:shd w:val="clear" w:color="auto" w:fill="auto"/>
            <w:vAlign w:val="bottom"/>
            <w:hideMark/>
          </w:tcPr>
          <w:p w14:paraId="316E70E7"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   </w:t>
            </w:r>
          </w:p>
        </w:tc>
      </w:tr>
      <w:tr w:rsidR="002B6B59" w:rsidRPr="002B6B59" w14:paraId="6B157824" w14:textId="77777777" w:rsidTr="002B6B59">
        <w:trPr>
          <w:trHeight w:val="300"/>
        </w:trPr>
        <w:tc>
          <w:tcPr>
            <w:tcW w:w="3510" w:type="dxa"/>
            <w:tcBorders>
              <w:top w:val="nil"/>
              <w:left w:val="nil"/>
              <w:bottom w:val="nil"/>
              <w:right w:val="nil"/>
            </w:tcBorders>
            <w:shd w:val="clear" w:color="auto" w:fill="auto"/>
            <w:vAlign w:val="center"/>
            <w:hideMark/>
          </w:tcPr>
          <w:p w14:paraId="6C7B718C"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Revaluation reserves</w:t>
            </w:r>
          </w:p>
        </w:tc>
        <w:tc>
          <w:tcPr>
            <w:tcW w:w="1000" w:type="dxa"/>
            <w:tcBorders>
              <w:top w:val="nil"/>
              <w:left w:val="nil"/>
              <w:bottom w:val="nil"/>
              <w:right w:val="nil"/>
            </w:tcBorders>
            <w:shd w:val="clear" w:color="auto" w:fill="auto"/>
            <w:noWrap/>
            <w:vAlign w:val="center"/>
            <w:hideMark/>
          </w:tcPr>
          <w:p w14:paraId="56BFF747"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40</w:t>
            </w:r>
          </w:p>
        </w:tc>
        <w:tc>
          <w:tcPr>
            <w:tcW w:w="222" w:type="dxa"/>
            <w:tcBorders>
              <w:top w:val="nil"/>
              <w:left w:val="nil"/>
              <w:bottom w:val="nil"/>
              <w:right w:val="nil"/>
            </w:tcBorders>
            <w:shd w:val="clear" w:color="auto" w:fill="auto"/>
            <w:vAlign w:val="bottom"/>
            <w:hideMark/>
          </w:tcPr>
          <w:p w14:paraId="1D7E3C88"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0EE4E9CD"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147.155 </w:t>
            </w:r>
          </w:p>
        </w:tc>
        <w:tc>
          <w:tcPr>
            <w:tcW w:w="222" w:type="dxa"/>
            <w:tcBorders>
              <w:top w:val="nil"/>
              <w:left w:val="nil"/>
              <w:bottom w:val="nil"/>
              <w:right w:val="nil"/>
            </w:tcBorders>
            <w:shd w:val="clear" w:color="auto" w:fill="auto"/>
            <w:vAlign w:val="bottom"/>
            <w:hideMark/>
          </w:tcPr>
          <w:p w14:paraId="7EEA2061"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76E9314E"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112.832 </w:t>
            </w:r>
          </w:p>
        </w:tc>
      </w:tr>
      <w:tr w:rsidR="002B6B59" w:rsidRPr="002B6B59" w14:paraId="4A837053" w14:textId="77777777" w:rsidTr="002B6B59">
        <w:trPr>
          <w:trHeight w:val="300"/>
        </w:trPr>
        <w:tc>
          <w:tcPr>
            <w:tcW w:w="3510" w:type="dxa"/>
            <w:tcBorders>
              <w:top w:val="nil"/>
              <w:left w:val="nil"/>
              <w:bottom w:val="nil"/>
              <w:right w:val="nil"/>
            </w:tcBorders>
            <w:shd w:val="clear" w:color="auto" w:fill="auto"/>
            <w:vAlign w:val="center"/>
            <w:hideMark/>
          </w:tcPr>
          <w:p w14:paraId="31AEF231"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Other reserves</w:t>
            </w:r>
          </w:p>
        </w:tc>
        <w:tc>
          <w:tcPr>
            <w:tcW w:w="1000" w:type="dxa"/>
            <w:tcBorders>
              <w:top w:val="nil"/>
              <w:left w:val="nil"/>
              <w:bottom w:val="nil"/>
              <w:right w:val="nil"/>
            </w:tcBorders>
            <w:shd w:val="clear" w:color="auto" w:fill="auto"/>
            <w:noWrap/>
            <w:vAlign w:val="center"/>
            <w:hideMark/>
          </w:tcPr>
          <w:p w14:paraId="1F8E180C"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40</w:t>
            </w:r>
          </w:p>
        </w:tc>
        <w:tc>
          <w:tcPr>
            <w:tcW w:w="222" w:type="dxa"/>
            <w:tcBorders>
              <w:top w:val="nil"/>
              <w:left w:val="nil"/>
              <w:bottom w:val="nil"/>
              <w:right w:val="nil"/>
            </w:tcBorders>
            <w:shd w:val="clear" w:color="auto" w:fill="auto"/>
            <w:vAlign w:val="bottom"/>
            <w:hideMark/>
          </w:tcPr>
          <w:p w14:paraId="293D3A76" w14:textId="77777777" w:rsidR="002B6B59" w:rsidRPr="002B6B59" w:rsidRDefault="002B6B59" w:rsidP="00E4741F">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2CF879E4"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831.373 </w:t>
            </w:r>
          </w:p>
        </w:tc>
        <w:tc>
          <w:tcPr>
            <w:tcW w:w="222" w:type="dxa"/>
            <w:tcBorders>
              <w:top w:val="nil"/>
              <w:left w:val="nil"/>
              <w:bottom w:val="nil"/>
              <w:right w:val="nil"/>
            </w:tcBorders>
            <w:shd w:val="clear" w:color="auto" w:fill="auto"/>
            <w:vAlign w:val="bottom"/>
            <w:hideMark/>
          </w:tcPr>
          <w:p w14:paraId="5368DC12"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78CF79E0"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831.373 </w:t>
            </w:r>
          </w:p>
        </w:tc>
      </w:tr>
      <w:tr w:rsidR="002B6B59" w:rsidRPr="002B6B59" w14:paraId="6C3BC5B1" w14:textId="77777777" w:rsidTr="002B6B59">
        <w:trPr>
          <w:trHeight w:val="300"/>
        </w:trPr>
        <w:tc>
          <w:tcPr>
            <w:tcW w:w="3510" w:type="dxa"/>
            <w:tcBorders>
              <w:top w:val="nil"/>
              <w:left w:val="nil"/>
              <w:bottom w:val="nil"/>
              <w:right w:val="nil"/>
            </w:tcBorders>
            <w:shd w:val="clear" w:color="auto" w:fill="auto"/>
            <w:vAlign w:val="center"/>
            <w:hideMark/>
          </w:tcPr>
          <w:p w14:paraId="2F78F400"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r w:rsidRPr="002B6B59">
              <w:rPr>
                <w:rFonts w:ascii="Times New Roman" w:eastAsia="Times New Roman" w:hAnsi="Times New Roman"/>
                <w:sz w:val="21"/>
                <w:szCs w:val="21"/>
                <w:lang w:val="en-GB" w:eastAsia="mk-MK"/>
              </w:rPr>
              <w:t>Retained earnings</w:t>
            </w:r>
          </w:p>
        </w:tc>
        <w:tc>
          <w:tcPr>
            <w:tcW w:w="1000" w:type="dxa"/>
            <w:tcBorders>
              <w:top w:val="nil"/>
              <w:left w:val="nil"/>
              <w:bottom w:val="nil"/>
              <w:right w:val="nil"/>
            </w:tcBorders>
            <w:shd w:val="clear" w:color="auto" w:fill="auto"/>
            <w:noWrap/>
            <w:vAlign w:val="center"/>
            <w:hideMark/>
          </w:tcPr>
          <w:p w14:paraId="4E35614A" w14:textId="77777777" w:rsidR="002B6B59" w:rsidRPr="002B6B59" w:rsidRDefault="002B6B59" w:rsidP="00E4741F">
            <w:pPr>
              <w:spacing w:after="0" w:line="240" w:lineRule="auto"/>
              <w:rPr>
                <w:rFonts w:ascii="Times New Roman" w:eastAsia="Times New Roman" w:hAnsi="Times New Roman"/>
                <w:color w:val="000000"/>
                <w:sz w:val="21"/>
                <w:szCs w:val="21"/>
                <w:lang w:val="mk-MK" w:eastAsia="mk-MK"/>
              </w:rPr>
            </w:pPr>
          </w:p>
        </w:tc>
        <w:tc>
          <w:tcPr>
            <w:tcW w:w="222" w:type="dxa"/>
            <w:tcBorders>
              <w:top w:val="nil"/>
              <w:left w:val="nil"/>
              <w:bottom w:val="nil"/>
              <w:right w:val="nil"/>
            </w:tcBorders>
            <w:shd w:val="clear" w:color="auto" w:fill="auto"/>
            <w:vAlign w:val="bottom"/>
            <w:hideMark/>
          </w:tcPr>
          <w:p w14:paraId="70E2440C"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bottom"/>
            <w:hideMark/>
          </w:tcPr>
          <w:p w14:paraId="33597D57"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17.708.569 </w:t>
            </w:r>
          </w:p>
        </w:tc>
        <w:tc>
          <w:tcPr>
            <w:tcW w:w="222" w:type="dxa"/>
            <w:tcBorders>
              <w:top w:val="nil"/>
              <w:left w:val="nil"/>
              <w:bottom w:val="nil"/>
              <w:right w:val="nil"/>
            </w:tcBorders>
            <w:shd w:val="clear" w:color="auto" w:fill="auto"/>
            <w:vAlign w:val="bottom"/>
            <w:hideMark/>
          </w:tcPr>
          <w:p w14:paraId="0B2A4B8D"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p>
        </w:tc>
        <w:tc>
          <w:tcPr>
            <w:tcW w:w="1696" w:type="dxa"/>
            <w:tcBorders>
              <w:top w:val="nil"/>
              <w:left w:val="nil"/>
              <w:bottom w:val="nil"/>
              <w:right w:val="nil"/>
            </w:tcBorders>
            <w:shd w:val="clear" w:color="auto" w:fill="auto"/>
            <w:vAlign w:val="bottom"/>
            <w:hideMark/>
          </w:tcPr>
          <w:p w14:paraId="70A104A3" w14:textId="77777777" w:rsidR="002B6B59" w:rsidRPr="002B6B59" w:rsidRDefault="002B6B59" w:rsidP="00E4741F">
            <w:pPr>
              <w:spacing w:after="0" w:line="240" w:lineRule="auto"/>
              <w:jc w:val="right"/>
              <w:rPr>
                <w:rFonts w:ascii="Times New Roman" w:eastAsia="Times New Roman" w:hAnsi="Times New Roman"/>
                <w:sz w:val="21"/>
                <w:szCs w:val="21"/>
                <w:lang w:val="mk-MK" w:eastAsia="mk-MK"/>
              </w:rPr>
            </w:pPr>
            <w:r w:rsidRPr="002B6B59">
              <w:rPr>
                <w:rFonts w:ascii="Times New Roman" w:eastAsia="Times New Roman" w:hAnsi="Times New Roman"/>
                <w:sz w:val="21"/>
                <w:szCs w:val="21"/>
                <w:lang w:val="mk-MK" w:eastAsia="mk-MK"/>
              </w:rPr>
              <w:t xml:space="preserve">               15.336.892 </w:t>
            </w:r>
          </w:p>
        </w:tc>
      </w:tr>
      <w:tr w:rsidR="002B6B59" w:rsidRPr="002B6B59" w14:paraId="54BCC5B2" w14:textId="77777777" w:rsidTr="002B6B59">
        <w:trPr>
          <w:trHeight w:val="300"/>
        </w:trPr>
        <w:tc>
          <w:tcPr>
            <w:tcW w:w="3510" w:type="dxa"/>
            <w:tcBorders>
              <w:top w:val="nil"/>
              <w:left w:val="nil"/>
              <w:bottom w:val="nil"/>
              <w:right w:val="nil"/>
            </w:tcBorders>
            <w:shd w:val="clear" w:color="auto" w:fill="auto"/>
            <w:vAlign w:val="center"/>
            <w:hideMark/>
          </w:tcPr>
          <w:p w14:paraId="4C1C0778"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r w:rsidRPr="002B6B59">
              <w:rPr>
                <w:rFonts w:ascii="Times New Roman" w:eastAsia="Times New Roman" w:hAnsi="Times New Roman"/>
                <w:b/>
                <w:bCs/>
                <w:sz w:val="21"/>
                <w:szCs w:val="21"/>
                <w:lang w:val="en-GB" w:eastAsia="mk-MK"/>
              </w:rPr>
              <w:t>Total equity and reserves</w:t>
            </w:r>
          </w:p>
        </w:tc>
        <w:tc>
          <w:tcPr>
            <w:tcW w:w="1000" w:type="dxa"/>
            <w:tcBorders>
              <w:top w:val="nil"/>
              <w:left w:val="nil"/>
              <w:bottom w:val="nil"/>
              <w:right w:val="nil"/>
            </w:tcBorders>
            <w:shd w:val="clear" w:color="auto" w:fill="auto"/>
            <w:noWrap/>
            <w:vAlign w:val="center"/>
            <w:hideMark/>
          </w:tcPr>
          <w:p w14:paraId="6A575D49"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p>
        </w:tc>
        <w:tc>
          <w:tcPr>
            <w:tcW w:w="222" w:type="dxa"/>
            <w:tcBorders>
              <w:top w:val="nil"/>
              <w:left w:val="nil"/>
              <w:bottom w:val="nil"/>
              <w:right w:val="nil"/>
            </w:tcBorders>
            <w:shd w:val="clear" w:color="auto" w:fill="auto"/>
            <w:vAlign w:val="bottom"/>
            <w:hideMark/>
          </w:tcPr>
          <w:p w14:paraId="34A2996E"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single" w:sz="4" w:space="0" w:color="auto"/>
              <w:left w:val="nil"/>
              <w:bottom w:val="single" w:sz="4" w:space="0" w:color="auto"/>
              <w:right w:val="nil"/>
            </w:tcBorders>
            <w:shd w:val="clear" w:color="auto" w:fill="auto"/>
            <w:vAlign w:val="bottom"/>
            <w:hideMark/>
          </w:tcPr>
          <w:p w14:paraId="5CE4D79E"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22.198.339 </w:t>
            </w:r>
          </w:p>
        </w:tc>
        <w:tc>
          <w:tcPr>
            <w:tcW w:w="222" w:type="dxa"/>
            <w:tcBorders>
              <w:top w:val="nil"/>
              <w:left w:val="nil"/>
              <w:bottom w:val="nil"/>
              <w:right w:val="nil"/>
            </w:tcBorders>
            <w:shd w:val="clear" w:color="auto" w:fill="auto"/>
            <w:vAlign w:val="bottom"/>
            <w:hideMark/>
          </w:tcPr>
          <w:p w14:paraId="5230AD40"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1696" w:type="dxa"/>
            <w:tcBorders>
              <w:top w:val="single" w:sz="4" w:space="0" w:color="auto"/>
              <w:left w:val="nil"/>
              <w:bottom w:val="single" w:sz="4" w:space="0" w:color="auto"/>
              <w:right w:val="nil"/>
            </w:tcBorders>
            <w:shd w:val="clear" w:color="auto" w:fill="auto"/>
            <w:vAlign w:val="bottom"/>
            <w:hideMark/>
          </w:tcPr>
          <w:p w14:paraId="30735CD3"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19.792.339 </w:t>
            </w:r>
          </w:p>
        </w:tc>
      </w:tr>
      <w:tr w:rsidR="002B6B59" w:rsidRPr="002B6B59" w14:paraId="047EFA90" w14:textId="77777777" w:rsidTr="002B6B59">
        <w:trPr>
          <w:trHeight w:val="300"/>
        </w:trPr>
        <w:tc>
          <w:tcPr>
            <w:tcW w:w="3510" w:type="dxa"/>
            <w:tcBorders>
              <w:top w:val="nil"/>
              <w:left w:val="nil"/>
              <w:bottom w:val="nil"/>
              <w:right w:val="nil"/>
            </w:tcBorders>
            <w:shd w:val="clear" w:color="auto" w:fill="auto"/>
            <w:vAlign w:val="center"/>
            <w:hideMark/>
          </w:tcPr>
          <w:p w14:paraId="68F91C99"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r w:rsidRPr="002B6B59">
              <w:rPr>
                <w:rFonts w:ascii="Times New Roman" w:eastAsia="Times New Roman" w:hAnsi="Times New Roman"/>
                <w:b/>
                <w:bCs/>
                <w:sz w:val="21"/>
                <w:szCs w:val="21"/>
                <w:lang w:val="en-GB" w:eastAsia="mk-MK"/>
              </w:rPr>
              <w:t>Total liabilities and equity and reserves</w:t>
            </w:r>
          </w:p>
        </w:tc>
        <w:tc>
          <w:tcPr>
            <w:tcW w:w="1000" w:type="dxa"/>
            <w:tcBorders>
              <w:top w:val="nil"/>
              <w:left w:val="nil"/>
              <w:bottom w:val="nil"/>
              <w:right w:val="nil"/>
            </w:tcBorders>
            <w:shd w:val="clear" w:color="auto" w:fill="auto"/>
            <w:noWrap/>
            <w:vAlign w:val="center"/>
            <w:hideMark/>
          </w:tcPr>
          <w:p w14:paraId="37CAF8BE" w14:textId="77777777" w:rsidR="002B6B59" w:rsidRPr="002B6B59" w:rsidRDefault="002B6B59" w:rsidP="00E4741F">
            <w:pPr>
              <w:spacing w:after="0" w:line="240" w:lineRule="auto"/>
              <w:rPr>
                <w:rFonts w:ascii="Times New Roman" w:eastAsia="Times New Roman" w:hAnsi="Times New Roman"/>
                <w:b/>
                <w:bCs/>
                <w:color w:val="000000"/>
                <w:sz w:val="21"/>
                <w:szCs w:val="21"/>
                <w:lang w:val="mk-MK" w:eastAsia="mk-MK"/>
              </w:rPr>
            </w:pPr>
          </w:p>
        </w:tc>
        <w:tc>
          <w:tcPr>
            <w:tcW w:w="222" w:type="dxa"/>
            <w:tcBorders>
              <w:top w:val="nil"/>
              <w:left w:val="nil"/>
              <w:bottom w:val="nil"/>
              <w:right w:val="nil"/>
            </w:tcBorders>
            <w:shd w:val="clear" w:color="auto" w:fill="auto"/>
            <w:vAlign w:val="bottom"/>
            <w:hideMark/>
          </w:tcPr>
          <w:p w14:paraId="00B55EBA" w14:textId="77777777" w:rsidR="002B6B59" w:rsidRPr="002B6B59" w:rsidRDefault="002B6B59" w:rsidP="00E4741F">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double" w:sz="6" w:space="0" w:color="auto"/>
              <w:right w:val="nil"/>
            </w:tcBorders>
            <w:shd w:val="clear" w:color="auto" w:fill="auto"/>
            <w:vAlign w:val="bottom"/>
            <w:hideMark/>
          </w:tcPr>
          <w:p w14:paraId="48FFC6E8"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122.793.098 </w:t>
            </w:r>
          </w:p>
        </w:tc>
        <w:tc>
          <w:tcPr>
            <w:tcW w:w="222" w:type="dxa"/>
            <w:tcBorders>
              <w:top w:val="nil"/>
              <w:left w:val="nil"/>
              <w:bottom w:val="nil"/>
              <w:right w:val="nil"/>
            </w:tcBorders>
            <w:shd w:val="clear" w:color="auto" w:fill="auto"/>
            <w:vAlign w:val="bottom"/>
            <w:hideMark/>
          </w:tcPr>
          <w:p w14:paraId="177E9B1C"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p>
        </w:tc>
        <w:tc>
          <w:tcPr>
            <w:tcW w:w="1696" w:type="dxa"/>
            <w:tcBorders>
              <w:top w:val="nil"/>
              <w:left w:val="nil"/>
              <w:bottom w:val="double" w:sz="6" w:space="0" w:color="auto"/>
              <w:right w:val="nil"/>
            </w:tcBorders>
            <w:shd w:val="clear" w:color="auto" w:fill="auto"/>
            <w:vAlign w:val="bottom"/>
            <w:hideMark/>
          </w:tcPr>
          <w:p w14:paraId="6F114488" w14:textId="77777777" w:rsidR="002B6B59" w:rsidRPr="002B6B59" w:rsidRDefault="002B6B59" w:rsidP="00E4741F">
            <w:pPr>
              <w:spacing w:after="0" w:line="240" w:lineRule="auto"/>
              <w:jc w:val="right"/>
              <w:rPr>
                <w:rFonts w:ascii="Times New Roman" w:eastAsia="Times New Roman" w:hAnsi="Times New Roman"/>
                <w:b/>
                <w:bCs/>
                <w:sz w:val="21"/>
                <w:szCs w:val="21"/>
                <w:lang w:val="mk-MK" w:eastAsia="mk-MK"/>
              </w:rPr>
            </w:pPr>
            <w:r w:rsidRPr="002B6B59">
              <w:rPr>
                <w:rFonts w:ascii="Times New Roman" w:eastAsia="Times New Roman" w:hAnsi="Times New Roman"/>
                <w:b/>
                <w:bCs/>
                <w:sz w:val="21"/>
                <w:szCs w:val="21"/>
                <w:lang w:val="mk-MK" w:eastAsia="mk-MK"/>
              </w:rPr>
              <w:t xml:space="preserve">            114.102.699 </w:t>
            </w:r>
          </w:p>
        </w:tc>
      </w:tr>
    </w:tbl>
    <w:p w14:paraId="165F222F" w14:textId="77777777" w:rsidR="002B6B59" w:rsidRDefault="002B6B59" w:rsidP="002B6B59">
      <w:pPr>
        <w:autoSpaceDE w:val="0"/>
        <w:autoSpaceDN w:val="0"/>
        <w:adjustRightInd w:val="0"/>
        <w:spacing w:after="0"/>
        <w:jc w:val="both"/>
        <w:rPr>
          <w:rFonts w:ascii="Times New Roman" w:eastAsia="Times New Roman" w:hAnsi="Times New Roman"/>
          <w:sz w:val="24"/>
          <w:szCs w:val="24"/>
          <w:lang w:val="mk-MK"/>
        </w:rPr>
      </w:pPr>
    </w:p>
    <w:p w14:paraId="5AAF1D92" w14:textId="77777777" w:rsidR="002B6B59" w:rsidRDefault="002B6B59" w:rsidP="002B6B59">
      <w:pPr>
        <w:autoSpaceDE w:val="0"/>
        <w:autoSpaceDN w:val="0"/>
        <w:adjustRightInd w:val="0"/>
        <w:spacing w:after="0"/>
        <w:jc w:val="both"/>
        <w:rPr>
          <w:rFonts w:ascii="Times New Roman" w:eastAsia="Times New Roman" w:hAnsi="Times New Roman"/>
          <w:sz w:val="24"/>
          <w:szCs w:val="24"/>
          <w:lang w:val="mk-MK"/>
        </w:rPr>
      </w:pPr>
    </w:p>
    <w:p w14:paraId="0B0E423C" w14:textId="77777777" w:rsidR="002B6B59" w:rsidRDefault="002B6B59" w:rsidP="002B6B59">
      <w:pPr>
        <w:pStyle w:val="Heading2"/>
      </w:pPr>
      <w:r>
        <w:t>Consolidated supervision</w:t>
      </w:r>
    </w:p>
    <w:p w14:paraId="3D0FA341" w14:textId="77777777" w:rsidR="002B6B59" w:rsidRDefault="002B6B59" w:rsidP="002B6B59"/>
    <w:p w14:paraId="1BF6DBF1" w14:textId="1021BB01" w:rsidR="002B6B59" w:rsidRPr="002B6B59" w:rsidRDefault="002B6B59" w:rsidP="002B6B59">
      <w:pPr>
        <w:jc w:val="both"/>
        <w:rPr>
          <w:szCs w:val="24"/>
          <w:lang w:val="mk-MK" w:eastAsia="en-GB"/>
        </w:rPr>
      </w:pPr>
      <w:r w:rsidRPr="002B6B59">
        <w:rPr>
          <w:rFonts w:ascii="Times New Roman" w:hAnsi="Times New Roman"/>
          <w:sz w:val="24"/>
          <w:szCs w:val="24"/>
          <w:lang w:val="mk-MK" w:eastAsia="en-GB"/>
        </w:rPr>
        <w:t xml:space="preserve">The Group is not subject to consolidated supervision by the Central Bank in accordance with </w:t>
      </w:r>
      <w:r>
        <w:rPr>
          <w:rFonts w:ascii="Times New Roman" w:hAnsi="Times New Roman"/>
          <w:sz w:val="24"/>
          <w:szCs w:val="24"/>
          <w:lang w:val="mk-MK" w:eastAsia="en-GB"/>
        </w:rPr>
        <w:t>the Decision of the consolidated</w:t>
      </w:r>
      <w:r w:rsidRPr="002B6B59">
        <w:rPr>
          <w:rFonts w:ascii="Times New Roman" w:hAnsi="Times New Roman"/>
          <w:sz w:val="24"/>
          <w:szCs w:val="24"/>
          <w:lang w:val="mk-MK" w:eastAsia="en-GB"/>
        </w:rPr>
        <w:t xml:space="preserve"> supervision due to the fact that connected company has assets lower than 1% of the assets of the Bank.</w:t>
      </w:r>
    </w:p>
    <w:p w14:paraId="68607288" w14:textId="77777777" w:rsidR="002B6B59" w:rsidRPr="007725B2" w:rsidRDefault="002B6B59" w:rsidP="002B6B59">
      <w:pPr>
        <w:jc w:val="both"/>
        <w:rPr>
          <w:lang w:val="mk-MK"/>
        </w:rPr>
      </w:pPr>
    </w:p>
    <w:p w14:paraId="5716BE45" w14:textId="77777777" w:rsidR="002B6B59" w:rsidRDefault="002B6B59" w:rsidP="002B6B59">
      <w:pPr>
        <w:pStyle w:val="Heading2"/>
        <w:rPr>
          <w:lang w:val="mk-MK"/>
        </w:rPr>
      </w:pPr>
      <w:r w:rsidRPr="002B6B59">
        <w:rPr>
          <w:lang w:val="mk-MK"/>
        </w:rPr>
        <w:t>Capital adequacy</w:t>
      </w:r>
      <w:r w:rsidRPr="007725B2">
        <w:rPr>
          <w:lang w:val="mk-MK"/>
        </w:rPr>
        <w:t xml:space="preserve"> </w:t>
      </w:r>
    </w:p>
    <w:p w14:paraId="1E8E485E" w14:textId="77777777" w:rsidR="002B6B59" w:rsidRPr="007725B2" w:rsidRDefault="002B6B59" w:rsidP="002B6B59">
      <w:pPr>
        <w:rPr>
          <w:lang w:val="mk-MK"/>
        </w:rPr>
      </w:pPr>
    </w:p>
    <w:p w14:paraId="537AF5D2" w14:textId="77777777" w:rsidR="002B6B59" w:rsidRDefault="002B6B59" w:rsidP="002B6B59">
      <w:pPr>
        <w:jc w:val="both"/>
        <w:rPr>
          <w:rFonts w:ascii="Times New Roman" w:hAnsi="Times New Roman"/>
          <w:sz w:val="24"/>
          <w:szCs w:val="24"/>
          <w:lang w:val="mk-MK" w:eastAsia="en-GB"/>
        </w:rPr>
      </w:pPr>
      <w:r w:rsidRPr="002B6B59">
        <w:rPr>
          <w:rFonts w:ascii="Times New Roman" w:hAnsi="Times New Roman"/>
          <w:sz w:val="24"/>
          <w:szCs w:val="24"/>
          <w:lang w:val="mk-MK" w:eastAsia="en-GB"/>
        </w:rPr>
        <w:t>In accordance with the Decision of the consolidated supervision, if the total assets of the subordinated company is below 1% of the assets of the mother company, the subordinated company is not included in the consolidated financial reports for the consolidated supervision. Based on the above, the capital adequacy ratio is not defined on the consolidated basis.</w:t>
      </w:r>
    </w:p>
    <w:p w14:paraId="2F35518E" w14:textId="77777777" w:rsidR="002B6B59" w:rsidRPr="002B6B59" w:rsidRDefault="002B6B59" w:rsidP="002B6B59">
      <w:pPr>
        <w:jc w:val="both"/>
        <w:rPr>
          <w:rFonts w:ascii="Times New Roman" w:hAnsi="Times New Roman"/>
          <w:sz w:val="24"/>
          <w:szCs w:val="24"/>
          <w:lang w:val="mk-MK" w:eastAsia="en-GB"/>
        </w:rPr>
      </w:pPr>
    </w:p>
    <w:p w14:paraId="2B868D61" w14:textId="77777777" w:rsidR="002B6B59" w:rsidRPr="002B6B59" w:rsidRDefault="002B6B59" w:rsidP="002B6B59">
      <w:pPr>
        <w:pStyle w:val="Heading2"/>
      </w:pPr>
      <w:r>
        <w:lastRenderedPageBreak/>
        <w:t>Consolidated annual accounts</w:t>
      </w:r>
    </w:p>
    <w:p w14:paraId="63EA7F14" w14:textId="77777777" w:rsidR="002B6B59" w:rsidRPr="00B77627" w:rsidRDefault="002B6B59" w:rsidP="002B6B59">
      <w:pPr>
        <w:rPr>
          <w:lang w:val="mk-MK"/>
        </w:rPr>
      </w:pPr>
    </w:p>
    <w:p w14:paraId="361A0EFD" w14:textId="523CA1E1" w:rsidR="002B6B59" w:rsidRDefault="002B6B59" w:rsidP="002B6B59">
      <w:pPr>
        <w:jc w:val="both"/>
        <w:rPr>
          <w:rFonts w:ascii="Times New Roman" w:hAnsi="Times New Roman"/>
          <w:sz w:val="24"/>
          <w:szCs w:val="24"/>
          <w:lang w:eastAsia="en-GB"/>
        </w:rPr>
      </w:pPr>
      <w:r w:rsidRPr="002B6B59">
        <w:rPr>
          <w:rFonts w:ascii="Times New Roman" w:hAnsi="Times New Roman"/>
          <w:sz w:val="24"/>
          <w:szCs w:val="24"/>
          <w:lang w:val="mk-MK" w:eastAsia="en-GB"/>
        </w:rPr>
        <w:t>The Group prepares the consolidated annual account in accordance with the Law o</w:t>
      </w:r>
      <w:r>
        <w:rPr>
          <w:rFonts w:ascii="Times New Roman" w:hAnsi="Times New Roman"/>
          <w:sz w:val="24"/>
          <w:szCs w:val="24"/>
          <w:lang w:eastAsia="en-GB"/>
        </w:rPr>
        <w:t>n trading companies. The financial information are disclosed in the Annual Report, they are consistent in all aspects with the consolidated annual account of the Group and with all other financial information disclose in the audited consolidated statements of the Group.</w:t>
      </w:r>
    </w:p>
    <w:p w14:paraId="20BDC8E4" w14:textId="77777777" w:rsidR="002B6B59" w:rsidRDefault="002B6B59" w:rsidP="002B6B59">
      <w:pPr>
        <w:jc w:val="both"/>
        <w:rPr>
          <w:rFonts w:ascii="Times New Roman" w:hAnsi="Times New Roman"/>
          <w:sz w:val="24"/>
          <w:szCs w:val="24"/>
          <w:lang w:eastAsia="en-GB"/>
        </w:rPr>
      </w:pPr>
    </w:p>
    <w:p w14:paraId="2BD0A986" w14:textId="77777777" w:rsidR="002B6B59" w:rsidRPr="002B6B59" w:rsidRDefault="002B6B59" w:rsidP="002B6B59">
      <w:pPr>
        <w:pStyle w:val="Heading2"/>
      </w:pPr>
      <w:r>
        <w:t>Percentage of participation</w:t>
      </w:r>
    </w:p>
    <w:p w14:paraId="7F043339" w14:textId="77777777" w:rsidR="002B6B59" w:rsidRDefault="002B6B59" w:rsidP="002B6B59">
      <w:pPr>
        <w:rPr>
          <w:lang w:val="mk-MK"/>
        </w:rPr>
      </w:pPr>
    </w:p>
    <w:p w14:paraId="5F2DFEBA" w14:textId="77777777" w:rsidR="002B6B59" w:rsidRPr="007725B2" w:rsidRDefault="002B6B59" w:rsidP="002B6B59">
      <w:pPr>
        <w:rPr>
          <w:rFonts w:ascii="Times New Roman" w:hAnsi="Times New Roman"/>
          <w:sz w:val="24"/>
          <w:szCs w:val="24"/>
          <w:lang w:val="mk-MK" w:eastAsia="en-GB"/>
        </w:rPr>
      </w:pPr>
      <w:r w:rsidRPr="002B6B59">
        <w:rPr>
          <w:rFonts w:ascii="Times New Roman" w:hAnsi="Times New Roman"/>
          <w:sz w:val="24"/>
          <w:szCs w:val="24"/>
          <w:lang w:val="mk-MK" w:eastAsia="en-GB"/>
        </w:rPr>
        <w:t>The Bank participates with 100% in the ownership in  SB Leasing DOEL Skopje</w:t>
      </w:r>
      <w:r>
        <w:rPr>
          <w:rFonts w:ascii="Times New Roman" w:hAnsi="Times New Roman"/>
          <w:sz w:val="24"/>
          <w:szCs w:val="24"/>
          <w:lang w:eastAsia="en-GB"/>
        </w:rPr>
        <w:t>.</w:t>
      </w:r>
    </w:p>
    <w:p w14:paraId="533A8047" w14:textId="77777777" w:rsidR="00196F45" w:rsidRDefault="00196F45" w:rsidP="00BB27D7">
      <w:pPr>
        <w:pStyle w:val="Heading2"/>
        <w:spacing w:before="240" w:line="276" w:lineRule="auto"/>
        <w:jc w:val="both"/>
        <w:rPr>
          <w:sz w:val="28"/>
          <w:szCs w:val="28"/>
        </w:rPr>
      </w:pPr>
    </w:p>
    <w:p w14:paraId="6C830B5A" w14:textId="67F8EA1E" w:rsidR="00CA29EA" w:rsidRPr="00932791" w:rsidRDefault="00EB681B" w:rsidP="00BB27D7">
      <w:pPr>
        <w:pStyle w:val="Heading2"/>
        <w:spacing w:before="240" w:line="276" w:lineRule="auto"/>
        <w:jc w:val="both"/>
        <w:rPr>
          <w:b w:val="0"/>
          <w:i/>
          <w:sz w:val="28"/>
          <w:szCs w:val="28"/>
        </w:rPr>
      </w:pPr>
      <w:r w:rsidRPr="00A34733">
        <w:rPr>
          <w:sz w:val="28"/>
          <w:szCs w:val="28"/>
        </w:rPr>
        <w:t>Risk Management</w:t>
      </w:r>
      <w:bookmarkEnd w:id="12"/>
    </w:p>
    <w:p w14:paraId="7A576F4E" w14:textId="7AA070CC" w:rsidR="004B60EA" w:rsidRPr="00932791" w:rsidRDefault="005722C8" w:rsidP="00BB27D7">
      <w:pPr>
        <w:pStyle w:val="a"/>
        <w:spacing w:line="276" w:lineRule="auto"/>
        <w:jc w:val="both"/>
        <w:rPr>
          <w:rFonts w:ascii="Times New Roman" w:eastAsia="Calibri" w:hAnsi="Times New Roman"/>
          <w:i/>
        </w:rPr>
      </w:pPr>
      <w:r w:rsidRPr="00BF40D8">
        <w:rPr>
          <w:rFonts w:ascii="Times New Roman" w:eastAsia="Calibri" w:hAnsi="Times New Roman"/>
          <w:i/>
        </w:rPr>
        <w:t xml:space="preserve">The Risk Management function of Stopanska Banka AD Skopje </w:t>
      </w:r>
      <w:r w:rsidRPr="00932791">
        <w:rPr>
          <w:rFonts w:ascii="Times New Roman" w:eastAsia="Calibri" w:hAnsi="Times New Roman"/>
          <w:i/>
        </w:rPr>
        <w:t xml:space="preserve">focuses on maintaining </w:t>
      </w:r>
      <w:r w:rsidR="00B00CAC">
        <w:rPr>
          <w:rFonts w:ascii="Times New Roman" w:eastAsia="Calibri" w:hAnsi="Times New Roman"/>
          <w:i/>
        </w:rPr>
        <w:t>the</w:t>
      </w:r>
      <w:r w:rsidRPr="00932791">
        <w:rPr>
          <w:rFonts w:ascii="Times New Roman" w:eastAsia="Calibri" w:hAnsi="Times New Roman"/>
          <w:i/>
        </w:rPr>
        <w:t xml:space="preserve"> risk </w:t>
      </w:r>
      <w:r w:rsidRPr="00BF40D8">
        <w:rPr>
          <w:rFonts w:ascii="Times New Roman" w:eastAsia="Calibri" w:hAnsi="Times New Roman"/>
          <w:i/>
        </w:rPr>
        <w:t>profile within the established risk appetite, while ensuring balanced growth and adequate quality</w:t>
      </w:r>
      <w:r w:rsidRPr="00932791">
        <w:rPr>
          <w:rFonts w:ascii="Times New Roman" w:eastAsia="Calibri" w:hAnsi="Times New Roman"/>
          <w:i/>
        </w:rPr>
        <w:t xml:space="preserve"> </w:t>
      </w:r>
      <w:r w:rsidRPr="00BF40D8">
        <w:rPr>
          <w:rFonts w:ascii="Times New Roman" w:eastAsia="Calibri" w:hAnsi="Times New Roman"/>
          <w:i/>
        </w:rPr>
        <w:t>of the loan portfolio</w:t>
      </w:r>
      <w:r w:rsidRPr="00932791">
        <w:rPr>
          <w:rFonts w:ascii="Times New Roman" w:eastAsia="Calibri" w:hAnsi="Times New Roman"/>
          <w:i/>
        </w:rPr>
        <w:t>.</w:t>
      </w:r>
      <w:r>
        <w:rPr>
          <w:rFonts w:ascii="Times New Roman" w:eastAsia="Calibri" w:hAnsi="Times New Roman"/>
          <w:lang w:val="en-US" w:eastAsia="en-US"/>
        </w:rPr>
        <w:t xml:space="preserve"> </w:t>
      </w:r>
      <w:r w:rsidR="004B60EA" w:rsidRPr="00932791">
        <w:rPr>
          <w:rFonts w:ascii="Times New Roman" w:eastAsia="Calibri" w:hAnsi="Times New Roman"/>
          <w:i/>
        </w:rPr>
        <w:t xml:space="preserve">The Bank’s Risk Management mission is to ensure that all types of risk </w:t>
      </w:r>
      <w:proofErr w:type="gramStart"/>
      <w:r w:rsidR="004B60EA" w:rsidRPr="00932791">
        <w:rPr>
          <w:rFonts w:ascii="Times New Roman" w:eastAsia="Calibri" w:hAnsi="Times New Roman"/>
          <w:i/>
        </w:rPr>
        <w:t>are managed</w:t>
      </w:r>
      <w:proofErr w:type="gramEnd"/>
      <w:r w:rsidR="004B60EA" w:rsidRPr="00932791">
        <w:rPr>
          <w:rFonts w:ascii="Times New Roman" w:eastAsia="Calibri" w:hAnsi="Times New Roman"/>
          <w:i/>
        </w:rPr>
        <w:t xml:space="preserve"> so that the Bank remains safe for its depositors and other stakeholders while producing sound returns for its shareholders over time, in line with SB’s business strategy, consistent with best practices and fully compliant with regulatory requirements.</w:t>
      </w:r>
    </w:p>
    <w:p w14:paraId="0B6504C7" w14:textId="78143A24" w:rsidR="00275B15" w:rsidRPr="00932791" w:rsidRDefault="00A85597" w:rsidP="00BB27D7">
      <w:pPr>
        <w:spacing w:before="240" w:after="120"/>
        <w:jc w:val="both"/>
        <w:rPr>
          <w:rFonts w:ascii="Times New Roman" w:hAnsi="Times New Roman"/>
          <w:sz w:val="24"/>
          <w:szCs w:val="24"/>
        </w:rPr>
      </w:pPr>
      <w:r w:rsidRPr="00A85597">
        <w:rPr>
          <w:rFonts w:ascii="Times New Roman" w:hAnsi="Times New Roman"/>
          <w:sz w:val="24"/>
          <w:szCs w:val="24"/>
        </w:rPr>
        <w:t>Stopanska Banka AD Skopje is one of the country’s largest financial institutions, offering banking services,</w:t>
      </w:r>
      <w:r>
        <w:rPr>
          <w:rFonts w:ascii="Times New Roman" w:hAnsi="Times New Roman"/>
          <w:sz w:val="24"/>
          <w:szCs w:val="24"/>
        </w:rPr>
        <w:t xml:space="preserve"> </w:t>
      </w:r>
      <w:r w:rsidRPr="00A85597">
        <w:rPr>
          <w:rFonts w:ascii="Times New Roman" w:hAnsi="Times New Roman"/>
          <w:sz w:val="24"/>
          <w:szCs w:val="24"/>
        </w:rPr>
        <w:t>undertaking and managing risks as part of the daily activities</w:t>
      </w:r>
      <w:r w:rsidR="001E708B" w:rsidRPr="00932791">
        <w:rPr>
          <w:rFonts w:ascii="Times New Roman" w:hAnsi="Times New Roman"/>
          <w:sz w:val="24"/>
          <w:szCs w:val="24"/>
        </w:rPr>
        <w:t xml:space="preserve">. </w:t>
      </w:r>
      <w:r w:rsidR="00B00CAC" w:rsidRPr="00FD04E8">
        <w:rPr>
          <w:rFonts w:ascii="Times New Roman" w:hAnsi="Times New Roman"/>
          <w:sz w:val="24"/>
          <w:szCs w:val="24"/>
        </w:rPr>
        <w:t xml:space="preserve">The main objective of </w:t>
      </w:r>
      <w:r w:rsidR="00BB71CA">
        <w:rPr>
          <w:rFonts w:ascii="Times New Roman" w:hAnsi="Times New Roman"/>
          <w:sz w:val="24"/>
          <w:szCs w:val="24"/>
        </w:rPr>
        <w:t xml:space="preserve">the Bank’s </w:t>
      </w:r>
      <w:r w:rsidR="00B00CAC" w:rsidRPr="00FD04E8">
        <w:rPr>
          <w:rFonts w:ascii="Times New Roman" w:hAnsi="Times New Roman"/>
          <w:sz w:val="24"/>
          <w:szCs w:val="24"/>
        </w:rPr>
        <w:t>Risk Management function is to protect the interest of its customers and shareholders through prudent management of risk</w:t>
      </w:r>
      <w:r w:rsidR="00B00CAC">
        <w:rPr>
          <w:rFonts w:ascii="Times New Roman" w:hAnsi="Times New Roman"/>
          <w:sz w:val="24"/>
          <w:szCs w:val="24"/>
        </w:rPr>
        <w:t>s,</w:t>
      </w:r>
      <w:r w:rsidR="00B00CAC" w:rsidRPr="00FD04E8">
        <w:rPr>
          <w:rFonts w:ascii="Times New Roman" w:hAnsi="Times New Roman"/>
          <w:sz w:val="24"/>
          <w:szCs w:val="24"/>
        </w:rPr>
        <w:t xml:space="preserve"> supported by strong risk culture, as well as </w:t>
      </w:r>
      <w:r w:rsidR="00B00CAC">
        <w:rPr>
          <w:rFonts w:ascii="Times New Roman" w:hAnsi="Times New Roman"/>
          <w:sz w:val="24"/>
          <w:szCs w:val="24"/>
        </w:rPr>
        <w:t xml:space="preserve">well managed liquidity and </w:t>
      </w:r>
      <w:r w:rsidR="00B00CAC" w:rsidRPr="00FD04E8">
        <w:rPr>
          <w:rFonts w:ascii="Times New Roman" w:hAnsi="Times New Roman"/>
          <w:sz w:val="24"/>
          <w:szCs w:val="24"/>
        </w:rPr>
        <w:t>strong capital base.</w:t>
      </w:r>
      <w:r w:rsidR="00B00CAC" w:rsidRPr="00B00CAC">
        <w:rPr>
          <w:rFonts w:ascii="Times New Roman" w:hAnsi="Times New Roman"/>
          <w:sz w:val="24"/>
          <w:szCs w:val="24"/>
        </w:rPr>
        <w:t xml:space="preserve"> </w:t>
      </w:r>
      <w:r w:rsidR="00B00CAC" w:rsidRPr="00746A0E">
        <w:rPr>
          <w:rFonts w:ascii="Times New Roman" w:hAnsi="Times New Roman"/>
          <w:sz w:val="24"/>
          <w:szCs w:val="24"/>
        </w:rPr>
        <w:t>The Bank manages the risks through a comprehensive risk management framework that integrates risk management into daily business activities and strategic planning.</w:t>
      </w:r>
      <w:r w:rsidR="00B00CAC">
        <w:rPr>
          <w:rFonts w:ascii="Times New Roman" w:hAnsi="Times New Roman"/>
          <w:sz w:val="24"/>
          <w:szCs w:val="24"/>
        </w:rPr>
        <w:t xml:space="preserve"> </w:t>
      </w:r>
      <w:r w:rsidR="006153B6" w:rsidRPr="00932791">
        <w:rPr>
          <w:rFonts w:ascii="Times New Roman" w:hAnsi="Times New Roman"/>
          <w:sz w:val="24"/>
          <w:szCs w:val="24"/>
        </w:rPr>
        <w:t xml:space="preserve">Risk Appetite Framework </w:t>
      </w:r>
      <w:r w:rsidR="00A911BF">
        <w:rPr>
          <w:rFonts w:ascii="Times New Roman" w:hAnsi="Times New Roman"/>
          <w:sz w:val="24"/>
          <w:szCs w:val="24"/>
        </w:rPr>
        <w:t xml:space="preserve">(RAF) </w:t>
      </w:r>
      <w:r w:rsidR="006153B6" w:rsidRPr="00932791">
        <w:rPr>
          <w:rFonts w:ascii="Times New Roman" w:hAnsi="Times New Roman"/>
          <w:sz w:val="24"/>
          <w:szCs w:val="24"/>
        </w:rPr>
        <w:t xml:space="preserve">is being developed </w:t>
      </w:r>
      <w:r w:rsidRPr="00A85597">
        <w:rPr>
          <w:rFonts w:ascii="Times New Roman" w:hAnsi="Times New Roman"/>
          <w:sz w:val="24"/>
          <w:szCs w:val="24"/>
        </w:rPr>
        <w:t xml:space="preserve">and set in place </w:t>
      </w:r>
      <w:r w:rsidR="006153B6" w:rsidRPr="00932791">
        <w:rPr>
          <w:rFonts w:ascii="Times New Roman" w:hAnsi="Times New Roman"/>
          <w:sz w:val="24"/>
          <w:szCs w:val="24"/>
        </w:rPr>
        <w:t xml:space="preserve">in order to </w:t>
      </w:r>
      <w:proofErr w:type="gramStart"/>
      <w:r w:rsidR="006153B6" w:rsidRPr="00932791">
        <w:rPr>
          <w:rFonts w:ascii="Times New Roman" w:hAnsi="Times New Roman"/>
          <w:sz w:val="24"/>
          <w:szCs w:val="24"/>
        </w:rPr>
        <w:t>be used</w:t>
      </w:r>
      <w:proofErr w:type="gramEnd"/>
      <w:r w:rsidR="006153B6" w:rsidRPr="00932791">
        <w:rPr>
          <w:rFonts w:ascii="Times New Roman" w:hAnsi="Times New Roman"/>
          <w:sz w:val="24"/>
          <w:szCs w:val="24"/>
        </w:rPr>
        <w:t xml:space="preserve"> as a key management tool to better align business strategy, financ</w:t>
      </w:r>
      <w:r w:rsidR="005722C8">
        <w:rPr>
          <w:rFonts w:ascii="Times New Roman" w:hAnsi="Times New Roman"/>
          <w:sz w:val="24"/>
          <w:szCs w:val="24"/>
        </w:rPr>
        <w:t xml:space="preserve">ial targets and risk management and it </w:t>
      </w:r>
      <w:r w:rsidR="00A911BF" w:rsidRPr="00932791">
        <w:rPr>
          <w:rFonts w:ascii="Times New Roman" w:hAnsi="Times New Roman"/>
          <w:sz w:val="24"/>
          <w:szCs w:val="24"/>
        </w:rPr>
        <w:t xml:space="preserve">constitutes an </w:t>
      </w:r>
      <w:r w:rsidR="005722C8" w:rsidRPr="005722C8">
        <w:rPr>
          <w:rFonts w:ascii="Times New Roman" w:hAnsi="Times New Roman"/>
          <w:sz w:val="24"/>
          <w:szCs w:val="24"/>
        </w:rPr>
        <w:t>essential mechanism</w:t>
      </w:r>
      <w:r w:rsidR="00BF40D8">
        <w:rPr>
          <w:rFonts w:ascii="Times New Roman" w:hAnsi="Times New Roman"/>
          <w:sz w:val="24"/>
          <w:szCs w:val="24"/>
        </w:rPr>
        <w:t xml:space="preserve"> to support the</w:t>
      </w:r>
      <w:r w:rsidR="00A911BF" w:rsidRPr="00932791">
        <w:rPr>
          <w:rFonts w:ascii="Times New Roman" w:hAnsi="Times New Roman"/>
          <w:sz w:val="24"/>
          <w:szCs w:val="24"/>
        </w:rPr>
        <w:t xml:space="preserve"> oversight of the strategy execution within the risk boundaries that the Bank is willing to operate. </w:t>
      </w:r>
    </w:p>
    <w:p w14:paraId="3D74FECA" w14:textId="5CAD7C0A" w:rsidR="00BF40D8" w:rsidRPr="00DC7992" w:rsidRDefault="00BF40D8" w:rsidP="00BB27D7">
      <w:pPr>
        <w:spacing w:before="200"/>
        <w:jc w:val="both"/>
        <w:rPr>
          <w:rFonts w:ascii="Times New Roman" w:hAnsi="Times New Roman"/>
          <w:sz w:val="24"/>
          <w:szCs w:val="24"/>
        </w:rPr>
      </w:pPr>
      <w:r w:rsidRPr="00DC7992">
        <w:rPr>
          <w:rFonts w:ascii="Times New Roman" w:hAnsi="Times New Roman"/>
          <w:sz w:val="24"/>
          <w:szCs w:val="24"/>
        </w:rPr>
        <w:t xml:space="preserve">The primary role of the independent Risk Management function of the Bank is properly and timely </w:t>
      </w:r>
      <w:r w:rsidR="00B00CAC">
        <w:rPr>
          <w:rFonts w:ascii="Times New Roman" w:hAnsi="Times New Roman"/>
          <w:sz w:val="24"/>
          <w:szCs w:val="24"/>
        </w:rPr>
        <w:t xml:space="preserve">to </w:t>
      </w:r>
      <w:r w:rsidRPr="00DC7992">
        <w:rPr>
          <w:rFonts w:ascii="Times New Roman" w:hAnsi="Times New Roman"/>
          <w:sz w:val="24"/>
          <w:szCs w:val="24"/>
        </w:rPr>
        <w:t xml:space="preserve">identify, measure and manage risks in normal and stressed economic conditions, and to oversee whether the business activities are consistent with the Bank’s strategy and risk appetite. In order to maintain an adequate risk profile, the Bank uses tools such as prudent risk criteria, risk assessments, rating and scoring models which are constantly reviewed, validated and enhanced towards the banking industry best practices. </w:t>
      </w:r>
    </w:p>
    <w:p w14:paraId="027BD03A" w14:textId="77777777" w:rsidR="001E708B" w:rsidRPr="00DC7992" w:rsidRDefault="001E708B" w:rsidP="00BB27D7">
      <w:pPr>
        <w:spacing w:before="200"/>
        <w:jc w:val="both"/>
        <w:rPr>
          <w:rFonts w:ascii="Times New Roman" w:hAnsi="Times New Roman"/>
          <w:sz w:val="24"/>
          <w:szCs w:val="24"/>
        </w:rPr>
      </w:pPr>
      <w:r w:rsidRPr="00DC7992">
        <w:rPr>
          <w:rFonts w:ascii="Times New Roman" w:hAnsi="Times New Roman"/>
          <w:sz w:val="24"/>
          <w:szCs w:val="24"/>
        </w:rPr>
        <w:lastRenderedPageBreak/>
        <w:t xml:space="preserve">Effective risk management requires Bank-wide risk governance. SB’s risk and control structure </w:t>
      </w:r>
      <w:proofErr w:type="gramStart"/>
      <w:r w:rsidRPr="00DC7992">
        <w:rPr>
          <w:rFonts w:ascii="Times New Roman" w:hAnsi="Times New Roman"/>
          <w:sz w:val="24"/>
          <w:szCs w:val="24"/>
        </w:rPr>
        <w:t>is based</w:t>
      </w:r>
      <w:proofErr w:type="gramEnd"/>
      <w:r w:rsidRPr="00DC7992">
        <w:rPr>
          <w:rFonts w:ascii="Times New Roman" w:hAnsi="Times New Roman"/>
          <w:sz w:val="24"/>
          <w:szCs w:val="24"/>
        </w:rPr>
        <w:t xml:space="preserve"> on the ‘three lines of defense’ governance model, introduced in 2019. Each line has a specific role and defined responsibilities, with the execution of tasks being distinct from the control of these same tasks. The three lines work closely together to identify, assess, and mitigate risks. </w:t>
      </w:r>
      <w:proofErr w:type="gramStart"/>
      <w:r w:rsidRPr="00DC7992">
        <w:rPr>
          <w:rFonts w:ascii="Times New Roman" w:hAnsi="Times New Roman"/>
          <w:sz w:val="24"/>
          <w:szCs w:val="24"/>
        </w:rPr>
        <w:t>First and foremost</w:t>
      </w:r>
      <w:proofErr w:type="gramEnd"/>
      <w:r w:rsidRPr="00DC7992">
        <w:rPr>
          <w:rFonts w:ascii="Times New Roman" w:hAnsi="Times New Roman"/>
          <w:sz w:val="24"/>
          <w:szCs w:val="24"/>
        </w:rPr>
        <w:t xml:space="preserve">, the business (including support functions) has ownership of the risks, which it manages and takes responsibility for (first line). The Bank’s risk management framework </w:t>
      </w:r>
      <w:proofErr w:type="gramStart"/>
      <w:r w:rsidRPr="00DC7992">
        <w:rPr>
          <w:rFonts w:ascii="Times New Roman" w:hAnsi="Times New Roman"/>
          <w:sz w:val="24"/>
          <w:szCs w:val="24"/>
        </w:rPr>
        <w:t>is provided</w:t>
      </w:r>
      <w:proofErr w:type="gramEnd"/>
      <w:r w:rsidRPr="00DC7992">
        <w:rPr>
          <w:rFonts w:ascii="Times New Roman" w:hAnsi="Times New Roman"/>
          <w:sz w:val="24"/>
          <w:szCs w:val="24"/>
        </w:rPr>
        <w:t xml:space="preserve"> by the Risk Management and Compliance function (second line). Both functions challenge risk taking and monitor the risk profile. Internal Audit (third line) provides independent assurance, advice, and insights on the quality and effectiveness of internal control, risk management, compliance, and governance of the Bank.</w:t>
      </w:r>
    </w:p>
    <w:p w14:paraId="62F00208" w14:textId="094CD186" w:rsidR="001E708B" w:rsidRDefault="00B00CAC" w:rsidP="00BB27D7">
      <w:pPr>
        <w:spacing w:before="200"/>
        <w:jc w:val="both"/>
        <w:rPr>
          <w:rFonts w:ascii="Times New Roman" w:hAnsi="Times New Roman"/>
          <w:sz w:val="24"/>
          <w:szCs w:val="24"/>
        </w:rPr>
      </w:pPr>
      <w:r>
        <w:rPr>
          <w:rFonts w:ascii="Times New Roman" w:hAnsi="Times New Roman"/>
          <w:sz w:val="24"/>
          <w:szCs w:val="24"/>
        </w:rPr>
        <w:t>R</w:t>
      </w:r>
      <w:r w:rsidR="001E708B" w:rsidRPr="00DC7992">
        <w:rPr>
          <w:rFonts w:ascii="Times New Roman" w:hAnsi="Times New Roman"/>
          <w:sz w:val="24"/>
          <w:szCs w:val="24"/>
        </w:rPr>
        <w:t>isk management function of SB supports the Board of Directors in formulating the risk appetite, strategies, policies and limits. It provides review, oversight and support functions throughout SB</w:t>
      </w:r>
      <w:r>
        <w:rPr>
          <w:rFonts w:ascii="Times New Roman" w:hAnsi="Times New Roman"/>
          <w:sz w:val="24"/>
          <w:szCs w:val="24"/>
        </w:rPr>
        <w:t>,</w:t>
      </w:r>
      <w:r w:rsidR="001E708B" w:rsidRPr="00DC7992">
        <w:rPr>
          <w:rFonts w:ascii="Times New Roman" w:hAnsi="Times New Roman"/>
          <w:sz w:val="24"/>
          <w:szCs w:val="24"/>
        </w:rPr>
        <w:t xml:space="preserve"> on risk-related items. SB’s main financial risks are credit, liquidity and market risk. In the complex current business conditions</w:t>
      </w:r>
      <w:r>
        <w:rPr>
          <w:rFonts w:ascii="Times New Roman" w:hAnsi="Times New Roman"/>
          <w:sz w:val="24"/>
          <w:szCs w:val="24"/>
        </w:rPr>
        <w:t>,</w:t>
      </w:r>
      <w:r w:rsidR="001E708B" w:rsidRPr="00DC7992">
        <w:rPr>
          <w:rFonts w:ascii="Times New Roman" w:hAnsi="Times New Roman"/>
          <w:sz w:val="24"/>
          <w:szCs w:val="24"/>
        </w:rPr>
        <w:t xml:space="preserve"> SB is also exposed </w:t>
      </w:r>
      <w:proofErr w:type="gramStart"/>
      <w:r w:rsidR="001E708B" w:rsidRPr="00DC7992">
        <w:rPr>
          <w:rFonts w:ascii="Times New Roman" w:hAnsi="Times New Roman"/>
          <w:sz w:val="24"/>
          <w:szCs w:val="24"/>
        </w:rPr>
        <w:t>to</w:t>
      </w:r>
      <w:proofErr w:type="gramEnd"/>
      <w:r w:rsidR="001E708B" w:rsidRPr="00DC7992">
        <w:rPr>
          <w:rFonts w:ascii="Times New Roman" w:hAnsi="Times New Roman"/>
          <w:sz w:val="24"/>
          <w:szCs w:val="24"/>
        </w:rPr>
        <w:t xml:space="preserve"> non-financial risks such as operational, IT and compliance risks. </w:t>
      </w:r>
    </w:p>
    <w:p w14:paraId="65BD761E" w14:textId="1D340FD0" w:rsidR="001E708B" w:rsidRDefault="001E708B" w:rsidP="00BB27D7">
      <w:pPr>
        <w:spacing w:before="200"/>
        <w:jc w:val="both"/>
        <w:rPr>
          <w:rFonts w:ascii="Times New Roman" w:hAnsi="Times New Roman"/>
          <w:sz w:val="24"/>
          <w:szCs w:val="24"/>
        </w:rPr>
      </w:pPr>
      <w:r w:rsidRPr="00DC7992">
        <w:rPr>
          <w:rFonts w:ascii="Times New Roman" w:hAnsi="Times New Roman"/>
          <w:sz w:val="24"/>
          <w:szCs w:val="24"/>
        </w:rPr>
        <w:t>SB has a framework of risk management policies, procedures, and minimum standards in place</w:t>
      </w:r>
      <w:r w:rsidR="00002680">
        <w:rPr>
          <w:rFonts w:ascii="Times New Roman" w:hAnsi="Times New Roman"/>
          <w:sz w:val="24"/>
          <w:szCs w:val="24"/>
        </w:rPr>
        <w:t xml:space="preserve">, which are </w:t>
      </w:r>
      <w:r w:rsidRPr="00DC7992">
        <w:rPr>
          <w:rFonts w:ascii="Times New Roman" w:hAnsi="Times New Roman"/>
          <w:sz w:val="24"/>
          <w:szCs w:val="24"/>
        </w:rPr>
        <w:t>creat</w:t>
      </w:r>
      <w:r w:rsidR="00002680">
        <w:rPr>
          <w:rFonts w:ascii="Times New Roman" w:hAnsi="Times New Roman"/>
          <w:sz w:val="24"/>
          <w:szCs w:val="24"/>
        </w:rPr>
        <w:t>ing</w:t>
      </w:r>
      <w:r w:rsidRPr="00DC7992">
        <w:rPr>
          <w:rFonts w:ascii="Times New Roman" w:hAnsi="Times New Roman"/>
          <w:sz w:val="24"/>
          <w:szCs w:val="24"/>
        </w:rPr>
        <w:t xml:space="preserve"> consistency throughout the organization, and defin</w:t>
      </w:r>
      <w:r w:rsidR="00002680">
        <w:rPr>
          <w:rFonts w:ascii="Times New Roman" w:hAnsi="Times New Roman"/>
          <w:sz w:val="24"/>
          <w:szCs w:val="24"/>
        </w:rPr>
        <w:t xml:space="preserve">ing the </w:t>
      </w:r>
      <w:r w:rsidRPr="00DC7992">
        <w:rPr>
          <w:rFonts w:ascii="Times New Roman" w:hAnsi="Times New Roman"/>
          <w:sz w:val="24"/>
          <w:szCs w:val="24"/>
        </w:rPr>
        <w:t xml:space="preserve">requirements that are binding for all business units. Senior management is responsible for the implementation of and adherence to policies, procedures and standards. Policies, procedures and standards </w:t>
      </w:r>
      <w:proofErr w:type="gramStart"/>
      <w:r w:rsidRPr="00DC7992">
        <w:rPr>
          <w:rFonts w:ascii="Times New Roman" w:hAnsi="Times New Roman"/>
          <w:sz w:val="24"/>
          <w:szCs w:val="24"/>
        </w:rPr>
        <w:t>are regularly reviewed and updated to reflect changes in requirements, markets, products and practices</w:t>
      </w:r>
      <w:proofErr w:type="gramEnd"/>
      <w:r w:rsidRPr="00DC7992">
        <w:rPr>
          <w:rFonts w:ascii="Times New Roman" w:hAnsi="Times New Roman"/>
          <w:sz w:val="24"/>
          <w:szCs w:val="24"/>
        </w:rPr>
        <w:t xml:space="preserve">. </w:t>
      </w:r>
    </w:p>
    <w:p w14:paraId="30693F21" w14:textId="286C576C" w:rsidR="001E708B" w:rsidRPr="00DC7992" w:rsidRDefault="0060186B" w:rsidP="00BB27D7">
      <w:pPr>
        <w:spacing w:before="200"/>
        <w:jc w:val="both"/>
        <w:rPr>
          <w:rFonts w:ascii="Times New Roman" w:hAnsi="Times New Roman"/>
          <w:sz w:val="24"/>
          <w:szCs w:val="24"/>
        </w:rPr>
      </w:pPr>
      <w:r w:rsidRPr="0060186B">
        <w:rPr>
          <w:rFonts w:ascii="Times New Roman" w:hAnsi="Times New Roman"/>
          <w:sz w:val="24"/>
          <w:szCs w:val="24"/>
        </w:rPr>
        <w:t>In 2022, the banking system was operating under increased risks due to the Russia</w:t>
      </w:r>
      <w:r w:rsidR="00A55C24">
        <w:rPr>
          <w:rFonts w:ascii="Times New Roman" w:hAnsi="Times New Roman"/>
          <w:sz w:val="24"/>
          <w:szCs w:val="24"/>
        </w:rPr>
        <w:t>-</w:t>
      </w:r>
      <w:r w:rsidRPr="0060186B">
        <w:rPr>
          <w:rFonts w:ascii="Times New Roman" w:hAnsi="Times New Roman"/>
          <w:sz w:val="24"/>
          <w:szCs w:val="24"/>
        </w:rPr>
        <w:t>Ukraine</w:t>
      </w:r>
      <w:r w:rsidR="00A85597">
        <w:rPr>
          <w:rFonts w:ascii="Times New Roman" w:hAnsi="Times New Roman"/>
          <w:sz w:val="24"/>
          <w:szCs w:val="24"/>
        </w:rPr>
        <w:t xml:space="preserve"> crisis</w:t>
      </w:r>
      <w:r w:rsidRPr="0060186B">
        <w:rPr>
          <w:rFonts w:ascii="Times New Roman" w:hAnsi="Times New Roman"/>
          <w:sz w:val="24"/>
          <w:szCs w:val="24"/>
        </w:rPr>
        <w:t xml:space="preserve"> and inflationary pressures related to</w:t>
      </w:r>
      <w:r w:rsidR="00002680">
        <w:rPr>
          <w:rFonts w:ascii="Times New Roman" w:hAnsi="Times New Roman"/>
          <w:sz w:val="24"/>
          <w:szCs w:val="24"/>
        </w:rPr>
        <w:t xml:space="preserve"> </w:t>
      </w:r>
      <w:r w:rsidRPr="0060186B">
        <w:rPr>
          <w:rFonts w:ascii="Times New Roman" w:hAnsi="Times New Roman"/>
          <w:sz w:val="24"/>
          <w:szCs w:val="24"/>
        </w:rPr>
        <w:t xml:space="preserve">energy crisis. Uncertainty </w:t>
      </w:r>
      <w:r w:rsidR="00002680">
        <w:rPr>
          <w:rFonts w:ascii="Times New Roman" w:hAnsi="Times New Roman"/>
          <w:sz w:val="24"/>
          <w:szCs w:val="24"/>
        </w:rPr>
        <w:t xml:space="preserve">by </w:t>
      </w:r>
      <w:r w:rsidRPr="0060186B">
        <w:rPr>
          <w:rFonts w:ascii="Times New Roman" w:hAnsi="Times New Roman"/>
          <w:sz w:val="24"/>
          <w:szCs w:val="24"/>
        </w:rPr>
        <w:t xml:space="preserve">the </w:t>
      </w:r>
      <w:r w:rsidRPr="00A85597">
        <w:rPr>
          <w:rFonts w:ascii="Times New Roman" w:hAnsi="Times New Roman"/>
          <w:sz w:val="24"/>
          <w:szCs w:val="24"/>
        </w:rPr>
        <w:t>prolonged</w:t>
      </w:r>
      <w:r w:rsidR="00002680" w:rsidRPr="00932791">
        <w:rPr>
          <w:rFonts w:ascii="Times New Roman" w:hAnsi="Times New Roman"/>
          <w:sz w:val="24"/>
          <w:szCs w:val="24"/>
        </w:rPr>
        <w:t xml:space="preserve"> </w:t>
      </w:r>
      <w:r w:rsidR="00A85597">
        <w:rPr>
          <w:rFonts w:ascii="Times New Roman" w:hAnsi="Times New Roman"/>
          <w:sz w:val="24"/>
          <w:szCs w:val="24"/>
        </w:rPr>
        <w:t>geopolitical crisis</w:t>
      </w:r>
      <w:r w:rsidRPr="0060186B">
        <w:rPr>
          <w:rFonts w:ascii="Times New Roman" w:hAnsi="Times New Roman"/>
          <w:sz w:val="24"/>
          <w:szCs w:val="24"/>
        </w:rPr>
        <w:t xml:space="preserve"> and the growth of inflation, especially in the area of food and energy, are causing a slowdown in global economic activity</w:t>
      </w:r>
      <w:r w:rsidR="00002680">
        <w:rPr>
          <w:rFonts w:ascii="Times New Roman" w:hAnsi="Times New Roman"/>
          <w:sz w:val="24"/>
          <w:szCs w:val="24"/>
        </w:rPr>
        <w:t>,</w:t>
      </w:r>
      <w:r w:rsidRPr="0060186B">
        <w:rPr>
          <w:rFonts w:ascii="Times New Roman" w:hAnsi="Times New Roman"/>
          <w:sz w:val="24"/>
          <w:szCs w:val="24"/>
        </w:rPr>
        <w:t xml:space="preserve"> with </w:t>
      </w:r>
      <w:r w:rsidR="00A85597">
        <w:rPr>
          <w:rFonts w:ascii="Times New Roman" w:hAnsi="Times New Roman"/>
          <w:sz w:val="24"/>
          <w:szCs w:val="24"/>
        </w:rPr>
        <w:t xml:space="preserve">potential </w:t>
      </w:r>
      <w:r w:rsidRPr="0060186B">
        <w:rPr>
          <w:rFonts w:ascii="Times New Roman" w:hAnsi="Times New Roman"/>
          <w:sz w:val="24"/>
          <w:szCs w:val="24"/>
        </w:rPr>
        <w:t xml:space="preserve">negative economic spillovers. </w:t>
      </w:r>
      <w:r w:rsidR="004C417A">
        <w:rPr>
          <w:rFonts w:ascii="Times New Roman" w:hAnsi="Times New Roman"/>
          <w:sz w:val="24"/>
          <w:szCs w:val="24"/>
        </w:rPr>
        <w:t xml:space="preserve">The uncertainty </w:t>
      </w:r>
      <w:proofErr w:type="gramStart"/>
      <w:r>
        <w:rPr>
          <w:rFonts w:ascii="Times New Roman" w:hAnsi="Times New Roman"/>
          <w:sz w:val="24"/>
          <w:szCs w:val="24"/>
        </w:rPr>
        <w:t>is expected</w:t>
      </w:r>
      <w:proofErr w:type="gramEnd"/>
      <w:r>
        <w:rPr>
          <w:rFonts w:ascii="Times New Roman" w:hAnsi="Times New Roman"/>
          <w:sz w:val="24"/>
          <w:szCs w:val="24"/>
        </w:rPr>
        <w:t xml:space="preserve"> to continue in 2023 as well. </w:t>
      </w:r>
      <w:r w:rsidR="001E708B" w:rsidRPr="00A370E3">
        <w:rPr>
          <w:rFonts w:ascii="Times New Roman" w:hAnsi="Times New Roman"/>
          <w:sz w:val="24"/>
          <w:szCs w:val="24"/>
        </w:rPr>
        <w:t xml:space="preserve"> </w:t>
      </w:r>
    </w:p>
    <w:p w14:paraId="50A7B3D9" w14:textId="6E5E944E" w:rsidR="001E708B" w:rsidRPr="00DC7992" w:rsidRDefault="001E708B" w:rsidP="00BB27D7">
      <w:pPr>
        <w:spacing w:before="200"/>
        <w:jc w:val="both"/>
        <w:rPr>
          <w:rFonts w:ascii="Times New Roman" w:hAnsi="Times New Roman"/>
          <w:sz w:val="24"/>
          <w:szCs w:val="24"/>
        </w:rPr>
      </w:pPr>
      <w:r w:rsidRPr="00DC7992">
        <w:rPr>
          <w:rFonts w:ascii="Times New Roman" w:hAnsi="Times New Roman"/>
          <w:sz w:val="24"/>
          <w:szCs w:val="24"/>
        </w:rPr>
        <w:t xml:space="preserve">The </w:t>
      </w:r>
      <w:r w:rsidR="0060186B">
        <w:rPr>
          <w:rFonts w:ascii="Times New Roman" w:hAnsi="Times New Roman"/>
          <w:sz w:val="24"/>
          <w:szCs w:val="24"/>
        </w:rPr>
        <w:t>Russian-Ukrainian</w:t>
      </w:r>
      <w:r>
        <w:rPr>
          <w:rFonts w:ascii="Times New Roman" w:hAnsi="Times New Roman"/>
          <w:sz w:val="24"/>
          <w:szCs w:val="24"/>
        </w:rPr>
        <w:t xml:space="preserve"> </w:t>
      </w:r>
      <w:r w:rsidRPr="00B37337">
        <w:rPr>
          <w:rFonts w:ascii="Times New Roman" w:hAnsi="Times New Roman"/>
          <w:sz w:val="24"/>
          <w:szCs w:val="24"/>
        </w:rPr>
        <w:t>crisis</w:t>
      </w:r>
      <w:r>
        <w:rPr>
          <w:rFonts w:ascii="Times New Roman" w:hAnsi="Times New Roman"/>
          <w:sz w:val="24"/>
          <w:szCs w:val="24"/>
        </w:rPr>
        <w:t xml:space="preserve"> </w:t>
      </w:r>
      <w:r w:rsidR="00002680">
        <w:rPr>
          <w:rFonts w:ascii="Times New Roman" w:hAnsi="Times New Roman"/>
          <w:sz w:val="24"/>
          <w:szCs w:val="24"/>
        </w:rPr>
        <w:t xml:space="preserve">has </w:t>
      </w:r>
      <w:r w:rsidRPr="00DC7992">
        <w:rPr>
          <w:rFonts w:ascii="Times New Roman" w:hAnsi="Times New Roman"/>
          <w:sz w:val="24"/>
          <w:szCs w:val="24"/>
        </w:rPr>
        <w:t xml:space="preserve">introduced the need </w:t>
      </w:r>
      <w:r w:rsidR="00002680">
        <w:rPr>
          <w:rFonts w:ascii="Times New Roman" w:hAnsi="Times New Roman"/>
          <w:sz w:val="24"/>
          <w:szCs w:val="24"/>
        </w:rPr>
        <w:t>of intensive</w:t>
      </w:r>
      <w:r w:rsidRPr="00DC7992">
        <w:rPr>
          <w:rFonts w:ascii="Times New Roman" w:hAnsi="Times New Roman"/>
          <w:sz w:val="24"/>
          <w:szCs w:val="24"/>
        </w:rPr>
        <w:t xml:space="preserve"> monitor</w:t>
      </w:r>
      <w:r w:rsidR="00002680">
        <w:rPr>
          <w:rFonts w:ascii="Times New Roman" w:hAnsi="Times New Roman"/>
          <w:sz w:val="24"/>
          <w:szCs w:val="24"/>
        </w:rPr>
        <w:t>ing of</w:t>
      </w:r>
      <w:r w:rsidRPr="00DC7992">
        <w:rPr>
          <w:rFonts w:ascii="Times New Roman" w:hAnsi="Times New Roman"/>
          <w:sz w:val="24"/>
          <w:szCs w:val="24"/>
        </w:rPr>
        <w:t xml:space="preserve"> developments relat</w:t>
      </w:r>
      <w:r w:rsidR="00002680">
        <w:rPr>
          <w:rFonts w:ascii="Times New Roman" w:hAnsi="Times New Roman"/>
          <w:sz w:val="24"/>
          <w:szCs w:val="24"/>
        </w:rPr>
        <w:t>ed</w:t>
      </w:r>
      <w:r w:rsidRPr="00DC7992">
        <w:rPr>
          <w:rFonts w:ascii="Times New Roman" w:hAnsi="Times New Roman"/>
          <w:sz w:val="24"/>
          <w:szCs w:val="24"/>
        </w:rPr>
        <w:t xml:space="preserve"> to credit and liquidity risks. </w:t>
      </w:r>
      <w:r w:rsidR="00002680">
        <w:rPr>
          <w:rFonts w:ascii="Times New Roman" w:hAnsi="Times New Roman"/>
          <w:sz w:val="24"/>
          <w:szCs w:val="24"/>
        </w:rPr>
        <w:t xml:space="preserve">In that </w:t>
      </w:r>
      <w:proofErr w:type="gramStart"/>
      <w:r w:rsidR="00002680">
        <w:rPr>
          <w:rFonts w:ascii="Times New Roman" w:hAnsi="Times New Roman"/>
          <w:sz w:val="24"/>
          <w:szCs w:val="24"/>
        </w:rPr>
        <w:t>manner</w:t>
      </w:r>
      <w:proofErr w:type="gramEnd"/>
      <w:r w:rsidR="00002680">
        <w:rPr>
          <w:rFonts w:ascii="Times New Roman" w:hAnsi="Times New Roman"/>
          <w:sz w:val="24"/>
          <w:szCs w:val="24"/>
        </w:rPr>
        <w:t xml:space="preserve"> SB</w:t>
      </w:r>
      <w:r w:rsidRPr="00DC7992">
        <w:rPr>
          <w:rFonts w:ascii="Times New Roman" w:hAnsi="Times New Roman"/>
          <w:sz w:val="24"/>
          <w:szCs w:val="24"/>
        </w:rPr>
        <w:t xml:space="preserve"> performed several types of stress tests and sectoral reviews </w:t>
      </w:r>
      <w:r w:rsidR="00002680">
        <w:rPr>
          <w:rFonts w:ascii="Times New Roman" w:hAnsi="Times New Roman"/>
          <w:sz w:val="24"/>
          <w:szCs w:val="24"/>
        </w:rPr>
        <w:t>in order to</w:t>
      </w:r>
      <w:r w:rsidRPr="00DC7992">
        <w:rPr>
          <w:rFonts w:ascii="Times New Roman" w:hAnsi="Times New Roman"/>
          <w:sz w:val="24"/>
          <w:szCs w:val="24"/>
        </w:rPr>
        <w:t xml:space="preserve"> assess the potential impact on its financial position, which helped </w:t>
      </w:r>
      <w:r w:rsidR="00002680">
        <w:rPr>
          <w:rFonts w:ascii="Times New Roman" w:hAnsi="Times New Roman"/>
          <w:sz w:val="24"/>
          <w:szCs w:val="24"/>
        </w:rPr>
        <w:t xml:space="preserve">the Bank </w:t>
      </w:r>
      <w:r w:rsidRPr="00DC7992">
        <w:rPr>
          <w:rFonts w:ascii="Times New Roman" w:hAnsi="Times New Roman"/>
          <w:sz w:val="24"/>
          <w:szCs w:val="24"/>
        </w:rPr>
        <w:t>to get further insights into the potential impact and to define appropriate mitigating actions.</w:t>
      </w:r>
    </w:p>
    <w:p w14:paraId="4CAB6406" w14:textId="3D6C6986" w:rsidR="00CE3B64" w:rsidRDefault="001E708B" w:rsidP="00BB27D7">
      <w:pPr>
        <w:autoSpaceDE w:val="0"/>
        <w:autoSpaceDN w:val="0"/>
        <w:adjustRightInd w:val="0"/>
        <w:spacing w:before="240" w:after="0"/>
        <w:jc w:val="both"/>
        <w:rPr>
          <w:rFonts w:ascii="Times New Roman" w:hAnsi="Times New Roman"/>
          <w:sz w:val="24"/>
          <w:szCs w:val="24"/>
        </w:rPr>
      </w:pPr>
      <w:r w:rsidRPr="00DC7992">
        <w:rPr>
          <w:rFonts w:ascii="Times New Roman" w:hAnsi="Times New Roman"/>
          <w:sz w:val="24"/>
          <w:szCs w:val="24"/>
        </w:rPr>
        <w:t>It has remained an objective of the Bank</w:t>
      </w:r>
      <w:r>
        <w:rPr>
          <w:rFonts w:ascii="Times New Roman" w:hAnsi="Times New Roman"/>
          <w:sz w:val="24"/>
          <w:szCs w:val="24"/>
        </w:rPr>
        <w:t>, even in these challenging times,</w:t>
      </w:r>
      <w:r w:rsidRPr="00DC7992">
        <w:rPr>
          <w:rFonts w:ascii="Times New Roman" w:hAnsi="Times New Roman"/>
          <w:sz w:val="24"/>
          <w:szCs w:val="24"/>
        </w:rPr>
        <w:t xml:space="preserve"> to strive for continuous improvement of risk management framework in line with the coming regulatory requirements and international standards, the best practices and the changing market conditions. </w:t>
      </w:r>
    </w:p>
    <w:p w14:paraId="66290C00" w14:textId="77777777" w:rsidR="00010884" w:rsidRDefault="001E708B" w:rsidP="00BB27D7">
      <w:pPr>
        <w:autoSpaceDE w:val="0"/>
        <w:autoSpaceDN w:val="0"/>
        <w:adjustRightInd w:val="0"/>
        <w:spacing w:before="240" w:after="0"/>
        <w:jc w:val="both"/>
        <w:rPr>
          <w:rFonts w:ascii="Times New Roman" w:hAnsi="Times New Roman"/>
          <w:sz w:val="24"/>
          <w:szCs w:val="24"/>
        </w:rPr>
      </w:pPr>
      <w:r w:rsidRPr="00DC7992">
        <w:rPr>
          <w:rFonts w:ascii="Times New Roman" w:hAnsi="Times New Roman"/>
          <w:sz w:val="24"/>
          <w:szCs w:val="24"/>
        </w:rPr>
        <w:t>The Risk culture is an important integral component of risk management and the Bank has an active approach of increasing the risk awareness and strengthening the risk culture on all levels of operations, th</w:t>
      </w:r>
      <w:r w:rsidR="00002680">
        <w:rPr>
          <w:rFonts w:ascii="Times New Roman" w:hAnsi="Times New Roman"/>
          <w:sz w:val="24"/>
          <w:szCs w:val="24"/>
        </w:rPr>
        <w:t>r</w:t>
      </w:r>
      <w:r w:rsidRPr="00DC7992">
        <w:rPr>
          <w:rFonts w:ascii="Times New Roman" w:hAnsi="Times New Roman"/>
          <w:sz w:val="24"/>
          <w:szCs w:val="24"/>
        </w:rPr>
        <w:t>ough adequate trainings and workshops.</w:t>
      </w:r>
    </w:p>
    <w:p w14:paraId="4FBE4353" w14:textId="77777777" w:rsidR="00526622" w:rsidRDefault="00526622" w:rsidP="00BB27D7">
      <w:pPr>
        <w:autoSpaceDE w:val="0"/>
        <w:autoSpaceDN w:val="0"/>
        <w:adjustRightInd w:val="0"/>
        <w:spacing w:before="240" w:after="0"/>
        <w:jc w:val="both"/>
        <w:rPr>
          <w:rFonts w:ascii="Times New Roman" w:hAnsi="Times New Roman"/>
          <w:sz w:val="24"/>
          <w:szCs w:val="24"/>
          <w:lang w:val="en-GB" w:eastAsia="en-GB"/>
        </w:rPr>
      </w:pPr>
    </w:p>
    <w:p w14:paraId="5129B37F" w14:textId="77777777" w:rsidR="006641BA" w:rsidRPr="00A34733" w:rsidRDefault="006641BA" w:rsidP="00BB27D7">
      <w:pPr>
        <w:pStyle w:val="Heading2"/>
        <w:spacing w:line="276" w:lineRule="auto"/>
        <w:rPr>
          <w:i/>
          <w:iCs/>
          <w:szCs w:val="24"/>
        </w:rPr>
      </w:pPr>
      <w:bookmarkStart w:id="13" w:name="_Toc133313251"/>
      <w:r w:rsidRPr="00A34733">
        <w:rPr>
          <w:bCs w:val="0"/>
          <w:i/>
          <w:iCs/>
          <w:szCs w:val="24"/>
        </w:rPr>
        <w:t>Credit Risk Management</w:t>
      </w:r>
      <w:bookmarkEnd w:id="13"/>
      <w:r w:rsidRPr="00932791">
        <w:rPr>
          <w:bCs w:val="0"/>
          <w:i/>
          <w:iCs/>
          <w:szCs w:val="24"/>
        </w:rPr>
        <w:t xml:space="preserve"> </w:t>
      </w:r>
    </w:p>
    <w:p w14:paraId="47D80200" w14:textId="77777777" w:rsidR="00526622" w:rsidRPr="00932791" w:rsidRDefault="00526622" w:rsidP="00BB27D7"/>
    <w:p w14:paraId="44D1A54C" w14:textId="08339B36" w:rsidR="006641BA" w:rsidRDefault="006641BA" w:rsidP="00BB27D7">
      <w:pPr>
        <w:pStyle w:val="NoSpacing"/>
        <w:spacing w:line="276" w:lineRule="auto"/>
        <w:jc w:val="both"/>
        <w:rPr>
          <w:rFonts w:ascii="Times New Roman" w:hAnsi="Times New Roman"/>
          <w:sz w:val="24"/>
          <w:szCs w:val="24"/>
        </w:rPr>
      </w:pPr>
      <w:r>
        <w:rPr>
          <w:rFonts w:ascii="Times New Roman" w:hAnsi="Times New Roman"/>
          <w:sz w:val="24"/>
          <w:szCs w:val="24"/>
          <w:lang w:val="en-GB" w:eastAsia="en-GB"/>
        </w:rPr>
        <w:t>Being one of the most relevant risks</w:t>
      </w:r>
      <w:r w:rsidR="00002680">
        <w:rPr>
          <w:rFonts w:ascii="Times New Roman" w:hAnsi="Times New Roman"/>
          <w:sz w:val="24"/>
          <w:szCs w:val="24"/>
          <w:lang w:val="en-GB" w:eastAsia="en-GB"/>
        </w:rPr>
        <w:t xml:space="preserve"> on which </w:t>
      </w:r>
      <w:r>
        <w:rPr>
          <w:rFonts w:ascii="Times New Roman" w:hAnsi="Times New Roman"/>
          <w:sz w:val="24"/>
          <w:szCs w:val="24"/>
          <w:lang w:val="en-GB" w:eastAsia="en-GB"/>
        </w:rPr>
        <w:t xml:space="preserve">Bank is exposed </w:t>
      </w:r>
      <w:proofErr w:type="gramStart"/>
      <w:r>
        <w:rPr>
          <w:rFonts w:ascii="Times New Roman" w:hAnsi="Times New Roman"/>
          <w:sz w:val="24"/>
          <w:szCs w:val="24"/>
          <w:lang w:val="en-GB" w:eastAsia="en-GB"/>
        </w:rPr>
        <w:t>to,</w:t>
      </w:r>
      <w:proofErr w:type="gramEnd"/>
      <w:r w:rsidR="00002680">
        <w:rPr>
          <w:rFonts w:ascii="Times New Roman" w:hAnsi="Times New Roman"/>
          <w:sz w:val="24"/>
          <w:szCs w:val="24"/>
          <w:lang w:val="en-GB" w:eastAsia="en-GB"/>
        </w:rPr>
        <w:t xml:space="preserve"> </w:t>
      </w:r>
      <w:r>
        <w:rPr>
          <w:rFonts w:ascii="Times New Roman" w:hAnsi="Times New Roman"/>
          <w:sz w:val="24"/>
          <w:szCs w:val="24"/>
          <w:lang w:val="en-GB" w:eastAsia="en-GB"/>
        </w:rPr>
        <w:t xml:space="preserve">credit risk is the risk of </w:t>
      </w:r>
      <w:r w:rsidRPr="00581B4E">
        <w:rPr>
          <w:rFonts w:ascii="Times New Roman" w:hAnsi="Times New Roman"/>
          <w:sz w:val="24"/>
          <w:szCs w:val="24"/>
          <w:lang w:val="en-GB" w:eastAsia="en-GB"/>
        </w:rPr>
        <w:t xml:space="preserve">economic losses </w:t>
      </w:r>
      <w:r w:rsidR="00713B00">
        <w:rPr>
          <w:rFonts w:ascii="Times New Roman" w:hAnsi="Times New Roman"/>
          <w:sz w:val="24"/>
          <w:szCs w:val="24"/>
          <w:lang w:val="en-GB" w:eastAsia="en-GB"/>
        </w:rPr>
        <w:t>for the Bank</w:t>
      </w:r>
      <w:r>
        <w:rPr>
          <w:rFonts w:ascii="Times New Roman" w:hAnsi="Times New Roman"/>
          <w:sz w:val="24"/>
          <w:szCs w:val="24"/>
          <w:lang w:val="en-GB" w:eastAsia="en-GB"/>
        </w:rPr>
        <w:t xml:space="preserve"> </w:t>
      </w:r>
      <w:r w:rsidRPr="00581B4E">
        <w:rPr>
          <w:rFonts w:ascii="Times New Roman" w:hAnsi="Times New Roman"/>
          <w:sz w:val="24"/>
          <w:szCs w:val="24"/>
          <w:lang w:val="en-GB" w:eastAsia="en-GB"/>
        </w:rPr>
        <w:t xml:space="preserve">if a counterparty cannot fulfil its contractual or other financial obligations arising </w:t>
      </w:r>
      <w:r w:rsidR="00002680">
        <w:rPr>
          <w:rFonts w:ascii="Times New Roman" w:hAnsi="Times New Roman"/>
          <w:sz w:val="24"/>
          <w:szCs w:val="24"/>
          <w:lang w:val="en-GB" w:eastAsia="en-GB"/>
        </w:rPr>
        <w:t>by</w:t>
      </w:r>
      <w:r w:rsidRPr="00581B4E">
        <w:rPr>
          <w:rFonts w:ascii="Times New Roman" w:hAnsi="Times New Roman"/>
          <w:sz w:val="24"/>
          <w:szCs w:val="24"/>
          <w:lang w:val="en-GB" w:eastAsia="en-GB"/>
        </w:rPr>
        <w:t xml:space="preserve"> a credit contract</w:t>
      </w:r>
      <w:r>
        <w:rPr>
          <w:rFonts w:ascii="Times New Roman" w:hAnsi="Times New Roman"/>
          <w:sz w:val="24"/>
          <w:szCs w:val="24"/>
          <w:lang w:val="en-GB" w:eastAsia="en-GB"/>
        </w:rPr>
        <w:t xml:space="preserve">. Therefore, it is crucial for the Bank to rely on thorough knowledge and understanding of the customer’s </w:t>
      </w:r>
      <w:r w:rsidRPr="005A4389">
        <w:rPr>
          <w:rFonts w:ascii="Times New Roman" w:hAnsi="Times New Roman"/>
          <w:sz w:val="24"/>
          <w:szCs w:val="24"/>
          <w:lang w:val="en-GB" w:eastAsia="en-GB"/>
        </w:rPr>
        <w:t>business</w:t>
      </w:r>
      <w:r>
        <w:rPr>
          <w:rFonts w:ascii="Times New Roman" w:hAnsi="Times New Roman"/>
          <w:sz w:val="24"/>
          <w:szCs w:val="24"/>
          <w:lang w:val="en-GB" w:eastAsia="en-GB"/>
        </w:rPr>
        <w:t>, sector,</w:t>
      </w:r>
      <w:r w:rsidRPr="005A4389">
        <w:rPr>
          <w:rFonts w:ascii="Times New Roman" w:hAnsi="Times New Roman"/>
          <w:sz w:val="24"/>
          <w:szCs w:val="24"/>
          <w:lang w:val="en-GB" w:eastAsia="en-GB"/>
        </w:rPr>
        <w:t xml:space="preserve"> management, goals, financials, opportunities and challenges</w:t>
      </w:r>
      <w:r>
        <w:rPr>
          <w:rFonts w:ascii="Times New Roman" w:hAnsi="Times New Roman"/>
          <w:sz w:val="24"/>
          <w:szCs w:val="24"/>
          <w:lang w:val="en-GB" w:eastAsia="en-GB"/>
        </w:rPr>
        <w:t xml:space="preserve"> in order to undertake an </w:t>
      </w:r>
      <w:r w:rsidR="00002680">
        <w:rPr>
          <w:rFonts w:ascii="Times New Roman" w:hAnsi="Times New Roman"/>
          <w:sz w:val="24"/>
          <w:szCs w:val="24"/>
          <w:lang w:val="en-GB" w:eastAsia="en-GB"/>
        </w:rPr>
        <w:t>appropriate</w:t>
      </w:r>
      <w:r>
        <w:rPr>
          <w:rFonts w:ascii="Times New Roman" w:hAnsi="Times New Roman"/>
          <w:sz w:val="24"/>
          <w:szCs w:val="24"/>
          <w:lang w:val="en-GB" w:eastAsia="en-GB"/>
        </w:rPr>
        <w:t xml:space="preserve"> decision. </w:t>
      </w:r>
      <w:proofErr w:type="gramStart"/>
      <w:r>
        <w:rPr>
          <w:rFonts w:ascii="Times New Roman" w:hAnsi="Times New Roman"/>
          <w:sz w:val="24"/>
          <w:szCs w:val="24"/>
        </w:rPr>
        <w:t>For that purpose, SB</w:t>
      </w:r>
      <w:r w:rsidRPr="00A03F9D">
        <w:rPr>
          <w:rFonts w:ascii="Times New Roman" w:hAnsi="Times New Roman"/>
          <w:sz w:val="24"/>
          <w:szCs w:val="24"/>
        </w:rPr>
        <w:t xml:space="preserve"> credit </w:t>
      </w:r>
      <w:r>
        <w:rPr>
          <w:rFonts w:ascii="Times New Roman" w:hAnsi="Times New Roman"/>
          <w:sz w:val="24"/>
          <w:szCs w:val="24"/>
        </w:rPr>
        <w:t xml:space="preserve">policies of prudent lending </w:t>
      </w:r>
      <w:r w:rsidR="00002680">
        <w:rPr>
          <w:rFonts w:ascii="Times New Roman" w:hAnsi="Times New Roman"/>
          <w:sz w:val="24"/>
          <w:szCs w:val="24"/>
        </w:rPr>
        <w:t xml:space="preserve">are </w:t>
      </w:r>
      <w:r>
        <w:rPr>
          <w:rFonts w:ascii="Times New Roman" w:hAnsi="Times New Roman"/>
          <w:sz w:val="24"/>
          <w:szCs w:val="24"/>
        </w:rPr>
        <w:t>includ</w:t>
      </w:r>
      <w:r w:rsidR="00002680">
        <w:rPr>
          <w:rFonts w:ascii="Times New Roman" w:hAnsi="Times New Roman"/>
          <w:sz w:val="24"/>
          <w:szCs w:val="24"/>
        </w:rPr>
        <w:t>ing</w:t>
      </w:r>
      <w:r w:rsidRPr="00A03F9D">
        <w:rPr>
          <w:rFonts w:ascii="Times New Roman" w:hAnsi="Times New Roman"/>
          <w:sz w:val="24"/>
          <w:szCs w:val="24"/>
        </w:rPr>
        <w:t xml:space="preserve"> a detailed risk assessment prior to any credit decision and common set of minimum standards for credit limit evaluation, approval, renewal and monitoring of credit exposures.</w:t>
      </w:r>
      <w:r>
        <w:rPr>
          <w:rFonts w:ascii="Times New Roman" w:hAnsi="Times New Roman"/>
          <w:sz w:val="24"/>
          <w:szCs w:val="24"/>
          <w:lang w:val="en-GB" w:eastAsia="en-GB"/>
        </w:rPr>
        <w:t xml:space="preserve">The performed credit assessments are supported by </w:t>
      </w:r>
      <w:r w:rsidRPr="00A03F9D">
        <w:rPr>
          <w:rFonts w:ascii="Times New Roman" w:hAnsi="Times New Roman"/>
          <w:sz w:val="24"/>
          <w:szCs w:val="24"/>
        </w:rPr>
        <w:t>risk rating systems</w:t>
      </w:r>
      <w:r>
        <w:rPr>
          <w:rFonts w:ascii="Times New Roman" w:hAnsi="Times New Roman"/>
          <w:sz w:val="24"/>
          <w:szCs w:val="24"/>
        </w:rPr>
        <w:t xml:space="preserve"> and statistical scoring models that, </w:t>
      </w:r>
      <w:r w:rsidRPr="00A03F9D">
        <w:rPr>
          <w:rFonts w:ascii="Times New Roman" w:hAnsi="Times New Roman"/>
          <w:sz w:val="24"/>
          <w:szCs w:val="24"/>
        </w:rPr>
        <w:t>based on various quantitative and qualitative data inputs</w:t>
      </w:r>
      <w:r>
        <w:rPr>
          <w:rFonts w:ascii="Times New Roman" w:hAnsi="Times New Roman"/>
          <w:sz w:val="24"/>
          <w:szCs w:val="24"/>
        </w:rPr>
        <w:t>, provide quantification of the credit risk levels.</w:t>
      </w:r>
      <w:proofErr w:type="gramEnd"/>
      <w:r>
        <w:rPr>
          <w:rFonts w:ascii="Times New Roman" w:hAnsi="Times New Roman"/>
          <w:sz w:val="24"/>
          <w:szCs w:val="24"/>
        </w:rPr>
        <w:t xml:space="preserve"> Finally, </w:t>
      </w:r>
      <w:r w:rsidRPr="00A03F9D">
        <w:rPr>
          <w:rFonts w:ascii="Times New Roman" w:hAnsi="Times New Roman"/>
          <w:sz w:val="24"/>
          <w:szCs w:val="24"/>
        </w:rPr>
        <w:t xml:space="preserve">Authorized Credit Approval Committees </w:t>
      </w:r>
      <w:r>
        <w:rPr>
          <w:rFonts w:ascii="Times New Roman" w:hAnsi="Times New Roman"/>
          <w:sz w:val="24"/>
          <w:szCs w:val="24"/>
        </w:rPr>
        <w:t xml:space="preserve">with experienced and professional members </w:t>
      </w:r>
      <w:proofErr w:type="gramStart"/>
      <w:r w:rsidRPr="00A03F9D">
        <w:rPr>
          <w:rFonts w:ascii="Times New Roman" w:hAnsi="Times New Roman"/>
          <w:sz w:val="24"/>
          <w:szCs w:val="24"/>
        </w:rPr>
        <w:t>are established</w:t>
      </w:r>
      <w:proofErr w:type="gramEnd"/>
      <w:r w:rsidRPr="00A03F9D">
        <w:rPr>
          <w:rFonts w:ascii="Times New Roman" w:hAnsi="Times New Roman"/>
          <w:sz w:val="24"/>
          <w:szCs w:val="24"/>
        </w:rPr>
        <w:t xml:space="preserve"> for the approval and renewal of the credit </w:t>
      </w:r>
      <w:r>
        <w:rPr>
          <w:rFonts w:ascii="Times New Roman" w:hAnsi="Times New Roman"/>
          <w:sz w:val="24"/>
          <w:szCs w:val="24"/>
        </w:rPr>
        <w:t>facilities</w:t>
      </w:r>
      <w:r w:rsidRPr="00A03F9D">
        <w:rPr>
          <w:rFonts w:ascii="Times New Roman" w:hAnsi="Times New Roman"/>
          <w:sz w:val="24"/>
          <w:szCs w:val="24"/>
        </w:rPr>
        <w:t>.</w:t>
      </w:r>
    </w:p>
    <w:p w14:paraId="39BF32A5" w14:textId="15503548" w:rsidR="006641BA" w:rsidRPr="00CD4E43" w:rsidRDefault="006641BA" w:rsidP="00BB27D7">
      <w:pPr>
        <w:autoSpaceDE w:val="0"/>
        <w:autoSpaceDN w:val="0"/>
        <w:adjustRightInd w:val="0"/>
        <w:spacing w:before="240"/>
        <w:jc w:val="both"/>
        <w:rPr>
          <w:rFonts w:ascii="Times New Roman" w:hAnsi="Times New Roman"/>
          <w:sz w:val="24"/>
          <w:szCs w:val="24"/>
          <w:lang w:val="en-GB" w:eastAsia="en-GB"/>
        </w:rPr>
      </w:pPr>
      <w:r>
        <w:rPr>
          <w:rFonts w:ascii="Times New Roman" w:hAnsi="Times New Roman"/>
          <w:sz w:val="24"/>
          <w:szCs w:val="24"/>
          <w:lang w:val="en-GB" w:eastAsia="en-GB"/>
        </w:rPr>
        <w:t xml:space="preserve">After the credit relationship is established, </w:t>
      </w:r>
      <w:r w:rsidRPr="00CD4E43">
        <w:rPr>
          <w:rFonts w:ascii="Times New Roman" w:hAnsi="Times New Roman"/>
          <w:sz w:val="24"/>
          <w:szCs w:val="24"/>
          <w:lang w:val="en-GB" w:eastAsia="en-GB"/>
        </w:rPr>
        <w:t xml:space="preserve">SB </w:t>
      </w:r>
      <w:r>
        <w:rPr>
          <w:rFonts w:ascii="Times New Roman" w:hAnsi="Times New Roman"/>
          <w:sz w:val="24"/>
          <w:szCs w:val="24"/>
          <w:lang w:val="en-GB" w:eastAsia="en-GB"/>
        </w:rPr>
        <w:t>applies an</w:t>
      </w:r>
      <w:r w:rsidRPr="00CD4E43">
        <w:rPr>
          <w:rFonts w:ascii="Times New Roman" w:hAnsi="Times New Roman"/>
          <w:sz w:val="24"/>
          <w:szCs w:val="24"/>
          <w:lang w:val="en-GB" w:eastAsia="en-GB"/>
        </w:rPr>
        <w:t xml:space="preserve"> intensive monitoring process that allows early identification of any </w:t>
      </w:r>
      <w:r>
        <w:rPr>
          <w:rFonts w:ascii="Times New Roman" w:hAnsi="Times New Roman"/>
          <w:sz w:val="24"/>
          <w:szCs w:val="24"/>
          <w:lang w:val="en-GB" w:eastAsia="en-GB"/>
        </w:rPr>
        <w:t xml:space="preserve">deterioration of the </w:t>
      </w:r>
      <w:r w:rsidRPr="00CD4E43">
        <w:rPr>
          <w:rFonts w:ascii="Times New Roman" w:hAnsi="Times New Roman"/>
          <w:sz w:val="24"/>
          <w:szCs w:val="24"/>
          <w:lang w:val="en-GB" w:eastAsia="en-GB"/>
        </w:rPr>
        <w:t>risk profile</w:t>
      </w:r>
      <w:r>
        <w:rPr>
          <w:rFonts w:ascii="Times New Roman" w:hAnsi="Times New Roman"/>
          <w:sz w:val="24"/>
          <w:szCs w:val="24"/>
          <w:lang w:val="en-GB" w:eastAsia="en-GB"/>
        </w:rPr>
        <w:t xml:space="preserve"> of a customer or group of customers. </w:t>
      </w:r>
      <w:r w:rsidRPr="00CD4E43">
        <w:rPr>
          <w:rFonts w:ascii="Times New Roman" w:hAnsi="Times New Roman"/>
          <w:sz w:val="24"/>
          <w:szCs w:val="24"/>
          <w:lang w:val="en-GB" w:eastAsia="en-GB"/>
        </w:rPr>
        <w:t xml:space="preserve">The monitoring process consists of regular credit reviews throughout </w:t>
      </w:r>
      <w:r>
        <w:rPr>
          <w:rFonts w:ascii="Times New Roman" w:hAnsi="Times New Roman"/>
          <w:sz w:val="24"/>
          <w:szCs w:val="24"/>
          <w:lang w:val="en-GB" w:eastAsia="en-GB"/>
        </w:rPr>
        <w:t>the</w:t>
      </w:r>
      <w:r w:rsidRPr="00CD4E43">
        <w:rPr>
          <w:rFonts w:ascii="Times New Roman" w:hAnsi="Times New Roman"/>
          <w:sz w:val="24"/>
          <w:szCs w:val="24"/>
          <w:lang w:val="en-GB" w:eastAsia="en-GB"/>
        </w:rPr>
        <w:t xml:space="preserve"> life cycle</w:t>
      </w:r>
      <w:r>
        <w:rPr>
          <w:rFonts w:ascii="Times New Roman" w:hAnsi="Times New Roman"/>
          <w:sz w:val="24"/>
          <w:szCs w:val="24"/>
          <w:lang w:val="en-GB" w:eastAsia="en-GB"/>
        </w:rPr>
        <w:t xml:space="preserve"> of the product facility</w:t>
      </w:r>
      <w:r w:rsidRPr="00CD4E43">
        <w:rPr>
          <w:rFonts w:ascii="Times New Roman" w:hAnsi="Times New Roman"/>
          <w:sz w:val="24"/>
          <w:szCs w:val="24"/>
          <w:lang w:val="en-GB" w:eastAsia="en-GB"/>
        </w:rPr>
        <w:t>, internal risk classification and Early Warning System</w:t>
      </w:r>
      <w:r>
        <w:rPr>
          <w:rFonts w:ascii="Times New Roman" w:hAnsi="Times New Roman"/>
          <w:sz w:val="24"/>
          <w:szCs w:val="24"/>
          <w:lang w:val="en-GB" w:eastAsia="en-GB"/>
        </w:rPr>
        <w:t>s, system for assessment of Significant Increase of Credit Risk (SICR) and Unlikeness To Pay (UTP),</w:t>
      </w:r>
      <w:r w:rsidRPr="00CD4E43">
        <w:rPr>
          <w:rFonts w:ascii="Times New Roman" w:hAnsi="Times New Roman"/>
          <w:sz w:val="24"/>
          <w:szCs w:val="24"/>
          <w:lang w:val="en-GB" w:eastAsia="en-GB"/>
        </w:rPr>
        <w:t xml:space="preserve"> that </w:t>
      </w:r>
      <w:r>
        <w:rPr>
          <w:rFonts w:ascii="Times New Roman" w:hAnsi="Times New Roman"/>
          <w:sz w:val="24"/>
          <w:szCs w:val="24"/>
          <w:lang w:val="en-GB" w:eastAsia="en-GB"/>
        </w:rPr>
        <w:t xml:space="preserve">all together </w:t>
      </w:r>
      <w:r w:rsidRPr="00CD4E43">
        <w:rPr>
          <w:rFonts w:ascii="Times New Roman" w:hAnsi="Times New Roman"/>
          <w:sz w:val="24"/>
          <w:szCs w:val="24"/>
          <w:lang w:val="en-GB" w:eastAsia="en-GB"/>
        </w:rPr>
        <w:t xml:space="preserve">aim to ensure </w:t>
      </w:r>
      <w:r>
        <w:rPr>
          <w:rFonts w:ascii="Times New Roman" w:hAnsi="Times New Roman"/>
          <w:sz w:val="24"/>
          <w:szCs w:val="24"/>
          <w:lang w:val="en-GB" w:eastAsia="en-GB"/>
        </w:rPr>
        <w:t xml:space="preserve">timely </w:t>
      </w:r>
      <w:r w:rsidRPr="00CD4E43">
        <w:rPr>
          <w:rFonts w:ascii="Times New Roman" w:hAnsi="Times New Roman"/>
          <w:sz w:val="24"/>
          <w:szCs w:val="24"/>
          <w:lang w:val="en-GB" w:eastAsia="en-GB"/>
        </w:rPr>
        <w:t>undertaking of necessary actions</w:t>
      </w:r>
      <w:r>
        <w:rPr>
          <w:rFonts w:ascii="Times New Roman" w:hAnsi="Times New Roman"/>
          <w:sz w:val="24"/>
          <w:szCs w:val="24"/>
          <w:lang w:val="en-GB" w:eastAsia="en-GB"/>
        </w:rPr>
        <w:t xml:space="preserve"> in order to minimize the credit loss</w:t>
      </w:r>
      <w:r w:rsidRPr="00CD4E43">
        <w:rPr>
          <w:rFonts w:ascii="Times New Roman" w:hAnsi="Times New Roman"/>
          <w:sz w:val="24"/>
          <w:szCs w:val="24"/>
          <w:lang w:val="en-GB" w:eastAsia="en-GB"/>
        </w:rPr>
        <w:t xml:space="preserve">. The credit exposure </w:t>
      </w:r>
      <w:proofErr w:type="gramStart"/>
      <w:r w:rsidRPr="00CD4E43">
        <w:rPr>
          <w:rFonts w:ascii="Times New Roman" w:hAnsi="Times New Roman"/>
          <w:sz w:val="24"/>
          <w:szCs w:val="24"/>
          <w:lang w:val="en-GB" w:eastAsia="en-GB"/>
        </w:rPr>
        <w:t xml:space="preserve">is also </w:t>
      </w:r>
      <w:r>
        <w:rPr>
          <w:rFonts w:ascii="Times New Roman" w:hAnsi="Times New Roman"/>
          <w:sz w:val="24"/>
          <w:szCs w:val="24"/>
          <w:lang w:val="en-GB" w:eastAsia="en-GB"/>
        </w:rPr>
        <w:t xml:space="preserve">continuously </w:t>
      </w:r>
      <w:r w:rsidRPr="00CD4E43">
        <w:rPr>
          <w:rFonts w:ascii="Times New Roman" w:hAnsi="Times New Roman"/>
          <w:sz w:val="24"/>
          <w:szCs w:val="24"/>
          <w:lang w:val="en-GB" w:eastAsia="en-GB"/>
        </w:rPr>
        <w:t>monitored</w:t>
      </w:r>
      <w:proofErr w:type="gramEnd"/>
      <w:r w:rsidRPr="00CD4E43">
        <w:rPr>
          <w:rFonts w:ascii="Times New Roman" w:hAnsi="Times New Roman"/>
          <w:sz w:val="24"/>
          <w:szCs w:val="24"/>
          <w:lang w:val="en-GB" w:eastAsia="en-GB"/>
        </w:rPr>
        <w:t xml:space="preserve"> </w:t>
      </w:r>
      <w:r w:rsidR="00002680">
        <w:rPr>
          <w:rFonts w:ascii="Times New Roman" w:hAnsi="Times New Roman"/>
          <w:sz w:val="24"/>
          <w:szCs w:val="24"/>
          <w:lang w:val="en-GB" w:eastAsia="en-GB"/>
        </w:rPr>
        <w:t>through</w:t>
      </w:r>
      <w:r w:rsidRPr="00CD4E43">
        <w:rPr>
          <w:rFonts w:ascii="Times New Roman" w:hAnsi="Times New Roman"/>
          <w:sz w:val="24"/>
          <w:szCs w:val="24"/>
          <w:lang w:val="en-GB" w:eastAsia="en-GB"/>
        </w:rPr>
        <w:t xml:space="preserve"> established concentration limits </w:t>
      </w:r>
      <w:r>
        <w:rPr>
          <w:rFonts w:ascii="Times New Roman" w:hAnsi="Times New Roman"/>
          <w:sz w:val="24"/>
          <w:szCs w:val="24"/>
          <w:lang w:val="en-GB" w:eastAsia="en-GB"/>
        </w:rPr>
        <w:t>based of sector</w:t>
      </w:r>
      <w:r w:rsidR="00002680">
        <w:rPr>
          <w:rFonts w:ascii="Times New Roman" w:hAnsi="Times New Roman"/>
          <w:sz w:val="24"/>
          <w:szCs w:val="24"/>
          <w:lang w:val="en-GB" w:eastAsia="en-GB"/>
        </w:rPr>
        <w:t>ial type</w:t>
      </w:r>
      <w:r>
        <w:rPr>
          <w:rFonts w:ascii="Times New Roman" w:hAnsi="Times New Roman"/>
          <w:sz w:val="24"/>
          <w:szCs w:val="24"/>
          <w:lang w:val="en-GB" w:eastAsia="en-GB"/>
        </w:rPr>
        <w:t>, collateral type, obligor rating, etc</w:t>
      </w:r>
      <w:r w:rsidRPr="00CD4E43">
        <w:rPr>
          <w:rFonts w:ascii="Times New Roman" w:hAnsi="Times New Roman"/>
          <w:sz w:val="24"/>
          <w:szCs w:val="24"/>
          <w:lang w:val="en-GB" w:eastAsia="en-GB"/>
        </w:rPr>
        <w:t xml:space="preserve">. </w:t>
      </w:r>
      <w:r>
        <w:rPr>
          <w:rFonts w:ascii="Times New Roman" w:hAnsi="Times New Roman"/>
          <w:sz w:val="24"/>
          <w:szCs w:val="24"/>
          <w:lang w:val="en-GB" w:eastAsia="en-GB"/>
        </w:rPr>
        <w:t>in line with Risk Appetite Framework of the Bank.</w:t>
      </w:r>
    </w:p>
    <w:p w14:paraId="7706BC34" w14:textId="77777777" w:rsidR="006641BA" w:rsidRDefault="006641BA" w:rsidP="00BB27D7">
      <w:pPr>
        <w:autoSpaceDE w:val="0"/>
        <w:autoSpaceDN w:val="0"/>
        <w:adjustRightInd w:val="0"/>
        <w:spacing w:before="240"/>
        <w:jc w:val="both"/>
        <w:rPr>
          <w:rFonts w:ascii="Times New Roman" w:hAnsi="Times New Roman"/>
          <w:sz w:val="24"/>
          <w:szCs w:val="24"/>
          <w:lang w:val="en-GB" w:eastAsia="en-GB"/>
        </w:rPr>
      </w:pPr>
      <w:r w:rsidRPr="00CD4E43">
        <w:rPr>
          <w:rFonts w:ascii="Times New Roman" w:hAnsi="Times New Roman"/>
          <w:sz w:val="24"/>
          <w:szCs w:val="24"/>
          <w:lang w:val="en-GB" w:eastAsia="en-GB"/>
        </w:rPr>
        <w:t>In line with the international best practices</w:t>
      </w:r>
      <w:r>
        <w:rPr>
          <w:rFonts w:ascii="Times New Roman" w:hAnsi="Times New Roman"/>
          <w:sz w:val="24"/>
          <w:szCs w:val="24"/>
          <w:lang w:val="en-GB" w:eastAsia="en-GB"/>
        </w:rPr>
        <w:t>,</w:t>
      </w:r>
      <w:r w:rsidRPr="00CD4E43">
        <w:rPr>
          <w:rFonts w:ascii="Times New Roman" w:hAnsi="Times New Roman"/>
          <w:sz w:val="24"/>
          <w:szCs w:val="24"/>
          <w:lang w:val="en-GB" w:eastAsia="en-GB"/>
        </w:rPr>
        <w:t xml:space="preserve"> following the enhanced impairment methodology and process, the Bank provide</w:t>
      </w:r>
      <w:r>
        <w:rPr>
          <w:rFonts w:ascii="Times New Roman" w:hAnsi="Times New Roman"/>
          <w:sz w:val="24"/>
          <w:szCs w:val="24"/>
          <w:lang w:val="en-GB" w:eastAsia="en-GB"/>
        </w:rPr>
        <w:t>s</w:t>
      </w:r>
      <w:r w:rsidRPr="00CD4E43">
        <w:rPr>
          <w:rFonts w:ascii="Times New Roman" w:hAnsi="Times New Roman"/>
          <w:sz w:val="24"/>
          <w:szCs w:val="24"/>
          <w:lang w:val="en-GB" w:eastAsia="en-GB"/>
        </w:rPr>
        <w:t xml:space="preserve"> adequate level of provisions for potential credit losses. </w:t>
      </w:r>
    </w:p>
    <w:p w14:paraId="586F160B" w14:textId="275CBBAA" w:rsidR="009277DB" w:rsidRDefault="006641BA" w:rsidP="00BB27D7">
      <w:pPr>
        <w:autoSpaceDE w:val="0"/>
        <w:autoSpaceDN w:val="0"/>
        <w:adjustRightInd w:val="0"/>
        <w:spacing w:before="240"/>
        <w:jc w:val="both"/>
        <w:rPr>
          <w:rFonts w:ascii="Times New Roman" w:hAnsi="Times New Roman"/>
          <w:sz w:val="24"/>
          <w:szCs w:val="24"/>
          <w:lang w:val="en-GB" w:eastAsia="en-GB"/>
        </w:rPr>
      </w:pPr>
      <w:r w:rsidRPr="00C57513">
        <w:rPr>
          <w:rFonts w:ascii="Times New Roman" w:hAnsi="Times New Roman"/>
          <w:sz w:val="24"/>
          <w:szCs w:val="24"/>
          <w:lang w:val="en-GB" w:eastAsia="en-GB"/>
        </w:rPr>
        <w:t xml:space="preserve">In 2022, the Bank navigated the persistent effects of the pandemic while also confronting new challenges in the form of inflation and its widespread impact on the economy. The Bank worked diligently and in close collaboration with its clients and relevant stakeholders </w:t>
      </w:r>
      <w:proofErr w:type="gramStart"/>
      <w:r w:rsidRPr="00C57513">
        <w:rPr>
          <w:rFonts w:ascii="Times New Roman" w:hAnsi="Times New Roman"/>
          <w:sz w:val="24"/>
          <w:szCs w:val="24"/>
          <w:lang w:val="en-GB" w:eastAsia="en-GB"/>
        </w:rPr>
        <w:t>to effectively overcome</w:t>
      </w:r>
      <w:proofErr w:type="gramEnd"/>
      <w:r w:rsidRPr="00C57513">
        <w:rPr>
          <w:rFonts w:ascii="Times New Roman" w:hAnsi="Times New Roman"/>
          <w:sz w:val="24"/>
          <w:szCs w:val="24"/>
          <w:lang w:val="en-GB" w:eastAsia="en-GB"/>
        </w:rPr>
        <w:t xml:space="preserve"> these unprecedented challenges. Despite the adverse effects of the pandemic on global economies</w:t>
      </w:r>
      <w:r>
        <w:rPr>
          <w:rFonts w:ascii="Times New Roman" w:hAnsi="Times New Roman"/>
          <w:sz w:val="24"/>
          <w:szCs w:val="24"/>
          <w:lang w:val="en-GB" w:eastAsia="en-GB"/>
        </w:rPr>
        <w:t xml:space="preserve"> as well as</w:t>
      </w:r>
      <w:r w:rsidRPr="00C57513">
        <w:rPr>
          <w:rFonts w:ascii="Times New Roman" w:hAnsi="Times New Roman"/>
          <w:sz w:val="24"/>
          <w:szCs w:val="24"/>
          <w:lang w:val="en-GB" w:eastAsia="en-GB"/>
        </w:rPr>
        <w:t xml:space="preserve"> inflation</w:t>
      </w:r>
      <w:r w:rsidR="00662D07">
        <w:rPr>
          <w:rFonts w:ascii="Times New Roman" w:hAnsi="Times New Roman"/>
          <w:sz w:val="24"/>
          <w:szCs w:val="24"/>
          <w:lang w:val="en-GB" w:eastAsia="en-GB"/>
        </w:rPr>
        <w:t xml:space="preserve"> and </w:t>
      </w:r>
      <w:r>
        <w:rPr>
          <w:rFonts w:ascii="Times New Roman" w:hAnsi="Times New Roman"/>
          <w:sz w:val="24"/>
          <w:szCs w:val="24"/>
          <w:lang w:val="en-GB" w:eastAsia="en-GB"/>
        </w:rPr>
        <w:t xml:space="preserve">the energy crisis stemming mainly </w:t>
      </w:r>
      <w:r w:rsidR="00002680">
        <w:rPr>
          <w:rFonts w:ascii="Times New Roman" w:hAnsi="Times New Roman"/>
          <w:sz w:val="24"/>
          <w:szCs w:val="24"/>
          <w:lang w:val="en-GB" w:eastAsia="en-GB"/>
        </w:rPr>
        <w:t>by</w:t>
      </w:r>
      <w:r>
        <w:rPr>
          <w:rFonts w:ascii="Times New Roman" w:hAnsi="Times New Roman"/>
          <w:sz w:val="24"/>
          <w:szCs w:val="24"/>
          <w:lang w:val="en-GB" w:eastAsia="en-GB"/>
        </w:rPr>
        <w:t xml:space="preserve"> the Russia-Ukraine </w:t>
      </w:r>
      <w:r w:rsidR="00B37337">
        <w:rPr>
          <w:rFonts w:ascii="Times New Roman" w:hAnsi="Times New Roman"/>
          <w:sz w:val="24"/>
          <w:szCs w:val="24"/>
          <w:lang w:val="en-GB" w:eastAsia="en-GB"/>
        </w:rPr>
        <w:t>crisis</w:t>
      </w:r>
      <w:r w:rsidRPr="00C57513">
        <w:rPr>
          <w:rFonts w:ascii="Times New Roman" w:hAnsi="Times New Roman"/>
          <w:sz w:val="24"/>
          <w:szCs w:val="24"/>
          <w:lang w:val="en-GB" w:eastAsia="en-GB"/>
        </w:rPr>
        <w:t>, SB sustained its robust growth trajectory from 2021 while also fortifying the credit quality of its corporate portfolio.</w:t>
      </w:r>
      <w:r>
        <w:rPr>
          <w:rFonts w:ascii="Times New Roman" w:hAnsi="Times New Roman"/>
          <w:sz w:val="24"/>
          <w:szCs w:val="24"/>
          <w:lang w:val="en-GB" w:eastAsia="en-GB"/>
        </w:rPr>
        <w:t xml:space="preserve"> </w:t>
      </w:r>
    </w:p>
    <w:p w14:paraId="38AD8747" w14:textId="77777777" w:rsidR="006641BA" w:rsidRPr="00C57513" w:rsidRDefault="006641BA" w:rsidP="00BB27D7">
      <w:pPr>
        <w:autoSpaceDE w:val="0"/>
        <w:autoSpaceDN w:val="0"/>
        <w:adjustRightInd w:val="0"/>
        <w:spacing w:before="240"/>
        <w:jc w:val="both"/>
        <w:rPr>
          <w:rFonts w:ascii="Times New Roman" w:hAnsi="Times New Roman"/>
          <w:sz w:val="24"/>
          <w:szCs w:val="24"/>
          <w:lang w:val="en-GB" w:eastAsia="en-GB"/>
        </w:rPr>
      </w:pPr>
      <w:r>
        <w:rPr>
          <w:rFonts w:ascii="Times New Roman" w:hAnsi="Times New Roman"/>
          <w:sz w:val="24"/>
          <w:szCs w:val="24"/>
          <w:lang w:val="en-GB" w:eastAsia="en-GB"/>
        </w:rPr>
        <w:t>All its credit risk objectives, tools and a clear governance structure of the risk management process is incorporated in the Bank’s Credit Policies and the Risk Appetite Framework of the Bank, approved by the Supervisory Board of the Bank.</w:t>
      </w:r>
    </w:p>
    <w:p w14:paraId="742B7C1E" w14:textId="77777777" w:rsidR="00CF028F" w:rsidRPr="008172D6" w:rsidRDefault="00CF028F" w:rsidP="00BB27D7">
      <w:pPr>
        <w:pStyle w:val="Footer"/>
        <w:tabs>
          <w:tab w:val="clear" w:pos="4320"/>
          <w:tab w:val="clear" w:pos="8640"/>
        </w:tabs>
        <w:spacing w:before="480" w:line="276" w:lineRule="auto"/>
        <w:jc w:val="both"/>
        <w:rPr>
          <w:bCs/>
          <w:i/>
          <w:sz w:val="24"/>
          <w:szCs w:val="24"/>
        </w:rPr>
      </w:pPr>
      <w:r w:rsidRPr="008172D6">
        <w:rPr>
          <w:bCs/>
          <w:i/>
          <w:sz w:val="24"/>
          <w:szCs w:val="24"/>
        </w:rPr>
        <w:lastRenderedPageBreak/>
        <w:t xml:space="preserve">Quality of </w:t>
      </w:r>
      <w:r>
        <w:rPr>
          <w:bCs/>
          <w:i/>
          <w:sz w:val="24"/>
          <w:szCs w:val="24"/>
        </w:rPr>
        <w:t>C</w:t>
      </w:r>
      <w:r w:rsidRPr="008172D6">
        <w:rPr>
          <w:bCs/>
          <w:i/>
          <w:sz w:val="24"/>
          <w:szCs w:val="24"/>
        </w:rPr>
        <w:t xml:space="preserve">redit </w:t>
      </w:r>
      <w:r>
        <w:rPr>
          <w:bCs/>
          <w:i/>
          <w:sz w:val="24"/>
          <w:szCs w:val="24"/>
        </w:rPr>
        <w:t>P</w:t>
      </w:r>
      <w:r w:rsidRPr="008172D6">
        <w:rPr>
          <w:bCs/>
          <w:i/>
          <w:sz w:val="24"/>
          <w:szCs w:val="24"/>
        </w:rPr>
        <w:t>ortfolio</w:t>
      </w:r>
    </w:p>
    <w:p w14:paraId="4345761F" w14:textId="0CBB7381" w:rsidR="0079026D" w:rsidRDefault="0079026D" w:rsidP="00BB27D7">
      <w:pPr>
        <w:spacing w:before="240" w:after="480"/>
        <w:jc w:val="both"/>
        <w:rPr>
          <w:rFonts w:ascii="Times New Roman" w:hAnsi="Times New Roman"/>
          <w:sz w:val="24"/>
          <w:szCs w:val="24"/>
        </w:rPr>
      </w:pPr>
      <w:r>
        <w:rPr>
          <w:rFonts w:ascii="Times New Roman" w:hAnsi="Times New Roman"/>
          <w:sz w:val="24"/>
          <w:szCs w:val="24"/>
        </w:rPr>
        <w:t xml:space="preserve">Within the implemented solid </w:t>
      </w:r>
      <w:proofErr w:type="gramStart"/>
      <w:r>
        <w:rPr>
          <w:rFonts w:ascii="Times New Roman" w:hAnsi="Times New Roman"/>
          <w:sz w:val="24"/>
          <w:szCs w:val="24"/>
        </w:rPr>
        <w:t>credit risk management framework</w:t>
      </w:r>
      <w:proofErr w:type="gramEnd"/>
      <w:r>
        <w:rPr>
          <w:rFonts w:ascii="Times New Roman" w:hAnsi="Times New Roman"/>
          <w:sz w:val="24"/>
          <w:szCs w:val="24"/>
        </w:rPr>
        <w:t xml:space="preserve">, </w:t>
      </w:r>
      <w:r w:rsidRPr="008172D6">
        <w:rPr>
          <w:rFonts w:ascii="Times New Roman" w:hAnsi="Times New Roman"/>
          <w:sz w:val="24"/>
          <w:szCs w:val="24"/>
        </w:rPr>
        <w:t>SB managed to maintain a sound and well-diversified credit portfolio</w:t>
      </w:r>
      <w:r w:rsidR="00DE7907">
        <w:rPr>
          <w:rFonts w:ascii="Times New Roman" w:hAnsi="Times New Roman"/>
          <w:sz w:val="24"/>
          <w:szCs w:val="24"/>
        </w:rPr>
        <w:t xml:space="preserve"> in 2022</w:t>
      </w:r>
      <w:r w:rsidRPr="008172D6">
        <w:rPr>
          <w:rFonts w:ascii="Times New Roman" w:hAnsi="Times New Roman"/>
          <w:sz w:val="24"/>
          <w:szCs w:val="24"/>
          <w:lang w:val="en-GB" w:eastAsia="en-GB"/>
        </w:rPr>
        <w:t xml:space="preserve">. </w:t>
      </w:r>
      <w:r>
        <w:rPr>
          <w:rFonts w:ascii="Times New Roman" w:hAnsi="Times New Roman"/>
          <w:sz w:val="24"/>
          <w:szCs w:val="24"/>
          <w:lang w:val="en-GB" w:eastAsia="en-GB"/>
        </w:rPr>
        <w:t xml:space="preserve">Growth of credit portfolio, along with maintaining a low and controlled NPE ratio is one of the Bank’s main strategic objectives, which the Bank managed to achieve </w:t>
      </w:r>
      <w:r w:rsidR="00DE7907">
        <w:rPr>
          <w:rFonts w:ascii="Times New Roman" w:hAnsi="Times New Roman"/>
          <w:sz w:val="24"/>
          <w:szCs w:val="24"/>
          <w:lang w:val="en-GB" w:eastAsia="en-GB"/>
        </w:rPr>
        <w:t>last year</w:t>
      </w:r>
      <w:r>
        <w:rPr>
          <w:rFonts w:ascii="Times New Roman" w:hAnsi="Times New Roman"/>
          <w:sz w:val="24"/>
          <w:szCs w:val="24"/>
          <w:lang w:val="en-GB" w:eastAsia="en-GB"/>
        </w:rPr>
        <w:t xml:space="preserve">, despite </w:t>
      </w:r>
      <w:r w:rsidR="00DE7907" w:rsidRPr="00DE7907">
        <w:rPr>
          <w:rFonts w:ascii="Times New Roman" w:hAnsi="Times New Roman"/>
          <w:sz w:val="24"/>
          <w:szCs w:val="24"/>
          <w:lang w:val="en-GB" w:eastAsia="en-GB"/>
        </w:rPr>
        <w:t>increased inflationary pressures, energy crisis and challenges in supply chains</w:t>
      </w:r>
      <w:r w:rsidR="0033379B">
        <w:rPr>
          <w:rFonts w:ascii="Times New Roman" w:hAnsi="Times New Roman"/>
          <w:sz w:val="24"/>
          <w:szCs w:val="24"/>
          <w:lang w:val="en-GB" w:eastAsia="en-GB"/>
        </w:rPr>
        <w:t>.</w:t>
      </w:r>
      <w:r w:rsidR="00DE7907" w:rsidRPr="00DE7907">
        <w:rPr>
          <w:rFonts w:ascii="Times New Roman" w:hAnsi="Times New Roman"/>
          <w:sz w:val="24"/>
          <w:szCs w:val="24"/>
          <w:lang w:val="en-GB" w:eastAsia="en-GB"/>
        </w:rPr>
        <w:t xml:space="preserve"> </w:t>
      </w:r>
    </w:p>
    <w:p w14:paraId="5AD15A67" w14:textId="0E4ACAD9" w:rsidR="0079026D" w:rsidRDefault="0079026D" w:rsidP="00BB27D7">
      <w:pPr>
        <w:spacing w:before="240"/>
        <w:jc w:val="center"/>
        <w:rPr>
          <w:rFonts w:ascii="Times New Roman" w:hAnsi="Times New Roman"/>
          <w:sz w:val="24"/>
          <w:szCs w:val="24"/>
        </w:rPr>
      </w:pPr>
    </w:p>
    <w:p w14:paraId="2C8604C6" w14:textId="77777777" w:rsidR="00DE7907" w:rsidRDefault="00DE7907" w:rsidP="00BB27D7">
      <w:pPr>
        <w:spacing w:before="240"/>
        <w:jc w:val="center"/>
        <w:rPr>
          <w:rFonts w:ascii="Times New Roman" w:hAnsi="Times New Roman"/>
          <w:sz w:val="24"/>
          <w:szCs w:val="24"/>
        </w:rPr>
      </w:pPr>
      <w:r w:rsidRPr="00932791">
        <w:rPr>
          <w:noProof/>
          <w:sz w:val="18"/>
          <w:szCs w:val="18"/>
        </w:rPr>
        <w:drawing>
          <wp:inline distT="0" distB="0" distL="0" distR="0" wp14:anchorId="0C47264B" wp14:editId="2094C026">
            <wp:extent cx="3409950" cy="1670050"/>
            <wp:effectExtent l="0" t="0" r="0" b="635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C71F43A" w14:textId="69810D31" w:rsidR="0079026D" w:rsidRPr="00174962" w:rsidRDefault="0079026D" w:rsidP="00BB27D7">
      <w:pPr>
        <w:spacing w:before="480"/>
        <w:jc w:val="both"/>
        <w:rPr>
          <w:rFonts w:ascii="Times New Roman" w:hAnsi="Times New Roman"/>
          <w:sz w:val="24"/>
          <w:szCs w:val="24"/>
        </w:rPr>
      </w:pPr>
      <w:r w:rsidRPr="008172D6">
        <w:rPr>
          <w:rFonts w:ascii="Times New Roman" w:hAnsi="Times New Roman"/>
          <w:sz w:val="24"/>
          <w:szCs w:val="24"/>
        </w:rPr>
        <w:t>According to NBR</w:t>
      </w:r>
      <w:r>
        <w:rPr>
          <w:rFonts w:ascii="Times New Roman" w:hAnsi="Times New Roman"/>
          <w:sz w:val="24"/>
          <w:szCs w:val="24"/>
        </w:rPr>
        <w:t>N</w:t>
      </w:r>
      <w:r w:rsidRPr="008172D6">
        <w:rPr>
          <w:rFonts w:ascii="Times New Roman" w:hAnsi="Times New Roman"/>
          <w:sz w:val="24"/>
          <w:szCs w:val="24"/>
        </w:rPr>
        <w:t xml:space="preserve">M Methodology, each credit risk exposure </w:t>
      </w:r>
      <w:proofErr w:type="gramStart"/>
      <w:r w:rsidRPr="008172D6">
        <w:rPr>
          <w:rFonts w:ascii="Times New Roman" w:hAnsi="Times New Roman"/>
          <w:sz w:val="24"/>
          <w:szCs w:val="24"/>
        </w:rPr>
        <w:t>is classified</w:t>
      </w:r>
      <w:proofErr w:type="gramEnd"/>
      <w:r w:rsidRPr="008172D6">
        <w:rPr>
          <w:rFonts w:ascii="Times New Roman" w:hAnsi="Times New Roman"/>
          <w:sz w:val="24"/>
          <w:szCs w:val="24"/>
        </w:rPr>
        <w:t xml:space="preserve"> in one of five risk categories (A, B, C, D and E). The </w:t>
      </w:r>
      <w:r>
        <w:rPr>
          <w:rFonts w:ascii="Times New Roman" w:hAnsi="Times New Roman"/>
          <w:sz w:val="24"/>
          <w:szCs w:val="24"/>
        </w:rPr>
        <w:t>exposure</w:t>
      </w:r>
      <w:r w:rsidRPr="008172D6">
        <w:rPr>
          <w:rFonts w:ascii="Times New Roman" w:hAnsi="Times New Roman"/>
          <w:sz w:val="24"/>
          <w:szCs w:val="24"/>
        </w:rPr>
        <w:t xml:space="preserve"> within the </w:t>
      </w:r>
      <w:r>
        <w:rPr>
          <w:rFonts w:ascii="Times New Roman" w:hAnsi="Times New Roman"/>
          <w:sz w:val="24"/>
          <w:szCs w:val="24"/>
        </w:rPr>
        <w:t xml:space="preserve">best </w:t>
      </w:r>
      <w:r w:rsidRPr="008172D6">
        <w:rPr>
          <w:rFonts w:ascii="Times New Roman" w:hAnsi="Times New Roman"/>
          <w:sz w:val="24"/>
          <w:szCs w:val="24"/>
        </w:rPr>
        <w:t>credit risk categor</w:t>
      </w:r>
      <w:r>
        <w:rPr>
          <w:rFonts w:ascii="Times New Roman" w:hAnsi="Times New Roman"/>
          <w:sz w:val="24"/>
          <w:szCs w:val="24"/>
        </w:rPr>
        <w:t>y</w:t>
      </w:r>
      <w:r w:rsidRPr="008172D6">
        <w:rPr>
          <w:rFonts w:ascii="Times New Roman" w:hAnsi="Times New Roman"/>
          <w:sz w:val="24"/>
          <w:szCs w:val="24"/>
        </w:rPr>
        <w:t xml:space="preserve"> i.e. </w:t>
      </w:r>
      <w:r>
        <w:rPr>
          <w:rFonts w:ascii="Times New Roman" w:hAnsi="Times New Roman"/>
          <w:sz w:val="24"/>
          <w:szCs w:val="24"/>
        </w:rPr>
        <w:t>“A</w:t>
      </w:r>
      <w:r w:rsidRPr="008172D6">
        <w:rPr>
          <w:rFonts w:ascii="Times New Roman" w:hAnsi="Times New Roman"/>
          <w:sz w:val="24"/>
          <w:szCs w:val="24"/>
        </w:rPr>
        <w:t>” credit risk categor</w:t>
      </w:r>
      <w:r>
        <w:rPr>
          <w:rFonts w:ascii="Times New Roman" w:hAnsi="Times New Roman"/>
          <w:sz w:val="24"/>
          <w:szCs w:val="24"/>
        </w:rPr>
        <w:t xml:space="preserve">y </w:t>
      </w:r>
      <w:r w:rsidR="0033379B">
        <w:rPr>
          <w:rFonts w:ascii="Times New Roman" w:hAnsi="Times New Roman"/>
          <w:sz w:val="24"/>
          <w:szCs w:val="24"/>
        </w:rPr>
        <w:t>is</w:t>
      </w:r>
      <w:r w:rsidR="004126EC">
        <w:rPr>
          <w:rFonts w:ascii="Times New Roman" w:hAnsi="Times New Roman"/>
          <w:sz w:val="24"/>
          <w:szCs w:val="24"/>
        </w:rPr>
        <w:t xml:space="preserve"> 86.1% in 2022</w:t>
      </w:r>
      <w:r w:rsidRPr="008172D6">
        <w:rPr>
          <w:rFonts w:ascii="Times New Roman" w:hAnsi="Times New Roman"/>
          <w:sz w:val="24"/>
          <w:szCs w:val="24"/>
        </w:rPr>
        <w:t>,</w:t>
      </w:r>
      <w:r>
        <w:rPr>
          <w:rFonts w:ascii="Times New Roman" w:hAnsi="Times New Roman"/>
          <w:sz w:val="24"/>
          <w:szCs w:val="24"/>
        </w:rPr>
        <w:t xml:space="preserve"> mostly due to exposure classified in “B” category, that </w:t>
      </w:r>
      <w:r w:rsidR="0033379B">
        <w:rPr>
          <w:rFonts w:ascii="Times New Roman" w:hAnsi="Times New Roman"/>
          <w:sz w:val="24"/>
          <w:szCs w:val="24"/>
        </w:rPr>
        <w:t xml:space="preserve">has reached </w:t>
      </w:r>
      <w:r w:rsidR="00BC6EFB">
        <w:rPr>
          <w:rFonts w:ascii="Times New Roman" w:hAnsi="Times New Roman"/>
          <w:sz w:val="24"/>
          <w:szCs w:val="24"/>
        </w:rPr>
        <w:t xml:space="preserve">9.9% in 2022 </w:t>
      </w:r>
      <w:r w:rsidR="00BC6EFB" w:rsidRPr="00BC6EFB">
        <w:rPr>
          <w:rFonts w:ascii="Times New Roman" w:hAnsi="Times New Roman"/>
          <w:sz w:val="24"/>
          <w:szCs w:val="24"/>
        </w:rPr>
        <w:t xml:space="preserve">by applying a more prudent overlay approach (post-model adjustments) in the </w:t>
      </w:r>
      <w:r w:rsidR="00BC6EFB">
        <w:rPr>
          <w:rFonts w:ascii="Times New Roman" w:hAnsi="Times New Roman"/>
          <w:sz w:val="24"/>
          <w:szCs w:val="24"/>
        </w:rPr>
        <w:t xml:space="preserve">impairment </w:t>
      </w:r>
      <w:r w:rsidR="00BC6EFB" w:rsidRPr="00BC6EFB">
        <w:rPr>
          <w:rFonts w:ascii="Times New Roman" w:hAnsi="Times New Roman"/>
          <w:sz w:val="24"/>
          <w:szCs w:val="24"/>
        </w:rPr>
        <w:t>calculation in order to anticipate the uncertainty caused by the geopolitical and energy crisis</w:t>
      </w:r>
      <w:r>
        <w:rPr>
          <w:rFonts w:ascii="Times New Roman" w:hAnsi="Times New Roman"/>
          <w:sz w:val="24"/>
          <w:szCs w:val="24"/>
        </w:rPr>
        <w:t>. H</w:t>
      </w:r>
      <w:r w:rsidRPr="008172D6">
        <w:rPr>
          <w:rFonts w:ascii="Times New Roman" w:hAnsi="Times New Roman"/>
          <w:sz w:val="24"/>
          <w:szCs w:val="24"/>
        </w:rPr>
        <w:t>igh</w:t>
      </w:r>
      <w:r>
        <w:rPr>
          <w:rFonts w:ascii="Times New Roman" w:hAnsi="Times New Roman"/>
          <w:sz w:val="24"/>
          <w:szCs w:val="24"/>
        </w:rPr>
        <w:t>-</w:t>
      </w:r>
      <w:r w:rsidRPr="008172D6">
        <w:rPr>
          <w:rFonts w:ascii="Times New Roman" w:hAnsi="Times New Roman"/>
          <w:sz w:val="24"/>
          <w:szCs w:val="24"/>
        </w:rPr>
        <w:t xml:space="preserve">risk debt </w:t>
      </w:r>
      <w:r>
        <w:rPr>
          <w:rFonts w:ascii="Times New Roman" w:hAnsi="Times New Roman"/>
          <w:sz w:val="24"/>
          <w:szCs w:val="24"/>
        </w:rPr>
        <w:t xml:space="preserve">exposures </w:t>
      </w:r>
      <w:r w:rsidRPr="008172D6">
        <w:rPr>
          <w:rFonts w:ascii="Times New Roman" w:hAnsi="Times New Roman"/>
          <w:sz w:val="24"/>
          <w:szCs w:val="24"/>
        </w:rPr>
        <w:t xml:space="preserve">classified in “D” and “E” </w:t>
      </w:r>
      <w:r>
        <w:rPr>
          <w:rFonts w:ascii="Times New Roman" w:hAnsi="Times New Roman"/>
          <w:sz w:val="24"/>
          <w:szCs w:val="24"/>
        </w:rPr>
        <w:t xml:space="preserve">categories compose </w:t>
      </w:r>
      <w:r w:rsidR="00BC6EFB">
        <w:rPr>
          <w:rFonts w:ascii="Times New Roman" w:hAnsi="Times New Roman"/>
          <w:sz w:val="24"/>
          <w:szCs w:val="24"/>
        </w:rPr>
        <w:t>3.0</w:t>
      </w:r>
      <w:r>
        <w:rPr>
          <w:rFonts w:ascii="Times New Roman" w:hAnsi="Times New Roman"/>
          <w:sz w:val="24"/>
          <w:szCs w:val="24"/>
        </w:rPr>
        <w:t xml:space="preserve">% of the Bank’s loan portfolio. </w:t>
      </w:r>
    </w:p>
    <w:p w14:paraId="33587DA4" w14:textId="77777777" w:rsidR="0079026D" w:rsidRPr="008172D6" w:rsidRDefault="0079026D" w:rsidP="00BB27D7">
      <w:pPr>
        <w:spacing w:before="360"/>
        <w:jc w:val="both"/>
        <w:rPr>
          <w:rFonts w:ascii="Times New Roman" w:hAnsi="Times New Roman"/>
          <w:i/>
          <w:sz w:val="24"/>
          <w:szCs w:val="24"/>
        </w:rPr>
      </w:pPr>
      <w:r w:rsidRPr="008172D6">
        <w:rPr>
          <w:rFonts w:ascii="Times New Roman" w:hAnsi="Times New Roman"/>
          <w:i/>
          <w:sz w:val="24"/>
          <w:szCs w:val="24"/>
        </w:rPr>
        <w:t xml:space="preserve">Concentration </w:t>
      </w:r>
      <w:r>
        <w:rPr>
          <w:rFonts w:ascii="Times New Roman" w:hAnsi="Times New Roman"/>
          <w:i/>
          <w:sz w:val="24"/>
          <w:szCs w:val="24"/>
        </w:rPr>
        <w:t>Structure</w:t>
      </w:r>
    </w:p>
    <w:p w14:paraId="64D8D571" w14:textId="03D807C1" w:rsidR="0079026D" w:rsidRPr="008172D6" w:rsidRDefault="0079026D" w:rsidP="00BB27D7">
      <w:pPr>
        <w:spacing w:before="240"/>
        <w:jc w:val="both"/>
        <w:rPr>
          <w:rFonts w:ascii="Times New Roman" w:hAnsi="Times New Roman"/>
          <w:bCs/>
          <w:sz w:val="24"/>
          <w:szCs w:val="24"/>
        </w:rPr>
      </w:pPr>
      <w:r w:rsidRPr="008172D6">
        <w:rPr>
          <w:rFonts w:ascii="Times New Roman" w:hAnsi="Times New Roman"/>
          <w:sz w:val="24"/>
          <w:szCs w:val="24"/>
        </w:rPr>
        <w:t xml:space="preserve">Credit concentration risk is a risk of loss due to insufficient diversification of risks within a portfolio caused by relatively large concentrations of exposures to positively and highly correlated counterparties. To avoid excessive credit risk concentrations, SB aims to diversify the credit risk and establishes limits towards </w:t>
      </w:r>
      <w:r>
        <w:rPr>
          <w:rFonts w:ascii="Times New Roman" w:hAnsi="Times New Roman"/>
          <w:sz w:val="24"/>
          <w:szCs w:val="24"/>
        </w:rPr>
        <w:t>s</w:t>
      </w:r>
      <w:r w:rsidRPr="008172D6">
        <w:rPr>
          <w:rFonts w:ascii="Times New Roman" w:hAnsi="Times New Roman"/>
          <w:sz w:val="24"/>
          <w:szCs w:val="24"/>
        </w:rPr>
        <w:t xml:space="preserve">ingle clients and groups of related clients (obligor concentration), exposure within certain industry </w:t>
      </w:r>
      <w:r>
        <w:rPr>
          <w:rFonts w:ascii="Times New Roman" w:hAnsi="Times New Roman"/>
          <w:sz w:val="24"/>
          <w:szCs w:val="24"/>
        </w:rPr>
        <w:t>sector (industry concentration</w:t>
      </w:r>
      <w:r w:rsidRPr="00CD4E43">
        <w:rPr>
          <w:rFonts w:ascii="Times New Roman" w:hAnsi="Times New Roman"/>
          <w:sz w:val="24"/>
          <w:szCs w:val="24"/>
        </w:rPr>
        <w:t xml:space="preserve">), type of collateral, etc. </w:t>
      </w:r>
    </w:p>
    <w:p w14:paraId="6D813A39" w14:textId="77777777" w:rsidR="0079026D" w:rsidRDefault="0079026D" w:rsidP="00BB27D7">
      <w:pPr>
        <w:spacing w:before="240" w:after="360"/>
        <w:jc w:val="both"/>
        <w:rPr>
          <w:rFonts w:ascii="Times New Roman" w:hAnsi="Times New Roman"/>
          <w:bCs/>
          <w:sz w:val="24"/>
          <w:szCs w:val="24"/>
        </w:rPr>
      </w:pPr>
      <w:r w:rsidRPr="008172D6">
        <w:rPr>
          <w:rFonts w:ascii="Times New Roman" w:hAnsi="Times New Roman"/>
          <w:bCs/>
          <w:sz w:val="24"/>
          <w:szCs w:val="24"/>
        </w:rPr>
        <w:t>SB monitors the credit exposure against the set</w:t>
      </w:r>
      <w:r>
        <w:rPr>
          <w:rFonts w:ascii="Times New Roman" w:hAnsi="Times New Roman"/>
          <w:bCs/>
          <w:sz w:val="24"/>
          <w:szCs w:val="24"/>
        </w:rPr>
        <w:t xml:space="preserve"> of</w:t>
      </w:r>
      <w:r w:rsidRPr="008172D6">
        <w:rPr>
          <w:rFonts w:ascii="Times New Roman" w:hAnsi="Times New Roman"/>
          <w:bCs/>
          <w:sz w:val="24"/>
          <w:szCs w:val="24"/>
        </w:rPr>
        <w:t xml:space="preserve"> concentration limits on regular basis, supporting the conclusions by adequate corrective actions.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9"/>
        <w:gridCol w:w="4630"/>
      </w:tblGrid>
      <w:tr w:rsidR="00874FC4" w14:paraId="68557941" w14:textId="77777777" w:rsidTr="00313590">
        <w:tc>
          <w:tcPr>
            <w:tcW w:w="4629" w:type="dxa"/>
          </w:tcPr>
          <w:p w14:paraId="11A3854F" w14:textId="77777777" w:rsidR="00874FC4" w:rsidRDefault="00874FC4" w:rsidP="00BB27D7">
            <w:pPr>
              <w:spacing w:before="240" w:after="360"/>
              <w:jc w:val="both"/>
              <w:rPr>
                <w:b/>
                <w:bCs/>
                <w:i/>
                <w:iCs/>
                <w:sz w:val="24"/>
                <w:szCs w:val="24"/>
                <w:lang w:val="mk-MK"/>
              </w:rPr>
            </w:pPr>
            <w:r>
              <w:rPr>
                <w:b/>
                <w:bCs/>
                <w:i/>
                <w:iCs/>
                <w:noProof/>
                <w:sz w:val="24"/>
                <w:szCs w:val="24"/>
              </w:rPr>
              <w:lastRenderedPageBreak/>
              <w:drawing>
                <wp:inline distT="0" distB="0" distL="0" distR="0" wp14:anchorId="059C2E6D" wp14:editId="53ADBD0D">
                  <wp:extent cx="2787650" cy="182870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7650" cy="1828705"/>
                          </a:xfrm>
                          <a:prstGeom prst="rect">
                            <a:avLst/>
                          </a:prstGeom>
                          <a:noFill/>
                        </pic:spPr>
                      </pic:pic>
                    </a:graphicData>
                  </a:graphic>
                </wp:inline>
              </w:drawing>
            </w:r>
          </w:p>
        </w:tc>
        <w:tc>
          <w:tcPr>
            <w:tcW w:w="4630" w:type="dxa"/>
          </w:tcPr>
          <w:p w14:paraId="493DF10E" w14:textId="77777777" w:rsidR="00874FC4" w:rsidRDefault="00874FC4" w:rsidP="00BB27D7">
            <w:pPr>
              <w:spacing w:before="240" w:after="360"/>
              <w:jc w:val="both"/>
              <w:rPr>
                <w:b/>
                <w:bCs/>
                <w:i/>
                <w:iCs/>
                <w:sz w:val="24"/>
                <w:szCs w:val="24"/>
                <w:lang w:val="mk-MK"/>
              </w:rPr>
            </w:pPr>
            <w:r>
              <w:rPr>
                <w:b/>
                <w:bCs/>
                <w:i/>
                <w:iCs/>
                <w:noProof/>
                <w:sz w:val="24"/>
                <w:szCs w:val="24"/>
              </w:rPr>
              <w:drawing>
                <wp:inline distT="0" distB="0" distL="0" distR="0" wp14:anchorId="4B3A7111" wp14:editId="1C106EBF">
                  <wp:extent cx="2787650" cy="1828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87650" cy="1828800"/>
                          </a:xfrm>
                          <a:prstGeom prst="rect">
                            <a:avLst/>
                          </a:prstGeom>
                          <a:noFill/>
                        </pic:spPr>
                      </pic:pic>
                    </a:graphicData>
                  </a:graphic>
                </wp:inline>
              </w:drawing>
            </w:r>
          </w:p>
        </w:tc>
      </w:tr>
    </w:tbl>
    <w:p w14:paraId="7102C3CF" w14:textId="77777777" w:rsidR="00196F45" w:rsidRDefault="00196F45" w:rsidP="00BB27D7">
      <w:pPr>
        <w:pStyle w:val="Heading2"/>
        <w:spacing w:line="276" w:lineRule="auto"/>
        <w:rPr>
          <w:bCs w:val="0"/>
          <w:i/>
          <w:iCs/>
          <w:szCs w:val="24"/>
        </w:rPr>
      </w:pPr>
      <w:bookmarkStart w:id="14" w:name="_Toc133313252"/>
    </w:p>
    <w:p w14:paraId="12CF3A59" w14:textId="15AEE137" w:rsidR="003D7A29" w:rsidRPr="00932791" w:rsidRDefault="003D7A29" w:rsidP="00BB27D7">
      <w:pPr>
        <w:pStyle w:val="Heading2"/>
        <w:spacing w:line="276" w:lineRule="auto"/>
        <w:rPr>
          <w:b w:val="0"/>
          <w:bCs w:val="0"/>
          <w:i/>
          <w:iCs/>
          <w:szCs w:val="24"/>
        </w:rPr>
      </w:pPr>
      <w:r w:rsidRPr="00A34733">
        <w:rPr>
          <w:bCs w:val="0"/>
          <w:i/>
          <w:iCs/>
          <w:szCs w:val="24"/>
        </w:rPr>
        <w:t>Liquidity Risk Management</w:t>
      </w:r>
      <w:bookmarkEnd w:id="14"/>
    </w:p>
    <w:p w14:paraId="32FE2CBE" w14:textId="77777777" w:rsidR="003D7A29" w:rsidRDefault="003D7A29" w:rsidP="00BB27D7">
      <w:pPr>
        <w:spacing w:after="0"/>
        <w:jc w:val="both"/>
        <w:rPr>
          <w:rFonts w:ascii="Times New Roman" w:hAnsi="Times New Roman"/>
          <w:i/>
          <w:iCs/>
          <w:sz w:val="24"/>
          <w:szCs w:val="24"/>
        </w:rPr>
      </w:pPr>
    </w:p>
    <w:p w14:paraId="5C0748A4" w14:textId="01FEDF5C" w:rsidR="003D7A29" w:rsidRDefault="003D7A29" w:rsidP="00BB27D7">
      <w:pPr>
        <w:jc w:val="both"/>
        <w:rPr>
          <w:rFonts w:ascii="Times New Roman" w:hAnsi="Times New Roman"/>
          <w:sz w:val="24"/>
          <w:szCs w:val="24"/>
        </w:rPr>
      </w:pPr>
      <w:r>
        <w:rPr>
          <w:rFonts w:ascii="Times New Roman" w:hAnsi="Times New Roman"/>
          <w:sz w:val="24"/>
          <w:szCs w:val="24"/>
        </w:rPr>
        <w:t xml:space="preserve">The Bank in continuity maintains the liquidity position at the appropriate level in relation to its own size and capacity and thus enabling performance of all business activities and fulfillment of the regulatory requirements from the </w:t>
      </w:r>
      <w:proofErr w:type="gramStart"/>
      <w:r>
        <w:rPr>
          <w:rFonts w:ascii="Times New Roman" w:hAnsi="Times New Roman"/>
          <w:sz w:val="24"/>
          <w:szCs w:val="24"/>
        </w:rPr>
        <w:t>liquidity risk management area</w:t>
      </w:r>
      <w:proofErr w:type="gramEnd"/>
      <w:r>
        <w:rPr>
          <w:rFonts w:ascii="Times New Roman" w:hAnsi="Times New Roman"/>
          <w:sz w:val="24"/>
          <w:szCs w:val="24"/>
        </w:rPr>
        <w:t xml:space="preserve">. Basic source of funds i.e. the liquidity of Stopanska are clients’ deposits, in which 65% are from payment accounts and sight deposits. This part of deposit base </w:t>
      </w:r>
      <w:proofErr w:type="gramStart"/>
      <w:r>
        <w:rPr>
          <w:rFonts w:ascii="Times New Roman" w:hAnsi="Times New Roman"/>
          <w:sz w:val="24"/>
          <w:szCs w:val="24"/>
        </w:rPr>
        <w:t>is characterized</w:t>
      </w:r>
      <w:proofErr w:type="gramEnd"/>
      <w:r>
        <w:rPr>
          <w:rFonts w:ascii="Times New Roman" w:hAnsi="Times New Roman"/>
          <w:sz w:val="24"/>
          <w:szCs w:val="24"/>
        </w:rPr>
        <w:t xml:space="preserve"> with daily movements. Hence, the liquidity management imposes the need to maintain quality </w:t>
      </w:r>
      <w:r>
        <w:rPr>
          <w:rFonts w:ascii="Times New Roman" w:hAnsi="Times New Roman"/>
          <w:sz w:val="24"/>
          <w:szCs w:val="24"/>
          <w:lang w:val="mk-MK"/>
        </w:rPr>
        <w:t xml:space="preserve">liquid </w:t>
      </w:r>
      <w:r>
        <w:rPr>
          <w:rFonts w:ascii="Times New Roman" w:hAnsi="Times New Roman"/>
          <w:sz w:val="24"/>
          <w:szCs w:val="24"/>
        </w:rPr>
        <w:t xml:space="preserve">assets composed of various instruments by type, term and currency, carefully and appropriately structured to the Bank’s liquidity needs. </w:t>
      </w:r>
    </w:p>
    <w:p w14:paraId="1E7AB0B2" w14:textId="77777777" w:rsidR="003D7A29" w:rsidRDefault="003D7A29" w:rsidP="00BB27D7">
      <w:pPr>
        <w:jc w:val="both"/>
        <w:rPr>
          <w:rFonts w:ascii="Times New Roman" w:hAnsi="Times New Roman"/>
          <w:sz w:val="24"/>
          <w:szCs w:val="24"/>
        </w:rPr>
      </w:pPr>
      <w:r>
        <w:rPr>
          <w:rFonts w:ascii="Times New Roman" w:hAnsi="Times New Roman"/>
          <w:sz w:val="24"/>
          <w:szCs w:val="24"/>
        </w:rPr>
        <w:t xml:space="preserve">Managing with the liquidity </w:t>
      </w:r>
      <w:proofErr w:type="gramStart"/>
      <w:r>
        <w:rPr>
          <w:rFonts w:ascii="Times New Roman" w:hAnsi="Times New Roman"/>
          <w:sz w:val="24"/>
          <w:szCs w:val="24"/>
        </w:rPr>
        <w:t>is based</w:t>
      </w:r>
      <w:proofErr w:type="gramEnd"/>
      <w:r>
        <w:rPr>
          <w:rFonts w:ascii="Times New Roman" w:hAnsi="Times New Roman"/>
          <w:sz w:val="24"/>
          <w:szCs w:val="24"/>
        </w:rPr>
        <w:t xml:space="preserve"> on the preparation of projections of the cash flows and matching these movements with the maturities of the obligations. The planning and managing of the liquidity is based on a daily basis, with real time monitoring of those positions that </w:t>
      </w:r>
      <w:proofErr w:type="gramStart"/>
      <w:r>
        <w:rPr>
          <w:rFonts w:ascii="Times New Roman" w:hAnsi="Times New Roman"/>
          <w:sz w:val="24"/>
          <w:szCs w:val="24"/>
        </w:rPr>
        <w:t>impact</w:t>
      </w:r>
      <w:proofErr w:type="gramEnd"/>
      <w:r>
        <w:rPr>
          <w:rFonts w:ascii="Times New Roman" w:hAnsi="Times New Roman"/>
          <w:sz w:val="24"/>
          <w:szCs w:val="24"/>
        </w:rPr>
        <w:t xml:space="preserve"> the most. In terms of international economic and energy crisis, the Bank successfully dealt with all shocks that proves its competence and resistance against unfavorable influences.</w:t>
      </w:r>
    </w:p>
    <w:p w14:paraId="63D94C77" w14:textId="3ED60E68" w:rsidR="003D7A29" w:rsidRDefault="003D7A29" w:rsidP="00BB27D7">
      <w:pPr>
        <w:jc w:val="both"/>
        <w:rPr>
          <w:rFonts w:ascii="Times New Roman" w:hAnsi="Times New Roman"/>
          <w:sz w:val="24"/>
          <w:szCs w:val="24"/>
        </w:rPr>
      </w:pPr>
      <w:proofErr w:type="gramStart"/>
      <w:r>
        <w:rPr>
          <w:rFonts w:ascii="Times New Roman" w:hAnsi="Times New Roman"/>
          <w:sz w:val="24"/>
          <w:szCs w:val="24"/>
        </w:rPr>
        <w:t>The Bank in continuity reviews and improves the system of internal controls and infrastructure composed of policies, procedures and mechanisms for defense set at three levels</w:t>
      </w:r>
      <w:r w:rsidR="00BB7323">
        <w:rPr>
          <w:rFonts w:ascii="Times New Roman" w:hAnsi="Times New Roman"/>
          <w:sz w:val="24"/>
          <w:szCs w:val="24"/>
        </w:rPr>
        <w:t xml:space="preserve"> </w:t>
      </w:r>
      <w:r>
        <w:rPr>
          <w:rFonts w:ascii="Times New Roman" w:hAnsi="Times New Roman"/>
          <w:sz w:val="24"/>
          <w:szCs w:val="24"/>
        </w:rPr>
        <w:t xml:space="preserve">- the first level which is operational level of liquidity management run by the Treasury Division, the second level – identification, measurement and control of liquidity risk by the Risk </w:t>
      </w:r>
      <w:r w:rsidR="00E416B6">
        <w:rPr>
          <w:rFonts w:ascii="Times New Roman" w:hAnsi="Times New Roman"/>
          <w:sz w:val="24"/>
          <w:szCs w:val="24"/>
        </w:rPr>
        <w:t xml:space="preserve">Management </w:t>
      </w:r>
      <w:r>
        <w:rPr>
          <w:rFonts w:ascii="Times New Roman" w:hAnsi="Times New Roman"/>
          <w:sz w:val="24"/>
          <w:szCs w:val="24"/>
        </w:rPr>
        <w:t xml:space="preserve">Division and the third level of defense - the Internal </w:t>
      </w:r>
      <w:r w:rsidR="00E416B6">
        <w:rPr>
          <w:rFonts w:ascii="Times New Roman" w:hAnsi="Times New Roman"/>
          <w:sz w:val="24"/>
          <w:szCs w:val="24"/>
        </w:rPr>
        <w:t xml:space="preserve">Audit </w:t>
      </w:r>
      <w:r>
        <w:rPr>
          <w:rFonts w:ascii="Times New Roman" w:hAnsi="Times New Roman"/>
          <w:sz w:val="24"/>
          <w:szCs w:val="24"/>
        </w:rPr>
        <w:t>Division, with advices and insight into the quality and effectiveness of the internal controls.</w:t>
      </w:r>
      <w:proofErr w:type="gramEnd"/>
    </w:p>
    <w:p w14:paraId="22576D17" w14:textId="77777777" w:rsidR="003D7A29" w:rsidRPr="00932791" w:rsidRDefault="003D7A29" w:rsidP="00BB27D7">
      <w:pPr>
        <w:rPr>
          <w:rFonts w:ascii="Times New Roman" w:hAnsi="Times New Roman"/>
          <w:i/>
          <w:sz w:val="24"/>
          <w:szCs w:val="24"/>
        </w:rPr>
      </w:pPr>
      <w:r w:rsidRPr="00932791">
        <w:rPr>
          <w:rFonts w:ascii="Times New Roman" w:hAnsi="Times New Roman"/>
          <w:i/>
          <w:sz w:val="24"/>
          <w:szCs w:val="24"/>
        </w:rPr>
        <w:t>Regulatory requirements</w:t>
      </w:r>
    </w:p>
    <w:p w14:paraId="0F00C880" w14:textId="34F37091" w:rsidR="003D7A29" w:rsidRDefault="0033379B" w:rsidP="00BB27D7">
      <w:pPr>
        <w:jc w:val="both"/>
        <w:rPr>
          <w:rFonts w:ascii="Times New Roman" w:hAnsi="Times New Roman"/>
          <w:sz w:val="24"/>
          <w:szCs w:val="24"/>
        </w:rPr>
      </w:pPr>
      <w:r>
        <w:rPr>
          <w:rFonts w:ascii="Times New Roman" w:hAnsi="Times New Roman"/>
          <w:sz w:val="24"/>
          <w:szCs w:val="24"/>
        </w:rPr>
        <w:t>A</w:t>
      </w:r>
      <w:r w:rsidR="003D7A29">
        <w:rPr>
          <w:rFonts w:ascii="Times New Roman" w:hAnsi="Times New Roman"/>
          <w:sz w:val="24"/>
          <w:szCs w:val="24"/>
        </w:rPr>
        <w:t xml:space="preserve">verage </w:t>
      </w:r>
      <w:r>
        <w:rPr>
          <w:rFonts w:ascii="Times New Roman" w:hAnsi="Times New Roman"/>
          <w:sz w:val="24"/>
          <w:szCs w:val="24"/>
        </w:rPr>
        <w:t xml:space="preserve">level </w:t>
      </w:r>
      <w:r w:rsidR="003D7A29">
        <w:rPr>
          <w:rFonts w:ascii="Times New Roman" w:hAnsi="Times New Roman"/>
          <w:sz w:val="24"/>
          <w:szCs w:val="24"/>
        </w:rPr>
        <w:t>of the denar mandatory reserve during 2022 was 100</w:t>
      </w:r>
      <w:r w:rsidR="00BB7323">
        <w:rPr>
          <w:rFonts w:ascii="Times New Roman" w:hAnsi="Times New Roman"/>
          <w:sz w:val="24"/>
          <w:szCs w:val="24"/>
        </w:rPr>
        <w:t>.</w:t>
      </w:r>
      <w:r w:rsidR="003D7A29">
        <w:rPr>
          <w:rFonts w:ascii="Times New Roman" w:hAnsi="Times New Roman"/>
          <w:sz w:val="24"/>
          <w:szCs w:val="24"/>
        </w:rPr>
        <w:t>22%, at prescribed regulatory minimum of 100%,</w:t>
      </w:r>
      <w:r>
        <w:rPr>
          <w:rFonts w:ascii="Times New Roman" w:hAnsi="Times New Roman"/>
          <w:sz w:val="24"/>
          <w:szCs w:val="24"/>
        </w:rPr>
        <w:t xml:space="preserve"> </w:t>
      </w:r>
      <w:r w:rsidR="003D7A29">
        <w:rPr>
          <w:rFonts w:ascii="Times New Roman" w:hAnsi="Times New Roman"/>
          <w:sz w:val="24"/>
          <w:szCs w:val="24"/>
        </w:rPr>
        <w:t>show</w:t>
      </w:r>
      <w:r>
        <w:rPr>
          <w:rFonts w:ascii="Times New Roman" w:hAnsi="Times New Roman"/>
          <w:sz w:val="24"/>
          <w:szCs w:val="24"/>
        </w:rPr>
        <w:t>ing</w:t>
      </w:r>
      <w:r w:rsidR="003D7A29">
        <w:rPr>
          <w:rFonts w:ascii="Times New Roman" w:hAnsi="Times New Roman"/>
          <w:sz w:val="24"/>
          <w:szCs w:val="24"/>
        </w:rPr>
        <w:t xml:space="preserve"> Bank’s successful management of the available liquidity and its investment in profitable liquid assets.</w:t>
      </w:r>
    </w:p>
    <w:p w14:paraId="2C18925F" w14:textId="7A323AC5" w:rsidR="003D7A29" w:rsidRDefault="003D7A29" w:rsidP="00BB27D7">
      <w:pPr>
        <w:jc w:val="both"/>
        <w:rPr>
          <w:rFonts w:ascii="Times New Roman" w:hAnsi="Times New Roman"/>
          <w:sz w:val="24"/>
          <w:szCs w:val="24"/>
        </w:rPr>
      </w:pPr>
      <w:r>
        <w:rPr>
          <w:rFonts w:ascii="Times New Roman" w:hAnsi="Times New Roman"/>
          <w:sz w:val="24"/>
          <w:szCs w:val="24"/>
        </w:rPr>
        <w:lastRenderedPageBreak/>
        <w:t>The liquidity coverage ratios (LCR) represents Basel based indicator designed to secure the banks in the country to maintain sufficient level of high liquid assets that will enable resilience of significant liquidity shock in period of 30 days. Stopanska Banka maintained on an average level of 180%, compared with the minimum required level of 100%.</w:t>
      </w:r>
    </w:p>
    <w:p w14:paraId="45B3FF02" w14:textId="74059E6F" w:rsidR="003D7A29" w:rsidRDefault="003D7A29" w:rsidP="00BB27D7">
      <w:pPr>
        <w:jc w:val="both"/>
        <w:rPr>
          <w:rFonts w:ascii="Times New Roman" w:hAnsi="Times New Roman"/>
          <w:sz w:val="24"/>
          <w:szCs w:val="24"/>
        </w:rPr>
      </w:pPr>
      <w:r>
        <w:rPr>
          <w:rFonts w:ascii="Times New Roman" w:hAnsi="Times New Roman"/>
          <w:sz w:val="24"/>
          <w:szCs w:val="24"/>
        </w:rPr>
        <w:t>The internal liquidity indicators reported to the NBR</w:t>
      </w:r>
      <w:r w:rsidR="00BB7323">
        <w:rPr>
          <w:rFonts w:ascii="Times New Roman" w:hAnsi="Times New Roman"/>
          <w:sz w:val="24"/>
          <w:szCs w:val="24"/>
        </w:rPr>
        <w:t>N</w:t>
      </w:r>
      <w:r>
        <w:rPr>
          <w:rFonts w:ascii="Times New Roman" w:hAnsi="Times New Roman"/>
          <w:sz w:val="24"/>
          <w:szCs w:val="24"/>
        </w:rPr>
        <w:t xml:space="preserve">M, </w:t>
      </w:r>
      <w:proofErr w:type="gramStart"/>
      <w:r>
        <w:rPr>
          <w:rFonts w:ascii="Times New Roman" w:hAnsi="Times New Roman"/>
          <w:sz w:val="24"/>
          <w:szCs w:val="24"/>
        </w:rPr>
        <w:t>were also maintained</w:t>
      </w:r>
      <w:proofErr w:type="gramEnd"/>
      <w:r>
        <w:rPr>
          <w:rFonts w:ascii="Times New Roman" w:hAnsi="Times New Roman"/>
          <w:sz w:val="24"/>
          <w:szCs w:val="24"/>
        </w:rPr>
        <w:t xml:space="preserve"> above the established internal limits.</w:t>
      </w:r>
    </w:p>
    <w:p w14:paraId="254AC7EB" w14:textId="77777777" w:rsidR="003D7A29" w:rsidRPr="00932791" w:rsidRDefault="003D7A29" w:rsidP="00BB27D7">
      <w:pPr>
        <w:spacing w:before="360"/>
        <w:jc w:val="both"/>
        <w:rPr>
          <w:rFonts w:ascii="Times New Roman" w:hAnsi="Times New Roman"/>
          <w:i/>
          <w:sz w:val="24"/>
          <w:szCs w:val="24"/>
        </w:rPr>
      </w:pPr>
      <w:r w:rsidRPr="00932791">
        <w:rPr>
          <w:rFonts w:ascii="Times New Roman" w:hAnsi="Times New Roman"/>
          <w:i/>
          <w:sz w:val="24"/>
          <w:szCs w:val="24"/>
        </w:rPr>
        <w:t>The structure of the liquid assets</w:t>
      </w:r>
    </w:p>
    <w:p w14:paraId="40E45431" w14:textId="77777777" w:rsidR="003D7A29" w:rsidRDefault="003D7A29" w:rsidP="00BB27D7">
      <w:pPr>
        <w:spacing w:before="360"/>
        <w:rPr>
          <w:rFonts w:ascii="Times New Roman" w:hAnsi="Times New Roman"/>
          <w:sz w:val="24"/>
          <w:szCs w:val="24"/>
        </w:rPr>
      </w:pPr>
      <w:r>
        <w:rPr>
          <w:rFonts w:ascii="Times New Roman" w:hAnsi="Times New Roman"/>
          <w:sz w:val="24"/>
          <w:szCs w:val="24"/>
        </w:rPr>
        <w:t>The Bank maintains the optimal structure of liquid assets according the liquidity needs and the purposes of the asset and liability management.</w:t>
      </w:r>
    </w:p>
    <w:p w14:paraId="127EC321" w14:textId="77777777" w:rsidR="003D7A29" w:rsidRDefault="003D7A29" w:rsidP="00BB27D7">
      <w:pPr>
        <w:rPr>
          <w:rFonts w:ascii="Times New Roman" w:hAnsi="Times New Roman"/>
          <w:sz w:val="24"/>
          <w:szCs w:val="24"/>
        </w:rPr>
      </w:pPr>
      <w:r>
        <w:rPr>
          <w:rFonts w:ascii="Times New Roman" w:hAnsi="Times New Roman"/>
          <w:sz w:val="24"/>
          <w:szCs w:val="24"/>
        </w:rPr>
        <w:t xml:space="preserve">At the end of </w:t>
      </w:r>
      <w:proofErr w:type="gramStart"/>
      <w:r>
        <w:rPr>
          <w:rFonts w:ascii="Times New Roman" w:hAnsi="Times New Roman"/>
          <w:sz w:val="24"/>
          <w:szCs w:val="24"/>
        </w:rPr>
        <w:t>2022</w:t>
      </w:r>
      <w:proofErr w:type="gramEnd"/>
      <w:r>
        <w:rPr>
          <w:rFonts w:ascii="Times New Roman" w:hAnsi="Times New Roman"/>
          <w:sz w:val="24"/>
          <w:szCs w:val="24"/>
        </w:rPr>
        <w:t xml:space="preserve"> the Bank had the following structure of liquid assets:</w:t>
      </w:r>
    </w:p>
    <w:p w14:paraId="24108EF9" w14:textId="77777777" w:rsidR="003D7A29" w:rsidRDefault="003D7A29" w:rsidP="00BB27D7">
      <w:pPr>
        <w:pStyle w:val="ListParagraph"/>
        <w:numPr>
          <w:ilvl w:val="0"/>
          <w:numId w:val="43"/>
        </w:numPr>
        <w:spacing w:line="276" w:lineRule="auto"/>
      </w:pPr>
      <w:r>
        <w:t>Cash and balances with the Central Bank- 45%</w:t>
      </w:r>
    </w:p>
    <w:p w14:paraId="2A49B2F6" w14:textId="77777777" w:rsidR="003D7A29" w:rsidRDefault="003D7A29" w:rsidP="00BB27D7">
      <w:pPr>
        <w:pStyle w:val="ListParagraph"/>
        <w:numPr>
          <w:ilvl w:val="0"/>
          <w:numId w:val="43"/>
        </w:numPr>
        <w:spacing w:line="276" w:lineRule="auto"/>
      </w:pPr>
      <w:r>
        <w:t>Due from other banks - 24%</w:t>
      </w:r>
    </w:p>
    <w:p w14:paraId="68634C4D" w14:textId="77777777" w:rsidR="003D7A29" w:rsidRDefault="003D7A29" w:rsidP="00BB27D7">
      <w:pPr>
        <w:pStyle w:val="ListParagraph"/>
        <w:numPr>
          <w:ilvl w:val="0"/>
          <w:numId w:val="43"/>
        </w:numPr>
        <w:spacing w:line="276" w:lineRule="auto"/>
      </w:pPr>
      <w:r>
        <w:t>Securities - 31%.</w:t>
      </w:r>
    </w:p>
    <w:p w14:paraId="44730402" w14:textId="19C76C00" w:rsidR="003D7A29" w:rsidRDefault="003D7A29" w:rsidP="00BB27D7">
      <w:pPr>
        <w:rPr>
          <w:rFonts w:ascii="Times New Roman" w:hAnsi="Times New Roman"/>
          <w:sz w:val="24"/>
          <w:szCs w:val="24"/>
        </w:rPr>
      </w:pPr>
    </w:p>
    <w:p w14:paraId="0B6D98FF" w14:textId="77777777" w:rsidR="003D7A29" w:rsidRDefault="003D7A29" w:rsidP="00BB27D7">
      <w:pPr>
        <w:jc w:val="center"/>
        <w:rPr>
          <w:rFonts w:ascii="Times New Roman" w:hAnsi="Times New Roman"/>
          <w:sz w:val="24"/>
          <w:szCs w:val="24"/>
        </w:rPr>
      </w:pPr>
      <w:r>
        <w:rPr>
          <w:noProof/>
        </w:rPr>
        <w:drawing>
          <wp:inline distT="0" distB="0" distL="0" distR="0" wp14:anchorId="7F007A30" wp14:editId="7B03F413">
            <wp:extent cx="3902149" cy="2540635"/>
            <wp:effectExtent l="0" t="0" r="3175" b="1206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B795ADC" w14:textId="77777777" w:rsidR="00196F45" w:rsidRDefault="00196F45" w:rsidP="00BB27D7">
      <w:pPr>
        <w:jc w:val="both"/>
        <w:rPr>
          <w:rFonts w:ascii="Times New Roman" w:hAnsi="Times New Roman"/>
          <w:bCs/>
          <w:iCs/>
          <w:sz w:val="24"/>
          <w:szCs w:val="24"/>
        </w:rPr>
      </w:pPr>
    </w:p>
    <w:p w14:paraId="1C52F42D" w14:textId="4A549F8A" w:rsidR="003D7A29" w:rsidRDefault="003D7A29" w:rsidP="00BB27D7">
      <w:pPr>
        <w:jc w:val="both"/>
        <w:rPr>
          <w:rFonts w:ascii="Times New Roman" w:hAnsi="Times New Roman"/>
          <w:bCs/>
          <w:iCs/>
          <w:sz w:val="24"/>
          <w:szCs w:val="24"/>
        </w:rPr>
      </w:pPr>
      <w:r>
        <w:rPr>
          <w:rFonts w:ascii="Times New Roman" w:hAnsi="Times New Roman"/>
          <w:bCs/>
          <w:iCs/>
          <w:sz w:val="24"/>
          <w:szCs w:val="24"/>
        </w:rPr>
        <w:t>The level of high liquid assets composed of cash and cash equivalents, trading and investment securities represents 11% of the total Bank’s assets.</w:t>
      </w:r>
    </w:p>
    <w:p w14:paraId="356E2B54" w14:textId="77777777" w:rsidR="003D7A29" w:rsidRPr="00932791" w:rsidRDefault="003D7A29" w:rsidP="00BB27D7">
      <w:pPr>
        <w:rPr>
          <w:rFonts w:ascii="Times New Roman" w:hAnsi="Times New Roman"/>
          <w:bCs/>
          <w:i/>
          <w:iCs/>
          <w:sz w:val="24"/>
          <w:szCs w:val="24"/>
        </w:rPr>
      </w:pPr>
      <w:r w:rsidRPr="00932791">
        <w:rPr>
          <w:rFonts w:ascii="Times New Roman" w:hAnsi="Times New Roman"/>
          <w:bCs/>
          <w:i/>
          <w:iCs/>
          <w:sz w:val="24"/>
          <w:szCs w:val="24"/>
        </w:rPr>
        <w:t>Financial market operations</w:t>
      </w:r>
    </w:p>
    <w:p w14:paraId="17BE2D2A" w14:textId="0155247F" w:rsidR="003D7A29" w:rsidRDefault="003D7A29" w:rsidP="00BB27D7">
      <w:pPr>
        <w:spacing w:after="120"/>
        <w:jc w:val="both"/>
        <w:rPr>
          <w:rFonts w:ascii="Times New Roman" w:hAnsi="Times New Roman"/>
          <w:bCs/>
          <w:iCs/>
          <w:sz w:val="24"/>
          <w:szCs w:val="24"/>
        </w:rPr>
      </w:pPr>
      <w:r w:rsidRPr="00932791">
        <w:rPr>
          <w:rFonts w:ascii="Times New Roman" w:hAnsi="Times New Roman"/>
          <w:bCs/>
          <w:iCs/>
          <w:sz w:val="24"/>
          <w:szCs w:val="24"/>
        </w:rPr>
        <w:t xml:space="preserve">The Bank continued </w:t>
      </w:r>
      <w:proofErr w:type="gramStart"/>
      <w:r w:rsidRPr="00932791">
        <w:rPr>
          <w:rFonts w:ascii="Times New Roman" w:hAnsi="Times New Roman"/>
          <w:bCs/>
          <w:iCs/>
          <w:sz w:val="24"/>
          <w:szCs w:val="24"/>
        </w:rPr>
        <w:t>to successfully serve</w:t>
      </w:r>
      <w:proofErr w:type="gramEnd"/>
      <w:r w:rsidRPr="00932791">
        <w:rPr>
          <w:rFonts w:ascii="Times New Roman" w:hAnsi="Times New Roman"/>
          <w:bCs/>
          <w:iCs/>
          <w:sz w:val="24"/>
          <w:szCs w:val="24"/>
        </w:rPr>
        <w:t xml:space="preserve"> companies and individuals with the purchase and sale of foreign currencies, achieving a higher turnover in 2022, compared to the previous year. The largest part of foreign exchange funds</w:t>
      </w:r>
      <w:r w:rsidR="0090512E">
        <w:rPr>
          <w:rFonts w:ascii="Times New Roman" w:hAnsi="Times New Roman"/>
          <w:bCs/>
          <w:iCs/>
          <w:sz w:val="24"/>
          <w:szCs w:val="24"/>
        </w:rPr>
        <w:t xml:space="preserve"> </w:t>
      </w:r>
      <w:r w:rsidRPr="00932791">
        <w:rPr>
          <w:rFonts w:ascii="Times New Roman" w:hAnsi="Times New Roman"/>
          <w:bCs/>
          <w:iCs/>
          <w:sz w:val="24"/>
          <w:szCs w:val="24"/>
        </w:rPr>
        <w:t xml:space="preserve">SB </w:t>
      </w:r>
      <w:r w:rsidR="0090512E">
        <w:rPr>
          <w:rFonts w:ascii="Times New Roman" w:hAnsi="Times New Roman"/>
          <w:bCs/>
          <w:iCs/>
          <w:sz w:val="24"/>
          <w:szCs w:val="24"/>
        </w:rPr>
        <w:t xml:space="preserve">thus </w:t>
      </w:r>
      <w:r w:rsidRPr="00932791">
        <w:rPr>
          <w:rFonts w:ascii="Times New Roman" w:hAnsi="Times New Roman"/>
          <w:bCs/>
          <w:iCs/>
          <w:sz w:val="24"/>
          <w:szCs w:val="24"/>
        </w:rPr>
        <w:t xml:space="preserve">provided by its own sources, and </w:t>
      </w:r>
      <w:proofErr w:type="gramStart"/>
      <w:r w:rsidRPr="00932791">
        <w:rPr>
          <w:rFonts w:ascii="Times New Roman" w:hAnsi="Times New Roman"/>
          <w:bCs/>
          <w:iCs/>
          <w:sz w:val="24"/>
          <w:szCs w:val="24"/>
        </w:rPr>
        <w:t xml:space="preserve">a smaller part is </w:t>
      </w:r>
      <w:r w:rsidRPr="00932791">
        <w:rPr>
          <w:rFonts w:ascii="Times New Roman" w:hAnsi="Times New Roman"/>
          <w:bCs/>
          <w:iCs/>
          <w:sz w:val="24"/>
          <w:szCs w:val="24"/>
        </w:rPr>
        <w:lastRenderedPageBreak/>
        <w:t>provided by the other banks – market makers and the NBR</w:t>
      </w:r>
      <w:r w:rsidR="00A67CE1">
        <w:rPr>
          <w:rFonts w:ascii="Times New Roman" w:hAnsi="Times New Roman"/>
          <w:bCs/>
          <w:iCs/>
          <w:sz w:val="24"/>
          <w:szCs w:val="24"/>
        </w:rPr>
        <w:t>N</w:t>
      </w:r>
      <w:r w:rsidRPr="00932791">
        <w:rPr>
          <w:rFonts w:ascii="Times New Roman" w:hAnsi="Times New Roman"/>
          <w:bCs/>
          <w:iCs/>
          <w:sz w:val="24"/>
          <w:szCs w:val="24"/>
        </w:rPr>
        <w:t>M</w:t>
      </w:r>
      <w:proofErr w:type="gramEnd"/>
      <w:r w:rsidRPr="00932791">
        <w:rPr>
          <w:rFonts w:ascii="Times New Roman" w:hAnsi="Times New Roman"/>
          <w:bCs/>
          <w:iCs/>
          <w:sz w:val="24"/>
          <w:szCs w:val="24"/>
        </w:rPr>
        <w:t xml:space="preserve">. The total volume of the foreign exchange market amounted to 1.5 billion euros, </w:t>
      </w:r>
      <w:r w:rsidR="0090512E">
        <w:rPr>
          <w:rFonts w:ascii="Times New Roman" w:hAnsi="Times New Roman"/>
          <w:bCs/>
          <w:iCs/>
          <w:sz w:val="24"/>
          <w:szCs w:val="24"/>
        </w:rPr>
        <w:t xml:space="preserve">out </w:t>
      </w:r>
      <w:r w:rsidRPr="00932791">
        <w:rPr>
          <w:rFonts w:ascii="Times New Roman" w:hAnsi="Times New Roman"/>
          <w:bCs/>
          <w:iCs/>
          <w:sz w:val="24"/>
          <w:szCs w:val="24"/>
        </w:rPr>
        <w:t>of which 45% were foreign exchange purchase transactions, and 55% were foreign exchange transactions on the sales side. From the aspect of the currency structure, 85% were transactions in euros, 13% were transactions in US dollars and only 2% were transactions in other currencies</w:t>
      </w:r>
      <w:r w:rsidRPr="001806E5">
        <w:rPr>
          <w:rFonts w:ascii="Times New Roman" w:hAnsi="Times New Roman"/>
          <w:bCs/>
          <w:iCs/>
          <w:sz w:val="24"/>
          <w:szCs w:val="24"/>
        </w:rPr>
        <w:t>.</w:t>
      </w:r>
    </w:p>
    <w:p w14:paraId="095708A0" w14:textId="77777777" w:rsidR="00F069B2" w:rsidRPr="001806E5" w:rsidRDefault="00F069B2" w:rsidP="00BB27D7">
      <w:pPr>
        <w:spacing w:after="120"/>
        <w:jc w:val="both"/>
        <w:rPr>
          <w:rFonts w:ascii="Times New Roman" w:hAnsi="Times New Roman"/>
          <w:bCs/>
          <w:iCs/>
          <w:sz w:val="24"/>
          <w:szCs w:val="24"/>
        </w:rPr>
      </w:pPr>
    </w:p>
    <w:p w14:paraId="02F7213F" w14:textId="77777777" w:rsidR="00C01273" w:rsidRPr="00932791" w:rsidRDefault="007E6589" w:rsidP="00BB27D7">
      <w:pPr>
        <w:pStyle w:val="Heading2"/>
        <w:spacing w:line="276" w:lineRule="auto"/>
        <w:rPr>
          <w:b w:val="0"/>
          <w:i/>
          <w:iCs/>
          <w:szCs w:val="24"/>
        </w:rPr>
      </w:pPr>
      <w:bookmarkStart w:id="15" w:name="_Toc133313253"/>
      <w:r w:rsidRPr="00A34733">
        <w:rPr>
          <w:bCs w:val="0"/>
          <w:i/>
          <w:iCs/>
          <w:szCs w:val="24"/>
        </w:rPr>
        <w:t>Interest Rate Risk Management</w:t>
      </w:r>
      <w:bookmarkEnd w:id="15"/>
    </w:p>
    <w:p w14:paraId="5DC32A81" w14:textId="77777777" w:rsidR="003F7B68" w:rsidRDefault="003F7B68" w:rsidP="00BB27D7">
      <w:pPr>
        <w:spacing w:before="240"/>
        <w:jc w:val="both"/>
        <w:rPr>
          <w:rFonts w:ascii="Times New Roman" w:hAnsi="Times New Roman"/>
          <w:sz w:val="24"/>
          <w:szCs w:val="24"/>
        </w:rPr>
      </w:pPr>
      <w:r w:rsidRPr="00980228">
        <w:rPr>
          <w:rFonts w:ascii="Times New Roman" w:hAnsi="Times New Roman"/>
          <w:sz w:val="24"/>
          <w:szCs w:val="24"/>
        </w:rPr>
        <w:t xml:space="preserve">Interest rate risk is the possibility that changes in interest rates could adversely affect the value of a financial instrument, a portfolio or the </w:t>
      </w:r>
      <w:r>
        <w:rPr>
          <w:rFonts w:ascii="Times New Roman" w:hAnsi="Times New Roman"/>
          <w:sz w:val="24"/>
          <w:szCs w:val="24"/>
        </w:rPr>
        <w:t>Bank</w:t>
      </w:r>
      <w:r w:rsidRPr="00980228">
        <w:rPr>
          <w:rFonts w:ascii="Times New Roman" w:hAnsi="Times New Roman"/>
          <w:sz w:val="24"/>
          <w:szCs w:val="24"/>
        </w:rPr>
        <w:t xml:space="preserve"> as a whole.</w:t>
      </w:r>
    </w:p>
    <w:p w14:paraId="23426EAF" w14:textId="77777777" w:rsidR="003F7B68" w:rsidRDefault="003F7B68" w:rsidP="00BB27D7">
      <w:pPr>
        <w:spacing w:before="240"/>
        <w:jc w:val="both"/>
        <w:rPr>
          <w:rFonts w:ascii="Times New Roman" w:hAnsi="Times New Roman"/>
          <w:sz w:val="24"/>
          <w:szCs w:val="24"/>
        </w:rPr>
      </w:pPr>
      <w:r w:rsidRPr="00950A45">
        <w:rPr>
          <w:rFonts w:ascii="Times New Roman" w:hAnsi="Times New Roman"/>
          <w:sz w:val="24"/>
          <w:szCs w:val="24"/>
        </w:rPr>
        <w:t xml:space="preserve">Interest rate risk management process reflects the Bank’s risk strategy, risk tolerance, business activities and the overall operating environment and market conditions, considering the potential changes of interest rates and their impact on Bank’s earnings and economic value of equity. </w:t>
      </w:r>
    </w:p>
    <w:p w14:paraId="469CF58F" w14:textId="77777777" w:rsidR="003F7B68" w:rsidRDefault="003F7B68" w:rsidP="00BB27D7">
      <w:pPr>
        <w:spacing w:before="240"/>
        <w:jc w:val="both"/>
        <w:rPr>
          <w:rFonts w:ascii="Times New Roman" w:hAnsi="Times New Roman"/>
          <w:sz w:val="24"/>
          <w:szCs w:val="24"/>
        </w:rPr>
      </w:pPr>
      <w:r w:rsidRPr="0090097F">
        <w:rPr>
          <w:rFonts w:ascii="Times New Roman" w:hAnsi="Times New Roman"/>
          <w:sz w:val="24"/>
          <w:szCs w:val="24"/>
        </w:rPr>
        <w:t xml:space="preserve">SB acknowledges its exposure to Interest Rate Risk in the Banking Book (IRRBB) and the need for its effective management, as an integral part of the Bank’s commitment to protect the interests of its clients and shareholders. On that note, SB recognizes the importance of IRRBB management in effectively managing its </w:t>
      </w:r>
      <w:proofErr w:type="gramStart"/>
      <w:r w:rsidRPr="0090097F">
        <w:rPr>
          <w:rFonts w:ascii="Times New Roman" w:hAnsi="Times New Roman"/>
          <w:sz w:val="24"/>
          <w:szCs w:val="24"/>
        </w:rPr>
        <w:t>balance-sheet</w:t>
      </w:r>
      <w:proofErr w:type="gramEnd"/>
      <w:r w:rsidRPr="0090097F">
        <w:rPr>
          <w:rFonts w:ascii="Times New Roman" w:hAnsi="Times New Roman"/>
          <w:sz w:val="24"/>
          <w:szCs w:val="24"/>
        </w:rPr>
        <w:t>, its capital and its earnings stream.</w:t>
      </w:r>
    </w:p>
    <w:p w14:paraId="0E853B74" w14:textId="77777777" w:rsidR="003F7B68" w:rsidRPr="00950A45" w:rsidRDefault="003F7B68" w:rsidP="00BB27D7">
      <w:pPr>
        <w:spacing w:before="240"/>
        <w:jc w:val="both"/>
        <w:rPr>
          <w:rFonts w:ascii="Times New Roman" w:hAnsi="Times New Roman"/>
          <w:sz w:val="24"/>
          <w:szCs w:val="24"/>
        </w:rPr>
      </w:pPr>
      <w:r w:rsidRPr="00980228">
        <w:rPr>
          <w:rFonts w:ascii="Times New Roman" w:hAnsi="Times New Roman"/>
          <w:sz w:val="24"/>
          <w:szCs w:val="24"/>
        </w:rPr>
        <w:t xml:space="preserve">The </w:t>
      </w:r>
      <w:r>
        <w:rPr>
          <w:rFonts w:ascii="Times New Roman" w:hAnsi="Times New Roman"/>
          <w:sz w:val="24"/>
          <w:szCs w:val="24"/>
        </w:rPr>
        <w:t>Bank</w:t>
      </w:r>
      <w:r w:rsidRPr="00980228">
        <w:rPr>
          <w:rFonts w:ascii="Times New Roman" w:hAnsi="Times New Roman"/>
          <w:sz w:val="24"/>
          <w:szCs w:val="24"/>
        </w:rPr>
        <w:t xml:space="preserve"> analyses the sensitivity of its net interest income and equity value to changes in interest rates. This sensitivity arises from dif</w:t>
      </w:r>
      <w:r>
        <w:rPr>
          <w:rFonts w:ascii="Times New Roman" w:hAnsi="Times New Roman"/>
          <w:sz w:val="24"/>
          <w:szCs w:val="24"/>
        </w:rPr>
        <w:t>f</w:t>
      </w:r>
      <w:r w:rsidRPr="00980228">
        <w:rPr>
          <w:rFonts w:ascii="Times New Roman" w:hAnsi="Times New Roman"/>
          <w:sz w:val="24"/>
          <w:szCs w:val="24"/>
        </w:rPr>
        <w:t>erences in maturity dates and interest rate repricing gaps in the various balance sheet items</w:t>
      </w:r>
      <w:r>
        <w:rPr>
          <w:rFonts w:ascii="Times New Roman" w:hAnsi="Times New Roman"/>
          <w:sz w:val="24"/>
          <w:szCs w:val="24"/>
        </w:rPr>
        <w:t xml:space="preserve">. </w:t>
      </w:r>
      <w:r w:rsidRPr="00950A45">
        <w:rPr>
          <w:rFonts w:ascii="Times New Roman" w:hAnsi="Times New Roman"/>
          <w:sz w:val="24"/>
          <w:szCs w:val="24"/>
        </w:rPr>
        <w:t xml:space="preserve">The assessment of the interest rate risk </w:t>
      </w:r>
      <w:proofErr w:type="gramStart"/>
      <w:r w:rsidRPr="00950A45">
        <w:rPr>
          <w:rFonts w:ascii="Times New Roman" w:hAnsi="Times New Roman"/>
          <w:sz w:val="24"/>
          <w:szCs w:val="24"/>
        </w:rPr>
        <w:t>is conducted</w:t>
      </w:r>
      <w:proofErr w:type="gramEnd"/>
      <w:r w:rsidRPr="00950A45">
        <w:rPr>
          <w:rFonts w:ascii="Times New Roman" w:hAnsi="Times New Roman"/>
          <w:sz w:val="24"/>
          <w:szCs w:val="24"/>
        </w:rPr>
        <w:t xml:space="preserve"> through monitoring of exposures arising from the banking book activities, taking into consideration the fact that there is no rate sensitive trading portfolio in SB balance sheet</w:t>
      </w:r>
      <w:r>
        <w:rPr>
          <w:rFonts w:ascii="Times New Roman" w:hAnsi="Times New Roman"/>
          <w:sz w:val="24"/>
          <w:szCs w:val="24"/>
        </w:rPr>
        <w:t>.</w:t>
      </w:r>
    </w:p>
    <w:p w14:paraId="28469614" w14:textId="3DAF5EFB" w:rsidR="003F7B68" w:rsidRPr="00950A45" w:rsidRDefault="003F7B68" w:rsidP="00BB27D7">
      <w:pPr>
        <w:spacing w:before="240"/>
        <w:jc w:val="both"/>
        <w:rPr>
          <w:rFonts w:ascii="Times New Roman" w:hAnsi="Times New Roman"/>
          <w:sz w:val="24"/>
          <w:szCs w:val="24"/>
        </w:rPr>
      </w:pPr>
      <w:r w:rsidRPr="00950A45">
        <w:rPr>
          <w:rFonts w:ascii="Times New Roman" w:hAnsi="Times New Roman"/>
          <w:sz w:val="24"/>
          <w:szCs w:val="24"/>
        </w:rPr>
        <w:t xml:space="preserve">The Bank has established a framework for managing interest rate risk in order to minimize the effects of adverse changes in future interest rates and to ensure timely identification, measurement, monitoring and mitigation of the interest rate risk exposures. The framework encompasses risk factors and their estimation, measurement methodologies, stress testing methodology, interest rate risk in the banking book metrics and limits as to ensure that this risk </w:t>
      </w:r>
      <w:proofErr w:type="gramStart"/>
      <w:r w:rsidRPr="00950A45">
        <w:rPr>
          <w:rFonts w:ascii="Times New Roman" w:hAnsi="Times New Roman"/>
          <w:sz w:val="24"/>
          <w:szCs w:val="24"/>
        </w:rPr>
        <w:t>is appropriately measured, monitored and controlled</w:t>
      </w:r>
      <w:proofErr w:type="gramEnd"/>
      <w:r w:rsidRPr="00950A45">
        <w:rPr>
          <w:rFonts w:ascii="Times New Roman" w:hAnsi="Times New Roman"/>
          <w:sz w:val="24"/>
          <w:szCs w:val="24"/>
        </w:rPr>
        <w:t xml:space="preserve">. </w:t>
      </w:r>
    </w:p>
    <w:p w14:paraId="36F834F0" w14:textId="77777777" w:rsidR="003F7B68" w:rsidRPr="00950A45" w:rsidRDefault="003F7B68" w:rsidP="00BB27D7">
      <w:pPr>
        <w:spacing w:before="240"/>
        <w:jc w:val="both"/>
        <w:rPr>
          <w:rFonts w:ascii="Times New Roman" w:hAnsi="Times New Roman"/>
          <w:sz w:val="24"/>
          <w:szCs w:val="24"/>
        </w:rPr>
      </w:pPr>
      <w:r w:rsidRPr="00950A45">
        <w:rPr>
          <w:rFonts w:ascii="Times New Roman" w:hAnsi="Times New Roman"/>
          <w:sz w:val="24"/>
          <w:szCs w:val="24"/>
        </w:rPr>
        <w:t>The main objective of interest rate risk management is to mitigate the risk of incurring losses arising from market interest rate changes to an acceptable level by appropriate modelling of the structure of rate sensitive balance sheet positions and off-balance sheet items.</w:t>
      </w:r>
    </w:p>
    <w:p w14:paraId="6B13B373" w14:textId="025D69C7" w:rsidR="003F7B68" w:rsidRDefault="003F7B68" w:rsidP="00BB27D7">
      <w:pPr>
        <w:jc w:val="both"/>
        <w:rPr>
          <w:rFonts w:ascii="Times New Roman" w:hAnsi="Times New Roman"/>
          <w:sz w:val="24"/>
          <w:szCs w:val="24"/>
        </w:rPr>
      </w:pPr>
      <w:r w:rsidRPr="00950A45">
        <w:rPr>
          <w:rFonts w:ascii="Times New Roman" w:hAnsi="Times New Roman"/>
          <w:sz w:val="24"/>
          <w:szCs w:val="24"/>
        </w:rPr>
        <w:t xml:space="preserve">At the end of </w:t>
      </w:r>
      <w:r>
        <w:rPr>
          <w:rFonts w:ascii="Times New Roman" w:hAnsi="Times New Roman"/>
          <w:sz w:val="24"/>
          <w:szCs w:val="24"/>
          <w:lang w:val="mk-MK"/>
        </w:rPr>
        <w:t>202</w:t>
      </w:r>
      <w:r w:rsidR="000F0D47">
        <w:rPr>
          <w:rFonts w:ascii="Times New Roman" w:hAnsi="Times New Roman"/>
          <w:sz w:val="24"/>
          <w:szCs w:val="24"/>
        </w:rPr>
        <w:t>2</w:t>
      </w:r>
      <w:r w:rsidRPr="00950A45">
        <w:rPr>
          <w:rFonts w:ascii="Times New Roman" w:hAnsi="Times New Roman"/>
          <w:sz w:val="24"/>
          <w:szCs w:val="24"/>
        </w:rPr>
        <w:t>, the ratio of total net weighted position to the regulatory capital was below the regulatory maximum of 20% and resulted with insignificant exposure to IRRBB.</w:t>
      </w:r>
    </w:p>
    <w:p w14:paraId="6DD841EE" w14:textId="5E621D85" w:rsidR="0003797B" w:rsidRDefault="003F7B68" w:rsidP="00BB27D7">
      <w:pPr>
        <w:spacing w:before="240" w:after="0"/>
        <w:jc w:val="both"/>
        <w:rPr>
          <w:rFonts w:ascii="Times New Roman" w:hAnsi="Times New Roman"/>
          <w:sz w:val="24"/>
          <w:szCs w:val="24"/>
        </w:rPr>
      </w:pPr>
      <w:r w:rsidRPr="00950A45">
        <w:rPr>
          <w:rFonts w:ascii="Times New Roman" w:hAnsi="Times New Roman"/>
          <w:sz w:val="24"/>
          <w:szCs w:val="24"/>
          <w:lang w:val="mk-MK"/>
        </w:rPr>
        <w:t xml:space="preserve">SB </w:t>
      </w:r>
      <w:r>
        <w:rPr>
          <w:rFonts w:ascii="Times New Roman" w:hAnsi="Times New Roman"/>
          <w:sz w:val="24"/>
          <w:szCs w:val="24"/>
        </w:rPr>
        <w:t>continues to</w:t>
      </w:r>
      <w:r w:rsidRPr="00950A45">
        <w:rPr>
          <w:rFonts w:ascii="Times New Roman" w:hAnsi="Times New Roman"/>
          <w:sz w:val="24"/>
          <w:szCs w:val="24"/>
          <w:lang w:val="mk-MK"/>
        </w:rPr>
        <w:t xml:space="preserve"> manage the IRRBB exposure through establishing of appropriate structure</w:t>
      </w:r>
      <w:r w:rsidRPr="00950A45">
        <w:rPr>
          <w:rFonts w:ascii="Times New Roman" w:hAnsi="Times New Roman"/>
          <w:sz w:val="24"/>
          <w:szCs w:val="24"/>
        </w:rPr>
        <w:t xml:space="preserve"> of the</w:t>
      </w:r>
      <w:r w:rsidRPr="00950A45">
        <w:rPr>
          <w:rFonts w:ascii="Times New Roman" w:hAnsi="Times New Roman"/>
          <w:sz w:val="24"/>
          <w:szCs w:val="24"/>
          <w:lang w:val="mk-MK"/>
        </w:rPr>
        <w:t xml:space="preserve"> rate sensitive positions, with purpose those rate sensitive asset and liability to be highly correlated</w:t>
      </w:r>
      <w:r w:rsidRPr="00950A45">
        <w:rPr>
          <w:rFonts w:ascii="Times New Roman" w:hAnsi="Times New Roman"/>
          <w:sz w:val="24"/>
          <w:szCs w:val="24"/>
        </w:rPr>
        <w:t>,</w:t>
      </w:r>
      <w:r w:rsidRPr="00950A45">
        <w:rPr>
          <w:rFonts w:ascii="Times New Roman" w:hAnsi="Times New Roman"/>
          <w:sz w:val="24"/>
          <w:szCs w:val="24"/>
          <w:lang w:val="mk-MK"/>
        </w:rPr>
        <w:t xml:space="preserve"> </w:t>
      </w:r>
      <w:r w:rsidRPr="00950A45">
        <w:rPr>
          <w:rFonts w:ascii="Times New Roman" w:hAnsi="Times New Roman"/>
          <w:sz w:val="24"/>
          <w:szCs w:val="24"/>
          <w:lang w:val="mk-MK"/>
        </w:rPr>
        <w:lastRenderedPageBreak/>
        <w:t>resulting with insignificant repricing</w:t>
      </w:r>
      <w:r w:rsidRPr="00950A45">
        <w:rPr>
          <w:rFonts w:ascii="Times New Roman" w:hAnsi="Times New Roman"/>
          <w:sz w:val="24"/>
          <w:szCs w:val="24"/>
        </w:rPr>
        <w:t>/maturity</w:t>
      </w:r>
      <w:r w:rsidRPr="00950A45">
        <w:rPr>
          <w:rFonts w:ascii="Times New Roman" w:hAnsi="Times New Roman"/>
          <w:sz w:val="24"/>
          <w:szCs w:val="24"/>
          <w:lang w:val="mk-MK"/>
        </w:rPr>
        <w:t xml:space="preserve"> gap</w:t>
      </w:r>
      <w:r w:rsidRPr="00950A45">
        <w:rPr>
          <w:rFonts w:ascii="Times New Roman" w:hAnsi="Times New Roman"/>
          <w:sz w:val="24"/>
          <w:szCs w:val="24"/>
        </w:rPr>
        <w:t xml:space="preserve"> and with that, low level of interest rate risk exposure</w:t>
      </w:r>
      <w:r w:rsidRPr="00950A45">
        <w:rPr>
          <w:rFonts w:ascii="Times New Roman" w:hAnsi="Times New Roman"/>
          <w:sz w:val="24"/>
          <w:szCs w:val="24"/>
          <w:lang w:val="mk-MK"/>
        </w:rPr>
        <w:t>.</w:t>
      </w:r>
      <w:r>
        <w:rPr>
          <w:rFonts w:ascii="Times New Roman" w:hAnsi="Times New Roman"/>
          <w:sz w:val="24"/>
          <w:szCs w:val="24"/>
        </w:rPr>
        <w:t xml:space="preserve"> </w:t>
      </w:r>
      <w:r w:rsidR="004117A8">
        <w:rPr>
          <w:rFonts w:ascii="Times New Roman" w:hAnsi="Times New Roman"/>
          <w:sz w:val="24"/>
          <w:szCs w:val="24"/>
        </w:rPr>
        <w:t xml:space="preserve"> </w:t>
      </w:r>
    </w:p>
    <w:p w14:paraId="563FDC90" w14:textId="77777777" w:rsidR="00630C51" w:rsidRDefault="00630C51" w:rsidP="00BB27D7">
      <w:pPr>
        <w:pStyle w:val="Heading2"/>
        <w:spacing w:line="276" w:lineRule="auto"/>
        <w:rPr>
          <w:bCs w:val="0"/>
          <w:i/>
          <w:iCs/>
          <w:szCs w:val="24"/>
        </w:rPr>
      </w:pPr>
    </w:p>
    <w:p w14:paraId="1C662ABE" w14:textId="1FDC01DA" w:rsidR="007E6589" w:rsidRDefault="007E6589" w:rsidP="00BB27D7">
      <w:pPr>
        <w:pStyle w:val="Heading2"/>
        <w:spacing w:line="276" w:lineRule="auto"/>
        <w:rPr>
          <w:i/>
          <w:iCs/>
          <w:szCs w:val="24"/>
        </w:rPr>
      </w:pPr>
      <w:bookmarkStart w:id="16" w:name="_Toc133313254"/>
      <w:r w:rsidRPr="00A34733">
        <w:rPr>
          <w:bCs w:val="0"/>
          <w:i/>
          <w:iCs/>
          <w:szCs w:val="24"/>
        </w:rPr>
        <w:t>Foreign Exchange Risk Management</w:t>
      </w:r>
      <w:bookmarkEnd w:id="16"/>
    </w:p>
    <w:p w14:paraId="1682886D" w14:textId="126A3474" w:rsidR="00526622" w:rsidRPr="00932791" w:rsidRDefault="00526622" w:rsidP="00BB27D7"/>
    <w:p w14:paraId="28B8896D" w14:textId="1532F524" w:rsidR="003F7B68" w:rsidRPr="006909F5" w:rsidRDefault="003F7B68" w:rsidP="00BB27D7">
      <w:pPr>
        <w:autoSpaceDE w:val="0"/>
        <w:autoSpaceDN w:val="0"/>
        <w:adjustRightInd w:val="0"/>
        <w:spacing w:after="0"/>
        <w:jc w:val="both"/>
        <w:rPr>
          <w:rFonts w:ascii="Times New Roman" w:hAnsi="Times New Roman"/>
          <w:sz w:val="24"/>
          <w:szCs w:val="24"/>
        </w:rPr>
      </w:pPr>
      <w:r w:rsidRPr="00375E37">
        <w:rPr>
          <w:rFonts w:ascii="Times New Roman" w:hAnsi="Times New Roman"/>
          <w:sz w:val="24"/>
          <w:szCs w:val="24"/>
        </w:rPr>
        <w:t xml:space="preserve">As part of its day-to-day </w:t>
      </w:r>
      <w:r>
        <w:rPr>
          <w:rFonts w:ascii="Times New Roman" w:hAnsi="Times New Roman"/>
          <w:sz w:val="24"/>
          <w:szCs w:val="24"/>
        </w:rPr>
        <w:t>market risk</w:t>
      </w:r>
      <w:r w:rsidRPr="00375E37">
        <w:rPr>
          <w:rFonts w:ascii="Times New Roman" w:hAnsi="Times New Roman"/>
          <w:sz w:val="24"/>
          <w:szCs w:val="24"/>
        </w:rPr>
        <w:t xml:space="preserve"> management, the Bank also takes care of currency risk management, i</w:t>
      </w:r>
      <w:r>
        <w:rPr>
          <w:rFonts w:ascii="Times New Roman" w:hAnsi="Times New Roman"/>
          <w:sz w:val="24"/>
          <w:szCs w:val="24"/>
        </w:rPr>
        <w:t>.</w:t>
      </w:r>
      <w:r w:rsidRPr="00375E37">
        <w:rPr>
          <w:rFonts w:ascii="Times New Roman" w:hAnsi="Times New Roman"/>
          <w:sz w:val="24"/>
          <w:szCs w:val="24"/>
        </w:rPr>
        <w:t>e</w:t>
      </w:r>
      <w:r>
        <w:rPr>
          <w:rFonts w:ascii="Times New Roman" w:hAnsi="Times New Roman"/>
          <w:sz w:val="24"/>
          <w:szCs w:val="24"/>
        </w:rPr>
        <w:t>.</w:t>
      </w:r>
      <w:r w:rsidRPr="00375E37">
        <w:rPr>
          <w:rFonts w:ascii="Times New Roman" w:hAnsi="Times New Roman"/>
          <w:sz w:val="24"/>
          <w:szCs w:val="24"/>
        </w:rPr>
        <w:t xml:space="preserve"> open foreign exchange position.</w:t>
      </w:r>
      <w:r>
        <w:rPr>
          <w:rFonts w:ascii="Times New Roman" w:hAnsi="Times New Roman"/>
          <w:sz w:val="24"/>
          <w:szCs w:val="24"/>
        </w:rPr>
        <w:t xml:space="preserve"> </w:t>
      </w:r>
      <w:r w:rsidRPr="006909F5">
        <w:rPr>
          <w:rFonts w:ascii="Times New Roman" w:hAnsi="Times New Roman"/>
          <w:sz w:val="24"/>
          <w:szCs w:val="24"/>
        </w:rPr>
        <w:t>The currency risk represents the</w:t>
      </w:r>
      <w:r w:rsidRPr="00A16526">
        <w:rPr>
          <w:rFonts w:ascii="Times New Roman" w:hAnsi="Times New Roman"/>
          <w:sz w:val="24"/>
          <w:szCs w:val="24"/>
        </w:rPr>
        <w:t xml:space="preserve"> risk of loss due to a change in the cross-currency exchange rates and/or change of the value of the Denar relative to the value of other foreign currencies.</w:t>
      </w:r>
      <w:r>
        <w:rPr>
          <w:rFonts w:ascii="Times New Roman" w:hAnsi="Times New Roman"/>
          <w:sz w:val="24"/>
          <w:szCs w:val="24"/>
        </w:rPr>
        <w:t xml:space="preserve"> </w:t>
      </w:r>
      <w:r w:rsidRPr="0014071F">
        <w:rPr>
          <w:rFonts w:ascii="Times New Roman" w:hAnsi="Times New Roman"/>
          <w:sz w:val="24"/>
          <w:szCs w:val="24"/>
        </w:rPr>
        <w:t>The primary objective of managing the Bank's currency exposure structure is to reduce the impact of exchange rate fluctuations.</w:t>
      </w:r>
    </w:p>
    <w:p w14:paraId="4A7CED8B" w14:textId="77777777" w:rsidR="003F7B68" w:rsidRPr="00963FE2" w:rsidRDefault="003F7B68" w:rsidP="00BB27D7">
      <w:pPr>
        <w:spacing w:before="240"/>
        <w:jc w:val="both"/>
        <w:rPr>
          <w:rFonts w:ascii="Times New Roman" w:hAnsi="Times New Roman"/>
          <w:sz w:val="24"/>
          <w:szCs w:val="24"/>
          <w:lang w:val="en-GB"/>
        </w:rPr>
      </w:pPr>
      <w:r w:rsidRPr="00963FE2">
        <w:rPr>
          <w:rFonts w:ascii="Times New Roman" w:hAnsi="Times New Roman"/>
          <w:sz w:val="24"/>
          <w:szCs w:val="24"/>
        </w:rPr>
        <w:t xml:space="preserve">The system for identification, measuring, monitoring and controlling the currency risk or f/x risk encompasses all activities and transactions of the Bank that include on-balance and off-balance positions, registered in foreign currencies and in MKD indexed with f/x clause. SB balance sheet structure consists of assets and liabilities in different currencies, but dominantly in MKD and EUR currency. </w:t>
      </w:r>
    </w:p>
    <w:p w14:paraId="35B1CA42" w14:textId="77777777" w:rsidR="003F7B68" w:rsidRPr="003F4B4A" w:rsidRDefault="003F7B68" w:rsidP="00BB27D7">
      <w:pPr>
        <w:autoSpaceDE w:val="0"/>
        <w:autoSpaceDN w:val="0"/>
        <w:adjustRightInd w:val="0"/>
        <w:jc w:val="both"/>
        <w:rPr>
          <w:rFonts w:ascii="Times New Roman" w:hAnsi="Times New Roman"/>
          <w:sz w:val="24"/>
          <w:szCs w:val="24"/>
        </w:rPr>
      </w:pPr>
      <w:r w:rsidRPr="00963FE2">
        <w:rPr>
          <w:rFonts w:ascii="Times New Roman" w:hAnsi="Times New Roman"/>
          <w:sz w:val="24"/>
          <w:szCs w:val="24"/>
        </w:rPr>
        <w:t xml:space="preserve">SB manages the currency risk </w:t>
      </w:r>
      <w:r>
        <w:rPr>
          <w:rFonts w:ascii="Times New Roman" w:hAnsi="Times New Roman"/>
          <w:sz w:val="24"/>
          <w:szCs w:val="24"/>
        </w:rPr>
        <w:t xml:space="preserve">through monitoring the open foreign exchange </w:t>
      </w:r>
      <w:r w:rsidRPr="00963FE2">
        <w:rPr>
          <w:rFonts w:ascii="Times New Roman" w:hAnsi="Times New Roman"/>
          <w:sz w:val="24"/>
          <w:szCs w:val="24"/>
        </w:rPr>
        <w:t xml:space="preserve">position on a </w:t>
      </w:r>
      <w:r>
        <w:rPr>
          <w:rFonts w:ascii="Times New Roman" w:hAnsi="Times New Roman"/>
          <w:sz w:val="24"/>
          <w:szCs w:val="24"/>
        </w:rPr>
        <w:t>real-time basis</w:t>
      </w:r>
      <w:r w:rsidRPr="00963FE2">
        <w:rPr>
          <w:rFonts w:ascii="Times New Roman" w:hAnsi="Times New Roman"/>
          <w:sz w:val="24"/>
          <w:szCs w:val="24"/>
        </w:rPr>
        <w:t>, ensuring compliance with the regulatory and internal limits of exposure in main currencies separately, as well as on aggregate level</w:t>
      </w:r>
      <w:r>
        <w:rPr>
          <w:rFonts w:ascii="Times New Roman" w:hAnsi="Times New Roman"/>
          <w:sz w:val="24"/>
          <w:szCs w:val="24"/>
        </w:rPr>
        <w:t xml:space="preserve">. </w:t>
      </w:r>
      <w:r w:rsidRPr="003F4B4A">
        <w:rPr>
          <w:rFonts w:ascii="Times New Roman" w:hAnsi="Times New Roman"/>
          <w:sz w:val="24"/>
          <w:szCs w:val="24"/>
          <w:lang w:val="en"/>
        </w:rPr>
        <w:t>The Bank maintains the aggregate foreign exchange position i.e. the exposure to currency risk</w:t>
      </w:r>
      <w:r>
        <w:rPr>
          <w:rFonts w:ascii="Times New Roman" w:hAnsi="Times New Roman"/>
          <w:sz w:val="24"/>
          <w:szCs w:val="24"/>
          <w:lang w:val="en"/>
        </w:rPr>
        <w:t>,</w:t>
      </w:r>
      <w:r w:rsidRPr="003F4B4A">
        <w:rPr>
          <w:rFonts w:ascii="Times New Roman" w:hAnsi="Times New Roman"/>
          <w:sz w:val="24"/>
          <w:szCs w:val="24"/>
          <w:lang w:val="en"/>
        </w:rPr>
        <w:t xml:space="preserve"> within the legally prescribed </w:t>
      </w:r>
      <w:proofErr w:type="gramStart"/>
      <w:r w:rsidRPr="003F4B4A">
        <w:rPr>
          <w:rFonts w:ascii="Times New Roman" w:hAnsi="Times New Roman"/>
          <w:sz w:val="24"/>
          <w:szCs w:val="24"/>
          <w:lang w:val="en"/>
        </w:rPr>
        <w:t>limit which</w:t>
      </w:r>
      <w:proofErr w:type="gramEnd"/>
      <w:r w:rsidRPr="003F4B4A">
        <w:rPr>
          <w:rFonts w:ascii="Times New Roman" w:hAnsi="Times New Roman"/>
          <w:sz w:val="24"/>
          <w:szCs w:val="24"/>
          <w:lang w:val="en"/>
        </w:rPr>
        <w:t xml:space="preserve"> is 30% of the Bank's own funds.</w:t>
      </w:r>
    </w:p>
    <w:p w14:paraId="00A91AE0" w14:textId="5EF32B63" w:rsidR="007E6589" w:rsidRDefault="003F7B68" w:rsidP="00BB27D7">
      <w:pPr>
        <w:autoSpaceDE w:val="0"/>
        <w:autoSpaceDN w:val="0"/>
        <w:adjustRightInd w:val="0"/>
        <w:spacing w:after="0"/>
        <w:jc w:val="both"/>
        <w:rPr>
          <w:rFonts w:ascii="Times New Roman" w:hAnsi="Times New Roman"/>
          <w:sz w:val="24"/>
          <w:szCs w:val="24"/>
          <w:lang w:val="en"/>
        </w:rPr>
      </w:pPr>
      <w:r w:rsidRPr="00AB1948">
        <w:rPr>
          <w:rFonts w:ascii="Times New Roman" w:hAnsi="Times New Roman"/>
          <w:sz w:val="24"/>
          <w:szCs w:val="24"/>
          <w:lang w:val="en"/>
        </w:rPr>
        <w:t>In 202</w:t>
      </w:r>
      <w:r w:rsidR="003D7A29">
        <w:rPr>
          <w:rFonts w:ascii="Times New Roman" w:hAnsi="Times New Roman"/>
          <w:sz w:val="24"/>
          <w:szCs w:val="24"/>
          <w:lang w:val="en"/>
        </w:rPr>
        <w:t>2</w:t>
      </w:r>
      <w:r w:rsidRPr="00AB1948">
        <w:rPr>
          <w:rFonts w:ascii="Times New Roman" w:hAnsi="Times New Roman"/>
          <w:sz w:val="24"/>
          <w:szCs w:val="24"/>
          <w:lang w:val="en"/>
        </w:rPr>
        <w:t xml:space="preserve">, the </w:t>
      </w:r>
      <w:proofErr w:type="gramStart"/>
      <w:r w:rsidRPr="00AB1948">
        <w:rPr>
          <w:rFonts w:ascii="Times New Roman" w:hAnsi="Times New Roman"/>
          <w:sz w:val="24"/>
          <w:szCs w:val="24"/>
          <w:lang w:val="en"/>
        </w:rPr>
        <w:t>currency risk management process</w:t>
      </w:r>
      <w:proofErr w:type="gramEnd"/>
      <w:r w:rsidRPr="00AB1948">
        <w:rPr>
          <w:rFonts w:ascii="Times New Roman" w:hAnsi="Times New Roman"/>
          <w:sz w:val="24"/>
          <w:szCs w:val="24"/>
          <w:lang w:val="en"/>
        </w:rPr>
        <w:t xml:space="preserve"> was </w:t>
      </w:r>
      <w:r w:rsidRPr="00AB1948">
        <w:rPr>
          <w:rFonts w:ascii="Times New Roman" w:hAnsi="Times New Roman"/>
          <w:sz w:val="24"/>
          <w:szCs w:val="24"/>
        </w:rPr>
        <w:t>implemented</w:t>
      </w:r>
      <w:r w:rsidRPr="00AB1948">
        <w:rPr>
          <w:rFonts w:ascii="Times New Roman" w:hAnsi="Times New Roman"/>
          <w:sz w:val="24"/>
          <w:szCs w:val="24"/>
          <w:lang w:val="en"/>
        </w:rPr>
        <w:t xml:space="preserve"> within the prescribed legal and internal limits</w:t>
      </w:r>
      <w:r>
        <w:rPr>
          <w:rFonts w:ascii="Times New Roman" w:hAnsi="Times New Roman"/>
          <w:sz w:val="24"/>
          <w:szCs w:val="24"/>
          <w:lang w:val="en"/>
        </w:rPr>
        <w:t>,</w:t>
      </w:r>
      <w:r w:rsidRPr="00AB1948">
        <w:rPr>
          <w:rFonts w:ascii="Times New Roman" w:hAnsi="Times New Roman"/>
          <w:sz w:val="24"/>
          <w:szCs w:val="24"/>
          <w:lang w:val="en"/>
        </w:rPr>
        <w:t xml:space="preserve"> similar to currency risk exposure.</w:t>
      </w:r>
    </w:p>
    <w:p w14:paraId="4C101D05" w14:textId="77777777" w:rsidR="00C9747E" w:rsidRPr="00924F7E" w:rsidRDefault="00C9747E" w:rsidP="00BB27D7">
      <w:pPr>
        <w:autoSpaceDE w:val="0"/>
        <w:autoSpaceDN w:val="0"/>
        <w:adjustRightInd w:val="0"/>
        <w:spacing w:after="0"/>
        <w:jc w:val="both"/>
        <w:rPr>
          <w:rFonts w:ascii="Times New Roman" w:hAnsi="Times New Roman"/>
          <w:sz w:val="24"/>
          <w:szCs w:val="24"/>
        </w:rPr>
      </w:pPr>
    </w:p>
    <w:p w14:paraId="7278AF21" w14:textId="77777777" w:rsidR="006D165A" w:rsidRDefault="006D165A" w:rsidP="00BB27D7">
      <w:pPr>
        <w:spacing w:after="0"/>
        <w:jc w:val="both"/>
        <w:rPr>
          <w:rFonts w:ascii="Times New Roman" w:hAnsi="Times New Roman"/>
          <w:b/>
          <w:i/>
          <w:sz w:val="24"/>
          <w:szCs w:val="24"/>
        </w:rPr>
      </w:pPr>
    </w:p>
    <w:p w14:paraId="1AE38831" w14:textId="77777777" w:rsidR="007E6589" w:rsidRPr="00932791" w:rsidRDefault="007E6589" w:rsidP="00BB27D7">
      <w:pPr>
        <w:pStyle w:val="Heading2"/>
        <w:spacing w:line="276" w:lineRule="auto"/>
        <w:rPr>
          <w:b w:val="0"/>
          <w:i/>
          <w:iCs/>
          <w:szCs w:val="24"/>
        </w:rPr>
      </w:pPr>
      <w:bookmarkStart w:id="17" w:name="_Toc133313255"/>
      <w:r w:rsidRPr="005E1CD3">
        <w:rPr>
          <w:bCs w:val="0"/>
          <w:i/>
          <w:iCs/>
          <w:szCs w:val="24"/>
        </w:rPr>
        <w:t>Operational Risk Management</w:t>
      </w:r>
      <w:bookmarkEnd w:id="17"/>
    </w:p>
    <w:p w14:paraId="25EC80EA" w14:textId="77777777" w:rsidR="005E1CD3" w:rsidRPr="00B74AC9" w:rsidRDefault="005E1CD3" w:rsidP="00BB27D7">
      <w:pPr>
        <w:spacing w:before="240" w:after="0"/>
        <w:jc w:val="both"/>
        <w:rPr>
          <w:rFonts w:ascii="Times New Roman" w:hAnsi="Times New Roman"/>
          <w:sz w:val="24"/>
          <w:szCs w:val="24"/>
        </w:rPr>
      </w:pPr>
      <w:r>
        <w:rPr>
          <w:rFonts w:ascii="Times New Roman" w:hAnsi="Times New Roman"/>
          <w:sz w:val="24"/>
          <w:szCs w:val="24"/>
        </w:rPr>
        <w:t xml:space="preserve">SB applies the </w:t>
      </w:r>
      <w:r w:rsidRPr="00B74AC9">
        <w:rPr>
          <w:rFonts w:ascii="Times New Roman" w:hAnsi="Times New Roman"/>
          <w:sz w:val="24"/>
          <w:szCs w:val="24"/>
        </w:rPr>
        <w:t>comprehensive Operational r</w:t>
      </w:r>
      <w:r>
        <w:rPr>
          <w:rFonts w:ascii="Times New Roman" w:hAnsi="Times New Roman"/>
          <w:sz w:val="24"/>
          <w:szCs w:val="24"/>
        </w:rPr>
        <w:t>isk management framework (ORMF) to identify, manage and prevent operational risks r</w:t>
      </w:r>
      <w:r w:rsidRPr="00B74AC9">
        <w:rPr>
          <w:rFonts w:ascii="Times New Roman" w:hAnsi="Times New Roman"/>
          <w:sz w:val="24"/>
          <w:szCs w:val="24"/>
        </w:rPr>
        <w:t>esult</w:t>
      </w:r>
      <w:r>
        <w:rPr>
          <w:rFonts w:ascii="Times New Roman" w:hAnsi="Times New Roman"/>
          <w:sz w:val="24"/>
          <w:szCs w:val="24"/>
        </w:rPr>
        <w:t>ing</w:t>
      </w:r>
      <w:r w:rsidRPr="00B74AC9">
        <w:rPr>
          <w:rFonts w:ascii="Times New Roman" w:hAnsi="Times New Roman"/>
          <w:sz w:val="24"/>
          <w:szCs w:val="24"/>
        </w:rPr>
        <w:t xml:space="preserve"> from inadequate or failed systems, internal processes, human error</w:t>
      </w:r>
      <w:r>
        <w:rPr>
          <w:rFonts w:ascii="Times New Roman" w:hAnsi="Times New Roman"/>
          <w:sz w:val="24"/>
          <w:szCs w:val="24"/>
        </w:rPr>
        <w:t>s</w:t>
      </w:r>
      <w:r w:rsidRPr="00B74AC9">
        <w:rPr>
          <w:rFonts w:ascii="Times New Roman" w:hAnsi="Times New Roman"/>
          <w:sz w:val="24"/>
          <w:szCs w:val="24"/>
        </w:rPr>
        <w:t xml:space="preserve"> or external events</w:t>
      </w:r>
      <w:r>
        <w:rPr>
          <w:rFonts w:ascii="Times New Roman" w:hAnsi="Times New Roman"/>
          <w:sz w:val="24"/>
          <w:szCs w:val="24"/>
        </w:rPr>
        <w:t>.</w:t>
      </w:r>
      <w:r w:rsidRPr="00B74AC9">
        <w:rPr>
          <w:rFonts w:ascii="Times New Roman" w:hAnsi="Times New Roman"/>
          <w:sz w:val="24"/>
          <w:szCs w:val="24"/>
        </w:rPr>
        <w:t xml:space="preserve"> </w:t>
      </w:r>
    </w:p>
    <w:p w14:paraId="7D1A64ED" w14:textId="77777777" w:rsidR="005E1CD3" w:rsidRPr="00B74AC9" w:rsidRDefault="005E1CD3" w:rsidP="00BB27D7">
      <w:pPr>
        <w:spacing w:before="240" w:after="240"/>
        <w:jc w:val="both"/>
        <w:rPr>
          <w:rFonts w:ascii="Times New Roman" w:hAnsi="Times New Roman"/>
          <w:sz w:val="24"/>
          <w:szCs w:val="24"/>
        </w:rPr>
      </w:pPr>
      <w:r>
        <w:rPr>
          <w:rFonts w:ascii="Times New Roman" w:hAnsi="Times New Roman"/>
          <w:sz w:val="24"/>
          <w:szCs w:val="24"/>
        </w:rPr>
        <w:t>The SB has a consistent</w:t>
      </w:r>
      <w:r w:rsidRPr="00B74AC9">
        <w:rPr>
          <w:rFonts w:ascii="Times New Roman" w:hAnsi="Times New Roman"/>
          <w:sz w:val="24"/>
          <w:szCs w:val="24"/>
        </w:rPr>
        <w:t xml:space="preserve"> and high quality ORMF </w:t>
      </w:r>
      <w:proofErr w:type="gramStart"/>
      <w:r w:rsidRPr="00B74AC9">
        <w:rPr>
          <w:rFonts w:ascii="Times New Roman" w:hAnsi="Times New Roman"/>
          <w:sz w:val="24"/>
          <w:szCs w:val="24"/>
        </w:rPr>
        <w:t>in order to</w:t>
      </w:r>
      <w:proofErr w:type="gramEnd"/>
      <w:r w:rsidRPr="00B74AC9">
        <w:rPr>
          <w:rFonts w:ascii="Times New Roman" w:hAnsi="Times New Roman"/>
          <w:sz w:val="24"/>
          <w:szCs w:val="24"/>
        </w:rPr>
        <w:t xml:space="preserve">: </w:t>
      </w:r>
      <w:r>
        <w:rPr>
          <w:rFonts w:ascii="Times New Roman" w:hAnsi="Times New Roman"/>
          <w:sz w:val="24"/>
          <w:szCs w:val="24"/>
        </w:rPr>
        <w:tab/>
      </w:r>
    </w:p>
    <w:p w14:paraId="789EC2B8" w14:textId="77777777" w:rsidR="005E1CD3" w:rsidRPr="00B74AC9" w:rsidRDefault="005E1CD3" w:rsidP="00BB27D7">
      <w:pPr>
        <w:spacing w:after="0"/>
        <w:ind w:left="720" w:hanging="720"/>
        <w:jc w:val="both"/>
        <w:rPr>
          <w:rFonts w:ascii="Times New Roman" w:hAnsi="Times New Roman"/>
          <w:sz w:val="24"/>
          <w:szCs w:val="24"/>
        </w:rPr>
      </w:pPr>
      <w:r w:rsidRPr="00B74AC9">
        <w:rPr>
          <w:rFonts w:ascii="Times New Roman" w:hAnsi="Times New Roman"/>
          <w:sz w:val="24"/>
          <w:szCs w:val="24"/>
        </w:rPr>
        <w:t>•</w:t>
      </w:r>
      <w:r w:rsidRPr="00B74AC9">
        <w:rPr>
          <w:rFonts w:ascii="Times New Roman" w:hAnsi="Times New Roman"/>
          <w:sz w:val="24"/>
          <w:szCs w:val="24"/>
        </w:rPr>
        <w:tab/>
        <w:t xml:space="preserve">Promote a Bank wide operational risk awareness and risk culture further contributing to process efficiency and control effectiveness </w:t>
      </w:r>
    </w:p>
    <w:p w14:paraId="7DA0F8F6" w14:textId="77777777" w:rsidR="005E1CD3" w:rsidRPr="00B74AC9" w:rsidRDefault="005E1CD3" w:rsidP="00BB27D7">
      <w:pPr>
        <w:spacing w:after="0"/>
        <w:ind w:left="720" w:hanging="720"/>
        <w:jc w:val="both"/>
        <w:rPr>
          <w:rFonts w:ascii="Times New Roman" w:hAnsi="Times New Roman"/>
          <w:sz w:val="24"/>
          <w:szCs w:val="24"/>
        </w:rPr>
      </w:pPr>
      <w:r w:rsidRPr="00B74AC9">
        <w:rPr>
          <w:rFonts w:ascii="Times New Roman" w:hAnsi="Times New Roman"/>
          <w:sz w:val="24"/>
          <w:szCs w:val="24"/>
        </w:rPr>
        <w:t>•</w:t>
      </w:r>
      <w:r w:rsidRPr="00B74AC9">
        <w:rPr>
          <w:rFonts w:ascii="Times New Roman" w:hAnsi="Times New Roman"/>
          <w:sz w:val="24"/>
          <w:szCs w:val="24"/>
        </w:rPr>
        <w:tab/>
        <w:t xml:space="preserve">Establish a set of fundamental standards for operational risk management across the Bank leading to the avoidance of unexpected and catastrophic losses and minimization of expected losses </w:t>
      </w:r>
    </w:p>
    <w:p w14:paraId="237BF9C4" w14:textId="77777777" w:rsidR="005E1CD3" w:rsidRPr="00B74AC9" w:rsidRDefault="005E1CD3" w:rsidP="00BB27D7">
      <w:pPr>
        <w:spacing w:after="0"/>
        <w:jc w:val="both"/>
        <w:rPr>
          <w:rFonts w:ascii="Times New Roman" w:hAnsi="Times New Roman"/>
          <w:sz w:val="24"/>
          <w:szCs w:val="24"/>
        </w:rPr>
      </w:pPr>
      <w:r w:rsidRPr="00B74AC9">
        <w:rPr>
          <w:rFonts w:ascii="Times New Roman" w:hAnsi="Times New Roman"/>
          <w:sz w:val="24"/>
          <w:szCs w:val="24"/>
        </w:rPr>
        <w:t>•</w:t>
      </w:r>
      <w:r w:rsidRPr="00B74AC9">
        <w:rPr>
          <w:rFonts w:ascii="Times New Roman" w:hAnsi="Times New Roman"/>
          <w:sz w:val="24"/>
          <w:szCs w:val="24"/>
        </w:rPr>
        <w:tab/>
        <w:t xml:space="preserve">Ensure that business objectives </w:t>
      </w:r>
      <w:proofErr w:type="gramStart"/>
      <w:r w:rsidRPr="00B74AC9">
        <w:rPr>
          <w:rFonts w:ascii="Times New Roman" w:hAnsi="Times New Roman"/>
          <w:sz w:val="24"/>
          <w:szCs w:val="24"/>
        </w:rPr>
        <w:t>are pursued</w:t>
      </w:r>
      <w:proofErr w:type="gramEnd"/>
      <w:r w:rsidRPr="00B74AC9">
        <w:rPr>
          <w:rFonts w:ascii="Times New Roman" w:hAnsi="Times New Roman"/>
          <w:sz w:val="24"/>
          <w:szCs w:val="24"/>
        </w:rPr>
        <w:t xml:space="preserve"> in a risk-controlled manner </w:t>
      </w:r>
    </w:p>
    <w:p w14:paraId="6629AC8B" w14:textId="77777777" w:rsidR="005E1CD3" w:rsidRPr="00B74AC9" w:rsidRDefault="005E1CD3" w:rsidP="00BB27D7">
      <w:pPr>
        <w:spacing w:after="0"/>
        <w:ind w:left="720" w:hanging="720"/>
        <w:jc w:val="both"/>
        <w:rPr>
          <w:rFonts w:ascii="Times New Roman" w:hAnsi="Times New Roman"/>
          <w:sz w:val="24"/>
          <w:szCs w:val="24"/>
        </w:rPr>
      </w:pPr>
      <w:r w:rsidRPr="00B74AC9">
        <w:rPr>
          <w:rFonts w:ascii="Times New Roman" w:hAnsi="Times New Roman"/>
          <w:sz w:val="24"/>
          <w:szCs w:val="24"/>
        </w:rPr>
        <w:lastRenderedPageBreak/>
        <w:t>•</w:t>
      </w:r>
      <w:r w:rsidRPr="00B74AC9">
        <w:rPr>
          <w:rFonts w:ascii="Times New Roman" w:hAnsi="Times New Roman"/>
          <w:sz w:val="24"/>
          <w:szCs w:val="24"/>
        </w:rPr>
        <w:tab/>
        <w:t xml:space="preserve">Ensure the cost-effectiveness of operations by reducing extensive overlaps and avoiding excessive or obsolete controls </w:t>
      </w:r>
    </w:p>
    <w:p w14:paraId="67CD3041" w14:textId="77777777" w:rsidR="005E1CD3" w:rsidRPr="00B74AC9" w:rsidRDefault="005E1CD3" w:rsidP="00BB27D7">
      <w:pPr>
        <w:spacing w:after="0"/>
        <w:ind w:left="720" w:hanging="720"/>
        <w:jc w:val="both"/>
        <w:rPr>
          <w:rFonts w:ascii="Times New Roman" w:hAnsi="Times New Roman"/>
          <w:sz w:val="24"/>
          <w:szCs w:val="24"/>
        </w:rPr>
      </w:pPr>
      <w:r w:rsidRPr="00B74AC9">
        <w:rPr>
          <w:rFonts w:ascii="Times New Roman" w:hAnsi="Times New Roman"/>
          <w:sz w:val="24"/>
          <w:szCs w:val="24"/>
        </w:rPr>
        <w:t>•</w:t>
      </w:r>
      <w:r w:rsidRPr="00B74AC9">
        <w:rPr>
          <w:rFonts w:ascii="Times New Roman" w:hAnsi="Times New Roman"/>
          <w:sz w:val="24"/>
          <w:szCs w:val="24"/>
        </w:rPr>
        <w:tab/>
        <w:t xml:space="preserve">Ensure consistency with relevant best practices and compliance with regulatory (quantitative and qualitative) requirements </w:t>
      </w:r>
    </w:p>
    <w:p w14:paraId="45C10CB2" w14:textId="77777777" w:rsidR="005E1CD3" w:rsidRDefault="005E1CD3" w:rsidP="00BB27D7">
      <w:pPr>
        <w:spacing w:after="0"/>
        <w:ind w:left="720" w:hanging="720"/>
        <w:jc w:val="both"/>
        <w:rPr>
          <w:rFonts w:ascii="Times New Roman" w:hAnsi="Times New Roman"/>
          <w:sz w:val="24"/>
          <w:szCs w:val="24"/>
        </w:rPr>
      </w:pPr>
      <w:r w:rsidRPr="00B74AC9">
        <w:rPr>
          <w:rFonts w:ascii="Times New Roman" w:hAnsi="Times New Roman"/>
          <w:sz w:val="24"/>
          <w:szCs w:val="24"/>
        </w:rPr>
        <w:t>•</w:t>
      </w:r>
      <w:r w:rsidRPr="00B74AC9">
        <w:rPr>
          <w:rFonts w:ascii="Times New Roman" w:hAnsi="Times New Roman"/>
          <w:sz w:val="24"/>
          <w:szCs w:val="24"/>
        </w:rPr>
        <w:tab/>
        <w:t>Improve regulatory capital consumption, regarding operational risk</w:t>
      </w:r>
    </w:p>
    <w:p w14:paraId="1A10F5C3" w14:textId="77777777" w:rsidR="005E1CD3" w:rsidRDefault="005E1CD3" w:rsidP="00BB27D7">
      <w:pPr>
        <w:pStyle w:val="ListParagraph"/>
        <w:numPr>
          <w:ilvl w:val="0"/>
          <w:numId w:val="40"/>
        </w:numPr>
        <w:spacing w:line="276" w:lineRule="auto"/>
        <w:jc w:val="both"/>
      </w:pPr>
      <w:r>
        <w:t xml:space="preserve">      Improve </w:t>
      </w:r>
      <w:r w:rsidRPr="00B0417A">
        <w:t xml:space="preserve">quality of operational risk information leading to more informed risk </w:t>
      </w:r>
      <w:r>
        <w:t xml:space="preserve">         </w:t>
      </w:r>
    </w:p>
    <w:p w14:paraId="17B0FF4D" w14:textId="169C06BB" w:rsidR="005E1CD3" w:rsidRPr="00B0417A" w:rsidRDefault="005E1CD3" w:rsidP="00BB27D7">
      <w:pPr>
        <w:pStyle w:val="ListParagraph"/>
        <w:spacing w:line="276" w:lineRule="auto"/>
        <w:ind w:left="360"/>
        <w:jc w:val="both"/>
      </w:pPr>
      <w:r>
        <w:t xml:space="preserve">    </w:t>
      </w:r>
      <w:proofErr w:type="gramStart"/>
      <w:r w:rsidRPr="00B0417A">
        <w:t>decision-making</w:t>
      </w:r>
      <w:proofErr w:type="gramEnd"/>
      <w:r w:rsidRPr="00B0417A">
        <w:t xml:space="preserve"> and capital allocation</w:t>
      </w:r>
    </w:p>
    <w:p w14:paraId="7C3EEF0E" w14:textId="77777777" w:rsidR="005E1CD3" w:rsidRDefault="005E1CD3" w:rsidP="00BB27D7">
      <w:pPr>
        <w:spacing w:after="0"/>
        <w:jc w:val="both"/>
        <w:rPr>
          <w:rFonts w:ascii="Times New Roman" w:hAnsi="Times New Roman"/>
          <w:sz w:val="24"/>
          <w:szCs w:val="24"/>
        </w:rPr>
      </w:pPr>
    </w:p>
    <w:p w14:paraId="1565F43C" w14:textId="77777777" w:rsidR="005E1CD3" w:rsidRDefault="005E1CD3" w:rsidP="00BB27D7">
      <w:pPr>
        <w:spacing w:after="0"/>
        <w:jc w:val="both"/>
        <w:rPr>
          <w:rFonts w:ascii="Times New Roman" w:hAnsi="Times New Roman"/>
          <w:sz w:val="24"/>
          <w:szCs w:val="24"/>
        </w:rPr>
      </w:pPr>
      <w:r w:rsidRPr="00B74AC9">
        <w:rPr>
          <w:rFonts w:ascii="Times New Roman" w:hAnsi="Times New Roman"/>
          <w:sz w:val="24"/>
          <w:szCs w:val="24"/>
        </w:rPr>
        <w:t xml:space="preserve">This framework </w:t>
      </w:r>
      <w:proofErr w:type="gramStart"/>
      <w:r w:rsidRPr="00B74AC9">
        <w:rPr>
          <w:rFonts w:ascii="Times New Roman" w:hAnsi="Times New Roman"/>
          <w:sz w:val="24"/>
          <w:szCs w:val="24"/>
        </w:rPr>
        <w:t>is aimed</w:t>
      </w:r>
      <w:proofErr w:type="gramEnd"/>
      <w:r w:rsidRPr="00B74AC9">
        <w:rPr>
          <w:rFonts w:ascii="Times New Roman" w:hAnsi="Times New Roman"/>
          <w:sz w:val="24"/>
          <w:szCs w:val="24"/>
        </w:rPr>
        <w:t xml:space="preserve"> at keeping operational risks within the moderate/low risk profile and is in line with the NBG Group and Bank’s Risk appetite.</w:t>
      </w:r>
    </w:p>
    <w:p w14:paraId="035756ED" w14:textId="77777777" w:rsidR="005E1CD3" w:rsidRPr="00B74AC9" w:rsidRDefault="005E1CD3" w:rsidP="00BB27D7">
      <w:pPr>
        <w:spacing w:after="0"/>
        <w:jc w:val="both"/>
        <w:rPr>
          <w:rFonts w:ascii="Times New Roman" w:hAnsi="Times New Roman"/>
          <w:sz w:val="24"/>
          <w:szCs w:val="24"/>
        </w:rPr>
      </w:pPr>
    </w:p>
    <w:p w14:paraId="48AE6D42" w14:textId="77777777" w:rsidR="005E1CD3" w:rsidRPr="00B74AC9" w:rsidRDefault="005E1CD3" w:rsidP="00BB27D7">
      <w:pPr>
        <w:spacing w:after="0"/>
        <w:jc w:val="both"/>
        <w:rPr>
          <w:rFonts w:ascii="Times New Roman" w:hAnsi="Times New Roman"/>
          <w:sz w:val="24"/>
          <w:szCs w:val="24"/>
        </w:rPr>
      </w:pPr>
      <w:r w:rsidRPr="00B74AC9">
        <w:rPr>
          <w:rFonts w:ascii="Times New Roman" w:hAnsi="Times New Roman"/>
          <w:sz w:val="24"/>
          <w:szCs w:val="24"/>
        </w:rPr>
        <w:t xml:space="preserve">The SB Operational Risk Management governance model is based on the “three lines of defense model”, which has been designed to effectively manage operational risk (OR). Operational Risk Management process (ORM process) </w:t>
      </w:r>
      <w:proofErr w:type="gramStart"/>
      <w:r w:rsidRPr="00B74AC9">
        <w:rPr>
          <w:rFonts w:ascii="Times New Roman" w:hAnsi="Times New Roman"/>
          <w:sz w:val="24"/>
          <w:szCs w:val="24"/>
        </w:rPr>
        <w:t>is strongly embedded</w:t>
      </w:r>
      <w:proofErr w:type="gramEnd"/>
      <w:r w:rsidRPr="00B74AC9">
        <w:rPr>
          <w:rFonts w:ascii="Times New Roman" w:hAnsi="Times New Roman"/>
          <w:sz w:val="24"/>
          <w:szCs w:val="24"/>
        </w:rPr>
        <w:t xml:space="preserve"> in daily </w:t>
      </w:r>
      <w:r>
        <w:rPr>
          <w:rFonts w:ascii="Times New Roman" w:hAnsi="Times New Roman"/>
          <w:sz w:val="24"/>
          <w:szCs w:val="24"/>
        </w:rPr>
        <w:t>business processes of the Bank.</w:t>
      </w:r>
    </w:p>
    <w:p w14:paraId="66A2486D" w14:textId="77777777" w:rsidR="005E1CD3" w:rsidRDefault="005E1CD3" w:rsidP="00BB27D7">
      <w:pPr>
        <w:spacing w:after="0"/>
        <w:jc w:val="both"/>
        <w:rPr>
          <w:rFonts w:ascii="Times New Roman" w:hAnsi="Times New Roman"/>
          <w:sz w:val="24"/>
          <w:szCs w:val="24"/>
        </w:rPr>
      </w:pPr>
    </w:p>
    <w:p w14:paraId="7AC17A6D" w14:textId="77777777" w:rsidR="005E1CD3" w:rsidRDefault="005E1CD3" w:rsidP="00BB27D7">
      <w:pPr>
        <w:spacing w:after="0"/>
        <w:jc w:val="both"/>
        <w:rPr>
          <w:rFonts w:ascii="Times New Roman" w:hAnsi="Times New Roman"/>
          <w:sz w:val="24"/>
          <w:szCs w:val="24"/>
        </w:rPr>
      </w:pPr>
      <w:r>
        <w:rPr>
          <w:rFonts w:ascii="Times New Roman" w:hAnsi="Times New Roman"/>
          <w:sz w:val="24"/>
          <w:szCs w:val="24"/>
        </w:rPr>
        <w:t>According to the definition in Basel Framework adopted by Stopanska Banka, operational risk includes legal risk, risk of non-compliance, risk of money laundering and terrorist financing, as well as risk of inadequacy of information systems.</w:t>
      </w:r>
    </w:p>
    <w:p w14:paraId="6B8298F6" w14:textId="77777777" w:rsidR="005E1CD3" w:rsidRPr="00CE426E" w:rsidRDefault="005E1CD3" w:rsidP="00BB27D7">
      <w:pPr>
        <w:spacing w:after="0"/>
        <w:jc w:val="both"/>
        <w:rPr>
          <w:rFonts w:ascii="Times New Roman" w:hAnsi="Times New Roman"/>
          <w:sz w:val="24"/>
          <w:szCs w:val="24"/>
        </w:rPr>
      </w:pPr>
    </w:p>
    <w:p w14:paraId="0C330ED4" w14:textId="77777777" w:rsidR="005E1CD3" w:rsidRPr="00CE426E" w:rsidRDefault="005E1CD3" w:rsidP="00BB27D7">
      <w:pPr>
        <w:spacing w:after="0"/>
        <w:jc w:val="both"/>
        <w:rPr>
          <w:rFonts w:ascii="Times New Roman" w:hAnsi="Times New Roman"/>
          <w:sz w:val="24"/>
          <w:szCs w:val="24"/>
        </w:rPr>
      </w:pPr>
      <w:r w:rsidRPr="00CE426E">
        <w:rPr>
          <w:rFonts w:ascii="Times New Roman" w:hAnsi="Times New Roman"/>
          <w:sz w:val="24"/>
          <w:szCs w:val="24"/>
        </w:rPr>
        <w:t xml:space="preserve">By </w:t>
      </w:r>
      <w:r>
        <w:rPr>
          <w:rFonts w:ascii="Times New Roman" w:hAnsi="Times New Roman"/>
          <w:sz w:val="24"/>
          <w:szCs w:val="24"/>
        </w:rPr>
        <w:t>enhancing</w:t>
      </w:r>
      <w:r w:rsidRPr="00CE426E">
        <w:rPr>
          <w:rFonts w:ascii="Times New Roman" w:hAnsi="Times New Roman"/>
          <w:sz w:val="24"/>
          <w:szCs w:val="24"/>
        </w:rPr>
        <w:t xml:space="preserve"> the ORMF, Stopanska Banka provides the foundations, principles and governance arrangements for designing, implementing, monitoring, reviewing and continually strengthening operational risk management throughout the Bank.</w:t>
      </w:r>
    </w:p>
    <w:p w14:paraId="1DCC9F6D" w14:textId="77777777" w:rsidR="005E1CD3" w:rsidRDefault="005E1CD3" w:rsidP="00BB27D7">
      <w:pPr>
        <w:spacing w:after="0"/>
        <w:jc w:val="both"/>
        <w:rPr>
          <w:rFonts w:ascii="Times New Roman" w:hAnsi="Times New Roman"/>
          <w:sz w:val="24"/>
          <w:szCs w:val="24"/>
        </w:rPr>
      </w:pPr>
    </w:p>
    <w:p w14:paraId="4E0CEC38" w14:textId="77777777" w:rsidR="005E1CD3" w:rsidRPr="00CE426E" w:rsidRDefault="005E1CD3" w:rsidP="00BB27D7">
      <w:pPr>
        <w:spacing w:after="0"/>
        <w:jc w:val="both"/>
        <w:rPr>
          <w:rFonts w:ascii="Times New Roman" w:hAnsi="Times New Roman"/>
          <w:sz w:val="24"/>
          <w:szCs w:val="24"/>
        </w:rPr>
      </w:pPr>
      <w:r w:rsidRPr="00CE426E">
        <w:rPr>
          <w:rFonts w:ascii="Times New Roman" w:hAnsi="Times New Roman"/>
          <w:sz w:val="24"/>
          <w:szCs w:val="24"/>
        </w:rPr>
        <w:t>The SB’s new ORM approach consists of the following key framework components and their respective internal governance policies:</w:t>
      </w:r>
    </w:p>
    <w:p w14:paraId="60CEEF17" w14:textId="77777777" w:rsidR="005E1CD3" w:rsidRPr="00CE426E" w:rsidRDefault="005E1CD3" w:rsidP="00BB27D7">
      <w:pPr>
        <w:spacing w:after="0"/>
        <w:jc w:val="both"/>
        <w:rPr>
          <w:rFonts w:ascii="Times New Roman" w:hAnsi="Times New Roman"/>
          <w:sz w:val="24"/>
          <w:szCs w:val="24"/>
        </w:rPr>
      </w:pPr>
    </w:p>
    <w:p w14:paraId="7DB741E2" w14:textId="77777777" w:rsidR="005E1CD3" w:rsidRPr="008C4EF4" w:rsidRDefault="005E1CD3" w:rsidP="00BB27D7">
      <w:pPr>
        <w:pStyle w:val="ListParagraph"/>
        <w:numPr>
          <w:ilvl w:val="0"/>
          <w:numId w:val="38"/>
        </w:numPr>
        <w:spacing w:line="276" w:lineRule="auto"/>
        <w:jc w:val="both"/>
      </w:pPr>
      <w:r w:rsidRPr="008C4EF4">
        <w:t>Internal Events Management Policy (IEM Policy)</w:t>
      </w:r>
    </w:p>
    <w:p w14:paraId="7A6776F4" w14:textId="77777777" w:rsidR="005E1CD3" w:rsidRPr="008C4EF4" w:rsidRDefault="005E1CD3" w:rsidP="00BB27D7">
      <w:pPr>
        <w:pStyle w:val="ListParagraph"/>
        <w:numPr>
          <w:ilvl w:val="0"/>
          <w:numId w:val="38"/>
        </w:numPr>
        <w:spacing w:line="276" w:lineRule="auto"/>
        <w:jc w:val="both"/>
      </w:pPr>
      <w:r w:rsidRPr="008C4EF4">
        <w:t>Key Risk Indicators Policy (KRI Policy)</w:t>
      </w:r>
    </w:p>
    <w:p w14:paraId="6E4B7895" w14:textId="77777777" w:rsidR="005E1CD3" w:rsidRPr="008C4EF4" w:rsidRDefault="005E1CD3" w:rsidP="00BB27D7">
      <w:pPr>
        <w:pStyle w:val="ListParagraph"/>
        <w:numPr>
          <w:ilvl w:val="0"/>
          <w:numId w:val="38"/>
        </w:numPr>
        <w:spacing w:line="276" w:lineRule="auto"/>
        <w:jc w:val="both"/>
      </w:pPr>
      <w:r w:rsidRPr="008C4EF4">
        <w:t>Risk and Control Self-Assessment Policy (RCSA Policy)</w:t>
      </w:r>
    </w:p>
    <w:p w14:paraId="605DD567" w14:textId="77777777" w:rsidR="005E1CD3" w:rsidRPr="00CE426E" w:rsidRDefault="005E1CD3" w:rsidP="00BB27D7">
      <w:pPr>
        <w:spacing w:after="0"/>
        <w:jc w:val="both"/>
        <w:rPr>
          <w:rFonts w:ascii="Times New Roman" w:hAnsi="Times New Roman"/>
          <w:sz w:val="24"/>
          <w:szCs w:val="24"/>
        </w:rPr>
      </w:pPr>
    </w:p>
    <w:p w14:paraId="0AD0B234" w14:textId="77777777" w:rsidR="005E1CD3" w:rsidRDefault="005E1CD3" w:rsidP="00BB27D7">
      <w:pPr>
        <w:spacing w:after="0"/>
        <w:jc w:val="both"/>
        <w:rPr>
          <w:rFonts w:ascii="Times New Roman" w:hAnsi="Times New Roman"/>
          <w:sz w:val="24"/>
          <w:szCs w:val="24"/>
        </w:rPr>
      </w:pPr>
      <w:r w:rsidRPr="00B74AC9">
        <w:rPr>
          <w:rFonts w:ascii="Times New Roman" w:hAnsi="Times New Roman"/>
          <w:sz w:val="24"/>
          <w:szCs w:val="24"/>
        </w:rPr>
        <w:t>The overall focus of</w:t>
      </w:r>
      <w:r>
        <w:rPr>
          <w:rFonts w:ascii="Times New Roman" w:hAnsi="Times New Roman"/>
          <w:sz w:val="24"/>
          <w:szCs w:val="24"/>
        </w:rPr>
        <w:t xml:space="preserve"> the</w:t>
      </w:r>
      <w:r w:rsidRPr="00B74AC9">
        <w:rPr>
          <w:rFonts w:ascii="Times New Roman" w:hAnsi="Times New Roman"/>
          <w:sz w:val="24"/>
          <w:szCs w:val="24"/>
        </w:rPr>
        <w:t xml:space="preserve"> 20</w:t>
      </w:r>
      <w:r>
        <w:rPr>
          <w:rFonts w:ascii="Times New Roman" w:hAnsi="Times New Roman"/>
          <w:sz w:val="24"/>
          <w:szCs w:val="24"/>
          <w:lang w:val="mk-MK"/>
        </w:rPr>
        <w:t>2</w:t>
      </w:r>
      <w:r>
        <w:rPr>
          <w:rFonts w:ascii="Times New Roman" w:hAnsi="Times New Roman"/>
          <w:sz w:val="24"/>
          <w:szCs w:val="24"/>
        </w:rPr>
        <w:t>2</w:t>
      </w:r>
      <w:r w:rsidRPr="00B74AC9">
        <w:rPr>
          <w:rFonts w:ascii="Times New Roman" w:hAnsi="Times New Roman"/>
          <w:sz w:val="24"/>
          <w:szCs w:val="24"/>
        </w:rPr>
        <w:t xml:space="preserve"> ORM process was </w:t>
      </w:r>
      <w:r>
        <w:rPr>
          <w:rFonts w:ascii="Times New Roman" w:hAnsi="Times New Roman"/>
          <w:sz w:val="24"/>
          <w:szCs w:val="24"/>
        </w:rPr>
        <w:t>aimed at</w:t>
      </w:r>
      <w:r w:rsidRPr="00B74AC9">
        <w:rPr>
          <w:rFonts w:ascii="Times New Roman" w:hAnsi="Times New Roman"/>
          <w:sz w:val="24"/>
          <w:szCs w:val="24"/>
        </w:rPr>
        <w:t xml:space="preserve"> further strengthening the Operational risk management function within entire Bank</w:t>
      </w:r>
      <w:r>
        <w:rPr>
          <w:rFonts w:ascii="Times New Roman" w:hAnsi="Times New Roman"/>
          <w:sz w:val="24"/>
          <w:szCs w:val="24"/>
        </w:rPr>
        <w:t xml:space="preserve"> by paying significant attention to reporting adverse events, mitigation measures and defining operational risks in all segments. Raising the culture of operational risk and awareness of operational risk issues, as well as enhanced monitoring of operational risk exposure </w:t>
      </w:r>
      <w:proofErr w:type="gramStart"/>
      <w:r>
        <w:rPr>
          <w:rFonts w:ascii="Times New Roman" w:hAnsi="Times New Roman"/>
          <w:sz w:val="24"/>
          <w:szCs w:val="24"/>
        </w:rPr>
        <w:t>is achieved</w:t>
      </w:r>
      <w:proofErr w:type="gramEnd"/>
      <w:r>
        <w:rPr>
          <w:rFonts w:ascii="Times New Roman" w:hAnsi="Times New Roman"/>
          <w:sz w:val="24"/>
          <w:szCs w:val="24"/>
        </w:rPr>
        <w:t xml:space="preserve"> by an intensive proactive role by the Risk Management Division, with the intention of eliminating or mitigating operational risk exposure in compliance with the Bank’s risk profile, risk strategy and business objectives.</w:t>
      </w:r>
    </w:p>
    <w:p w14:paraId="035129F2" w14:textId="77777777" w:rsidR="005E1CD3" w:rsidRDefault="005E1CD3" w:rsidP="00BB27D7">
      <w:pPr>
        <w:spacing w:after="0"/>
        <w:jc w:val="both"/>
        <w:rPr>
          <w:rFonts w:ascii="Times New Roman" w:hAnsi="Times New Roman"/>
          <w:sz w:val="24"/>
          <w:szCs w:val="24"/>
        </w:rPr>
      </w:pPr>
    </w:p>
    <w:p w14:paraId="5BC2CD1A" w14:textId="77777777" w:rsidR="005E1CD3" w:rsidRPr="00B74AC9" w:rsidRDefault="005E1CD3" w:rsidP="00BB27D7">
      <w:pPr>
        <w:spacing w:after="0"/>
        <w:jc w:val="both"/>
        <w:rPr>
          <w:rFonts w:ascii="Times New Roman" w:hAnsi="Times New Roman"/>
          <w:sz w:val="24"/>
          <w:szCs w:val="24"/>
        </w:rPr>
      </w:pPr>
      <w:r w:rsidRPr="00B74AC9">
        <w:rPr>
          <w:rFonts w:ascii="Times New Roman" w:hAnsi="Times New Roman"/>
          <w:sz w:val="24"/>
          <w:szCs w:val="24"/>
        </w:rPr>
        <w:t>The SB’s ORMF provides a structured approach for managing operational risk. It applies consistent standards and techniques for evaluating operational ris</w:t>
      </w:r>
      <w:r>
        <w:rPr>
          <w:rFonts w:ascii="Times New Roman" w:hAnsi="Times New Roman"/>
          <w:sz w:val="24"/>
          <w:szCs w:val="24"/>
        </w:rPr>
        <w:t>ks.</w:t>
      </w:r>
    </w:p>
    <w:p w14:paraId="5B435462" w14:textId="77777777" w:rsidR="005E1CD3" w:rsidRDefault="005E1CD3" w:rsidP="00BB27D7">
      <w:pPr>
        <w:spacing w:after="0"/>
        <w:jc w:val="both"/>
        <w:rPr>
          <w:rFonts w:ascii="Times New Roman" w:hAnsi="Times New Roman"/>
          <w:sz w:val="24"/>
          <w:szCs w:val="24"/>
        </w:rPr>
      </w:pPr>
    </w:p>
    <w:p w14:paraId="410920B3" w14:textId="77777777" w:rsidR="005E1CD3" w:rsidRPr="00932791" w:rsidRDefault="005E1CD3" w:rsidP="00BB27D7">
      <w:pPr>
        <w:spacing w:after="0"/>
        <w:jc w:val="both"/>
        <w:rPr>
          <w:rFonts w:ascii="Times New Roman" w:hAnsi="Times New Roman"/>
          <w:sz w:val="24"/>
          <w:szCs w:val="24"/>
        </w:rPr>
      </w:pPr>
      <w:r>
        <w:rPr>
          <w:rFonts w:ascii="Times New Roman" w:hAnsi="Times New Roman"/>
          <w:sz w:val="24"/>
          <w:szCs w:val="24"/>
        </w:rPr>
        <w:t xml:space="preserve">Within the annual stress test of the Bank, stress testing of the operational risk </w:t>
      </w:r>
      <w:proofErr w:type="gramStart"/>
      <w:r>
        <w:rPr>
          <w:rFonts w:ascii="Times New Roman" w:hAnsi="Times New Roman"/>
          <w:sz w:val="24"/>
          <w:szCs w:val="24"/>
        </w:rPr>
        <w:t>is performed</w:t>
      </w:r>
      <w:proofErr w:type="gramEnd"/>
      <w:r>
        <w:rPr>
          <w:rFonts w:ascii="Times New Roman" w:hAnsi="Times New Roman"/>
          <w:sz w:val="24"/>
          <w:szCs w:val="24"/>
        </w:rPr>
        <w:t xml:space="preserve"> with purpose to assess the Bank’s ability to mitigate the main losses arising from inadequate or unsuccessful internal processes, people and systems or external events.</w:t>
      </w:r>
    </w:p>
    <w:p w14:paraId="1638387D" w14:textId="77777777" w:rsidR="005E1CD3" w:rsidRDefault="005E1CD3" w:rsidP="00BB27D7">
      <w:pPr>
        <w:pStyle w:val="Heading2"/>
        <w:spacing w:line="276" w:lineRule="auto"/>
        <w:rPr>
          <w:szCs w:val="24"/>
        </w:rPr>
      </w:pPr>
    </w:p>
    <w:p w14:paraId="2B1D3E0B" w14:textId="77777777" w:rsidR="00196F45" w:rsidRDefault="00196F45" w:rsidP="00BB27D7">
      <w:pPr>
        <w:pStyle w:val="Heading2"/>
        <w:spacing w:line="276" w:lineRule="auto"/>
        <w:rPr>
          <w:bCs w:val="0"/>
          <w:i/>
          <w:iCs/>
          <w:szCs w:val="24"/>
        </w:rPr>
      </w:pPr>
      <w:bookmarkStart w:id="18" w:name="_Toc133313256"/>
    </w:p>
    <w:p w14:paraId="2385EF02" w14:textId="1E046ED9" w:rsidR="00CB02B3" w:rsidRPr="00932791" w:rsidRDefault="00EB354E" w:rsidP="00BB27D7">
      <w:pPr>
        <w:pStyle w:val="Heading2"/>
        <w:spacing w:line="276" w:lineRule="auto"/>
        <w:rPr>
          <w:b w:val="0"/>
          <w:i/>
          <w:iCs/>
          <w:szCs w:val="24"/>
        </w:rPr>
      </w:pPr>
      <w:r w:rsidRPr="00A34733">
        <w:rPr>
          <w:bCs w:val="0"/>
          <w:i/>
          <w:iCs/>
          <w:szCs w:val="24"/>
        </w:rPr>
        <w:t>C</w:t>
      </w:r>
      <w:r w:rsidR="00CB02B3" w:rsidRPr="00A34733">
        <w:rPr>
          <w:bCs w:val="0"/>
          <w:i/>
          <w:iCs/>
          <w:szCs w:val="24"/>
        </w:rPr>
        <w:t>apital Adequacy</w:t>
      </w:r>
      <w:r w:rsidR="000A3865" w:rsidRPr="00A34733">
        <w:rPr>
          <w:bCs w:val="0"/>
          <w:i/>
          <w:iCs/>
          <w:szCs w:val="24"/>
        </w:rPr>
        <w:t>, Internal Capital Adequacy Assessment Process</w:t>
      </w:r>
      <w:r w:rsidR="00CB02B3" w:rsidRPr="00A34733">
        <w:rPr>
          <w:bCs w:val="0"/>
          <w:i/>
          <w:iCs/>
          <w:szCs w:val="24"/>
        </w:rPr>
        <w:t xml:space="preserve"> and Stress Test</w:t>
      </w:r>
      <w:bookmarkEnd w:id="18"/>
    </w:p>
    <w:p w14:paraId="642ED560" w14:textId="5307165E" w:rsidR="00D546DD" w:rsidRPr="00041E4D" w:rsidRDefault="00CB19EE" w:rsidP="00BB27D7">
      <w:pPr>
        <w:spacing w:before="240"/>
        <w:jc w:val="both"/>
        <w:rPr>
          <w:rFonts w:ascii="Times New Roman" w:hAnsi="Times New Roman"/>
          <w:sz w:val="24"/>
          <w:szCs w:val="24"/>
        </w:rPr>
      </w:pPr>
      <w:r w:rsidRPr="00375E37">
        <w:rPr>
          <w:rFonts w:ascii="Times New Roman" w:hAnsi="Times New Roman"/>
          <w:sz w:val="24"/>
          <w:szCs w:val="24"/>
        </w:rPr>
        <w:t xml:space="preserve">Maintaining a strong capital base as a precondition for business growth and absorbing all possible risks is a priority and </w:t>
      </w:r>
      <w:proofErr w:type="gramStart"/>
      <w:r w:rsidRPr="00375E37">
        <w:rPr>
          <w:rFonts w:ascii="Times New Roman" w:hAnsi="Times New Roman"/>
          <w:sz w:val="24"/>
          <w:szCs w:val="24"/>
        </w:rPr>
        <w:t>main focus</w:t>
      </w:r>
      <w:proofErr w:type="gramEnd"/>
      <w:r w:rsidRPr="00375E37">
        <w:rPr>
          <w:rFonts w:ascii="Times New Roman" w:hAnsi="Times New Roman"/>
          <w:sz w:val="24"/>
          <w:szCs w:val="24"/>
        </w:rPr>
        <w:t xml:space="preserve"> of the Bank. The total regulatory capital of the Bank as at 31.12.20</w:t>
      </w:r>
      <w:r w:rsidR="003251B2">
        <w:rPr>
          <w:rFonts w:ascii="Times New Roman" w:hAnsi="Times New Roman"/>
          <w:sz w:val="24"/>
          <w:szCs w:val="24"/>
        </w:rPr>
        <w:t>2</w:t>
      </w:r>
      <w:r w:rsidR="00A13EE2">
        <w:rPr>
          <w:rFonts w:ascii="Times New Roman" w:hAnsi="Times New Roman"/>
          <w:sz w:val="24"/>
          <w:szCs w:val="24"/>
        </w:rPr>
        <w:t>2</w:t>
      </w:r>
      <w:r w:rsidRPr="00375E37">
        <w:rPr>
          <w:rFonts w:ascii="Times New Roman" w:hAnsi="Times New Roman"/>
          <w:sz w:val="24"/>
          <w:szCs w:val="24"/>
        </w:rPr>
        <w:t xml:space="preserve"> amounted to EUR </w:t>
      </w:r>
      <w:r w:rsidR="00A13EE2">
        <w:rPr>
          <w:rFonts w:ascii="Times New Roman" w:hAnsi="Times New Roman"/>
          <w:sz w:val="24"/>
          <w:szCs w:val="24"/>
        </w:rPr>
        <w:t>272.1</w:t>
      </w:r>
      <w:r w:rsidRPr="00375E37">
        <w:rPr>
          <w:rFonts w:ascii="Times New Roman" w:hAnsi="Times New Roman"/>
          <w:sz w:val="24"/>
          <w:szCs w:val="24"/>
        </w:rPr>
        <w:t xml:space="preserve"> million, </w:t>
      </w:r>
      <w:r w:rsidR="003E00B0">
        <w:rPr>
          <w:rFonts w:ascii="Times New Roman" w:hAnsi="Times New Roman"/>
          <w:sz w:val="24"/>
          <w:szCs w:val="24"/>
        </w:rPr>
        <w:t xml:space="preserve">out </w:t>
      </w:r>
      <w:r w:rsidRPr="00375E37">
        <w:rPr>
          <w:rFonts w:ascii="Times New Roman" w:hAnsi="Times New Roman"/>
          <w:sz w:val="24"/>
          <w:szCs w:val="24"/>
        </w:rPr>
        <w:t xml:space="preserve">of which the Tier 1 capital amounted to EUR </w:t>
      </w:r>
      <w:r w:rsidR="00A13EE2">
        <w:rPr>
          <w:rFonts w:ascii="Times New Roman" w:hAnsi="Times New Roman"/>
          <w:sz w:val="24"/>
          <w:szCs w:val="24"/>
        </w:rPr>
        <w:t>270.6</w:t>
      </w:r>
      <w:r w:rsidRPr="00375E37">
        <w:rPr>
          <w:rFonts w:ascii="Times New Roman" w:hAnsi="Times New Roman"/>
          <w:sz w:val="24"/>
          <w:szCs w:val="24"/>
        </w:rPr>
        <w:t xml:space="preserve"> </w:t>
      </w:r>
      <w:proofErr w:type="gramStart"/>
      <w:r w:rsidRPr="00375E37">
        <w:rPr>
          <w:rFonts w:ascii="Times New Roman" w:hAnsi="Times New Roman"/>
          <w:sz w:val="24"/>
          <w:szCs w:val="24"/>
        </w:rPr>
        <w:t>million</w:t>
      </w:r>
      <w:proofErr w:type="gramEnd"/>
      <w:r w:rsidRPr="00375E37">
        <w:rPr>
          <w:rFonts w:ascii="Times New Roman" w:hAnsi="Times New Roman"/>
          <w:sz w:val="24"/>
          <w:szCs w:val="24"/>
        </w:rPr>
        <w:t xml:space="preserve"> and the Tier 2 capital amounted to EUR 1.5 million, w</w:t>
      </w:r>
      <w:r>
        <w:rPr>
          <w:rFonts w:ascii="Times New Roman" w:hAnsi="Times New Roman"/>
          <w:sz w:val="24"/>
          <w:szCs w:val="24"/>
        </w:rPr>
        <w:t xml:space="preserve">hich resulted in a </w:t>
      </w:r>
      <w:r w:rsidRPr="00375E37">
        <w:rPr>
          <w:rFonts w:ascii="Times New Roman" w:hAnsi="Times New Roman"/>
          <w:sz w:val="24"/>
          <w:szCs w:val="24"/>
        </w:rPr>
        <w:t xml:space="preserve">capital adequacy </w:t>
      </w:r>
      <w:r>
        <w:rPr>
          <w:rFonts w:ascii="Times New Roman" w:hAnsi="Times New Roman"/>
          <w:sz w:val="24"/>
          <w:szCs w:val="24"/>
        </w:rPr>
        <w:t xml:space="preserve">ratio </w:t>
      </w:r>
      <w:r w:rsidRPr="00375E37">
        <w:rPr>
          <w:rFonts w:ascii="Times New Roman" w:hAnsi="Times New Roman"/>
          <w:sz w:val="24"/>
          <w:szCs w:val="24"/>
        </w:rPr>
        <w:t>of 16.</w:t>
      </w:r>
      <w:r w:rsidR="00A13EE2">
        <w:rPr>
          <w:rFonts w:ascii="Times New Roman" w:hAnsi="Times New Roman"/>
          <w:sz w:val="24"/>
          <w:szCs w:val="24"/>
        </w:rPr>
        <w:t>6</w:t>
      </w:r>
      <w:r w:rsidR="0098432D">
        <w:rPr>
          <w:rFonts w:ascii="Times New Roman" w:hAnsi="Times New Roman"/>
          <w:sz w:val="24"/>
          <w:szCs w:val="24"/>
        </w:rPr>
        <w:t>5</w:t>
      </w:r>
      <w:r w:rsidR="00672FFD">
        <w:rPr>
          <w:rFonts w:ascii="Times New Roman" w:hAnsi="Times New Roman"/>
          <w:sz w:val="24"/>
          <w:szCs w:val="24"/>
        </w:rPr>
        <w:t>% as of 31.12.202</w:t>
      </w:r>
      <w:r w:rsidR="00A13EE2">
        <w:rPr>
          <w:rFonts w:ascii="Times New Roman" w:hAnsi="Times New Roman"/>
          <w:sz w:val="24"/>
          <w:szCs w:val="24"/>
        </w:rPr>
        <w:t>2</w:t>
      </w:r>
      <w:r w:rsidRPr="00375E37">
        <w:rPr>
          <w:rFonts w:ascii="Times New Roman" w:hAnsi="Times New Roman"/>
          <w:sz w:val="24"/>
          <w:szCs w:val="24"/>
        </w:rPr>
        <w:t>.</w:t>
      </w:r>
    </w:p>
    <w:p w14:paraId="73BC9FCF" w14:textId="49C24EE4" w:rsidR="00D546DD" w:rsidRPr="00041E4D" w:rsidRDefault="00D546DD" w:rsidP="00BB27D7">
      <w:pPr>
        <w:spacing w:before="240"/>
        <w:jc w:val="both"/>
        <w:rPr>
          <w:rFonts w:ascii="Times New Roman" w:hAnsi="Times New Roman"/>
          <w:sz w:val="24"/>
          <w:szCs w:val="24"/>
        </w:rPr>
      </w:pPr>
      <w:r w:rsidRPr="00041E4D">
        <w:rPr>
          <w:rFonts w:ascii="Times New Roman" w:hAnsi="Times New Roman"/>
          <w:sz w:val="24"/>
          <w:szCs w:val="24"/>
        </w:rPr>
        <w:t xml:space="preserve">As a part of the prudently established risk management framework, the Bank regularly </w:t>
      </w:r>
      <w:r>
        <w:rPr>
          <w:rFonts w:ascii="Times New Roman" w:hAnsi="Times New Roman"/>
          <w:sz w:val="24"/>
          <w:szCs w:val="24"/>
        </w:rPr>
        <w:t xml:space="preserve">performs </w:t>
      </w:r>
      <w:r w:rsidRPr="00041E4D">
        <w:rPr>
          <w:rFonts w:ascii="Times New Roman" w:hAnsi="Times New Roman"/>
          <w:sz w:val="24"/>
          <w:szCs w:val="24"/>
        </w:rPr>
        <w:t xml:space="preserve">the </w:t>
      </w:r>
      <w:r w:rsidRPr="00041E4D">
        <w:rPr>
          <w:rFonts w:ascii="Times New Roman" w:hAnsi="Times New Roman"/>
          <w:sz w:val="24"/>
          <w:szCs w:val="24"/>
          <w:lang w:val="en-GB"/>
        </w:rPr>
        <w:t xml:space="preserve">Internal Capital Adequacy Assessment Process (ICAAP) and </w:t>
      </w:r>
      <w:r>
        <w:rPr>
          <w:rFonts w:ascii="Times New Roman" w:hAnsi="Times New Roman"/>
          <w:sz w:val="24"/>
          <w:szCs w:val="24"/>
          <w:lang w:val="en-GB"/>
        </w:rPr>
        <w:t xml:space="preserve">assesses </w:t>
      </w:r>
      <w:r w:rsidRPr="00041E4D">
        <w:rPr>
          <w:rFonts w:ascii="Times New Roman" w:hAnsi="Times New Roman"/>
          <w:sz w:val="24"/>
          <w:szCs w:val="24"/>
          <w:lang w:val="en-GB"/>
        </w:rPr>
        <w:t xml:space="preserve">the </w:t>
      </w:r>
      <w:r w:rsidRPr="00041E4D">
        <w:rPr>
          <w:rFonts w:ascii="Times New Roman" w:hAnsi="Times New Roman"/>
          <w:sz w:val="24"/>
          <w:szCs w:val="24"/>
        </w:rPr>
        <w:t>resilience of its capital adequacy by conducting stress testing</w:t>
      </w:r>
      <w:r>
        <w:rPr>
          <w:rFonts w:ascii="Times New Roman" w:hAnsi="Times New Roman"/>
          <w:sz w:val="24"/>
          <w:szCs w:val="24"/>
        </w:rPr>
        <w:t>, by taking into account the up-dated circumstances and risks prevailing and the moment of stress-testing and forecasting the expected ones.</w:t>
      </w:r>
      <w:r w:rsidRPr="00041E4D">
        <w:rPr>
          <w:rFonts w:ascii="Times New Roman" w:hAnsi="Times New Roman"/>
          <w:sz w:val="24"/>
          <w:szCs w:val="24"/>
        </w:rPr>
        <w:t xml:space="preserve"> The Bank’s </w:t>
      </w:r>
      <w:r w:rsidRPr="00041E4D">
        <w:rPr>
          <w:rFonts w:ascii="Times New Roman" w:hAnsi="Times New Roman"/>
          <w:sz w:val="24"/>
          <w:szCs w:val="24"/>
          <w:lang w:val="en-GB"/>
        </w:rPr>
        <w:t xml:space="preserve">ICAAP ascertains that SB’s </w:t>
      </w:r>
      <w:r w:rsidRPr="00041E4D">
        <w:rPr>
          <w:rFonts w:ascii="Times New Roman" w:hAnsi="Times New Roman"/>
          <w:sz w:val="24"/>
          <w:szCs w:val="24"/>
        </w:rPr>
        <w:t xml:space="preserve">capital is sufficient to cover all the material risks to which it </w:t>
      </w:r>
      <w:proofErr w:type="gramStart"/>
      <w:r w:rsidRPr="00041E4D">
        <w:rPr>
          <w:rFonts w:ascii="Times New Roman" w:hAnsi="Times New Roman"/>
          <w:sz w:val="24"/>
          <w:szCs w:val="24"/>
        </w:rPr>
        <w:t>is exposed</w:t>
      </w:r>
      <w:proofErr w:type="gramEnd"/>
      <w:r w:rsidRPr="00041E4D">
        <w:rPr>
          <w:rFonts w:ascii="Times New Roman" w:hAnsi="Times New Roman"/>
          <w:sz w:val="24"/>
          <w:szCs w:val="24"/>
        </w:rPr>
        <w:t xml:space="preserve"> </w:t>
      </w:r>
      <w:r>
        <w:rPr>
          <w:rFonts w:ascii="Times New Roman" w:hAnsi="Times New Roman"/>
          <w:sz w:val="24"/>
          <w:szCs w:val="24"/>
        </w:rPr>
        <w:t>to, and that</w:t>
      </w:r>
      <w:r w:rsidRPr="00041E4D">
        <w:rPr>
          <w:rFonts w:ascii="Times New Roman" w:hAnsi="Times New Roman"/>
          <w:sz w:val="24"/>
          <w:szCs w:val="24"/>
        </w:rPr>
        <w:t xml:space="preserve"> the identified excess of capital is more than sufficient to cover all other risks that cannot be adequately quantified but to which the Bank is exposed to in t</w:t>
      </w:r>
      <w:r w:rsidR="00677948">
        <w:rPr>
          <w:rFonts w:ascii="Times New Roman" w:hAnsi="Times New Roman"/>
          <w:sz w:val="24"/>
          <w:szCs w:val="24"/>
        </w:rPr>
        <w:t>he regular business activities.</w:t>
      </w:r>
      <w:r>
        <w:rPr>
          <w:rFonts w:ascii="Times New Roman" w:hAnsi="Times New Roman"/>
          <w:sz w:val="24"/>
          <w:szCs w:val="24"/>
        </w:rPr>
        <w:t xml:space="preserve"> As prescribed, the</w:t>
      </w:r>
      <w:r w:rsidRPr="00041E4D">
        <w:rPr>
          <w:rFonts w:ascii="Times New Roman" w:hAnsi="Times New Roman"/>
          <w:sz w:val="24"/>
          <w:szCs w:val="24"/>
        </w:rPr>
        <w:t xml:space="preserve"> stress test exercises are</w:t>
      </w:r>
      <w:r>
        <w:rPr>
          <w:rFonts w:ascii="Times New Roman" w:hAnsi="Times New Roman"/>
          <w:sz w:val="24"/>
          <w:szCs w:val="24"/>
        </w:rPr>
        <w:t xml:space="preserve"> also an</w:t>
      </w:r>
      <w:r w:rsidRPr="00041E4D">
        <w:rPr>
          <w:rFonts w:ascii="Times New Roman" w:hAnsi="Times New Roman"/>
          <w:sz w:val="24"/>
          <w:szCs w:val="24"/>
        </w:rPr>
        <w:t xml:space="preserve"> integral part of the risk management framework</w:t>
      </w:r>
      <w:r>
        <w:rPr>
          <w:rFonts w:ascii="Times New Roman" w:hAnsi="Times New Roman"/>
          <w:sz w:val="24"/>
          <w:szCs w:val="24"/>
        </w:rPr>
        <w:t xml:space="preserve">, especially needed to </w:t>
      </w:r>
      <w:r w:rsidRPr="00041E4D">
        <w:rPr>
          <w:rFonts w:ascii="Times New Roman" w:hAnsi="Times New Roman"/>
          <w:sz w:val="24"/>
          <w:szCs w:val="24"/>
        </w:rPr>
        <w:t>provid</w:t>
      </w:r>
      <w:r>
        <w:rPr>
          <w:rFonts w:ascii="Times New Roman" w:hAnsi="Times New Roman"/>
          <w:sz w:val="24"/>
          <w:szCs w:val="24"/>
        </w:rPr>
        <w:t>e</w:t>
      </w:r>
      <w:r w:rsidRPr="00041E4D">
        <w:rPr>
          <w:rFonts w:ascii="Times New Roman" w:hAnsi="Times New Roman"/>
          <w:sz w:val="24"/>
          <w:szCs w:val="24"/>
        </w:rPr>
        <w:t xml:space="preserve"> estimates</w:t>
      </w:r>
      <w:r>
        <w:rPr>
          <w:rFonts w:ascii="Times New Roman" w:hAnsi="Times New Roman"/>
          <w:sz w:val="24"/>
          <w:szCs w:val="24"/>
        </w:rPr>
        <w:t xml:space="preserve"> and trigger attention</w:t>
      </w:r>
      <w:r w:rsidRPr="00041E4D">
        <w:rPr>
          <w:rFonts w:ascii="Times New Roman" w:hAnsi="Times New Roman"/>
          <w:sz w:val="24"/>
          <w:szCs w:val="24"/>
        </w:rPr>
        <w:t xml:space="preserve"> of the</w:t>
      </w:r>
      <w:r>
        <w:rPr>
          <w:rFonts w:ascii="Times New Roman" w:hAnsi="Times New Roman"/>
          <w:sz w:val="24"/>
          <w:szCs w:val="24"/>
        </w:rPr>
        <w:t xml:space="preserve"> size of financial losses and</w:t>
      </w:r>
      <w:r w:rsidR="005F5C97">
        <w:rPr>
          <w:rFonts w:ascii="Times New Roman" w:hAnsi="Times New Roman"/>
          <w:sz w:val="24"/>
          <w:szCs w:val="24"/>
        </w:rPr>
        <w:t xml:space="preserve"> </w:t>
      </w:r>
      <w:r>
        <w:rPr>
          <w:rFonts w:ascii="Times New Roman" w:hAnsi="Times New Roman"/>
          <w:sz w:val="24"/>
          <w:szCs w:val="24"/>
        </w:rPr>
        <w:t>its</w:t>
      </w:r>
      <w:r w:rsidRPr="00041E4D">
        <w:rPr>
          <w:rFonts w:ascii="Times New Roman" w:hAnsi="Times New Roman"/>
          <w:sz w:val="24"/>
          <w:szCs w:val="24"/>
        </w:rPr>
        <w:t xml:space="preserve"> impact on</w:t>
      </w:r>
      <w:r>
        <w:rPr>
          <w:rFonts w:ascii="Times New Roman" w:hAnsi="Times New Roman"/>
          <w:sz w:val="24"/>
          <w:szCs w:val="24"/>
        </w:rPr>
        <w:t xml:space="preserve"> the overall business, including the</w:t>
      </w:r>
      <w:r w:rsidR="00672FFD">
        <w:rPr>
          <w:rFonts w:ascii="Times New Roman" w:hAnsi="Times New Roman"/>
          <w:sz w:val="24"/>
          <w:szCs w:val="24"/>
        </w:rPr>
        <w:t xml:space="preserve"> capital adequacy. During 202</w:t>
      </w:r>
      <w:r w:rsidR="00A13EE2">
        <w:rPr>
          <w:rFonts w:ascii="Times New Roman" w:hAnsi="Times New Roman"/>
          <w:sz w:val="24"/>
          <w:szCs w:val="24"/>
        </w:rPr>
        <w:t>2</w:t>
      </w:r>
      <w:r w:rsidRPr="00041E4D">
        <w:rPr>
          <w:rFonts w:ascii="Times New Roman" w:hAnsi="Times New Roman"/>
          <w:sz w:val="24"/>
          <w:szCs w:val="24"/>
        </w:rPr>
        <w:t>, the Bank conducted various stress test</w:t>
      </w:r>
      <w:r>
        <w:rPr>
          <w:rFonts w:ascii="Times New Roman" w:hAnsi="Times New Roman"/>
          <w:sz w:val="24"/>
          <w:szCs w:val="24"/>
        </w:rPr>
        <w:t xml:space="preserve"> scenarios</w:t>
      </w:r>
      <w:r w:rsidR="00522D68">
        <w:rPr>
          <w:rFonts w:ascii="Times New Roman" w:hAnsi="Times New Roman"/>
          <w:sz w:val="24"/>
          <w:szCs w:val="24"/>
        </w:rPr>
        <w:t xml:space="preserve">, including a scenario specific to the </w:t>
      </w:r>
      <w:r w:rsidR="00A13EE2">
        <w:rPr>
          <w:rFonts w:ascii="Times New Roman" w:hAnsi="Times New Roman"/>
          <w:sz w:val="24"/>
          <w:szCs w:val="24"/>
        </w:rPr>
        <w:t>Russian-Ukrainian crisis</w:t>
      </w:r>
      <w:r w:rsidR="00522D68">
        <w:rPr>
          <w:rFonts w:ascii="Times New Roman" w:hAnsi="Times New Roman"/>
          <w:sz w:val="24"/>
          <w:szCs w:val="24"/>
        </w:rPr>
        <w:t xml:space="preserve"> adverse conditions,</w:t>
      </w:r>
      <w:r>
        <w:rPr>
          <w:rFonts w:ascii="Times New Roman" w:hAnsi="Times New Roman"/>
          <w:sz w:val="24"/>
          <w:szCs w:val="24"/>
        </w:rPr>
        <w:t xml:space="preserve"> to test itself on the </w:t>
      </w:r>
      <w:r w:rsidRPr="00041E4D">
        <w:rPr>
          <w:rFonts w:ascii="Times New Roman" w:hAnsi="Times New Roman"/>
          <w:sz w:val="24"/>
          <w:szCs w:val="24"/>
        </w:rPr>
        <w:t xml:space="preserve">sensitivity to a predetermined set of extreme but plausible shocks. The stress tests included effects from various scenarios </w:t>
      </w:r>
      <w:r>
        <w:rPr>
          <w:rFonts w:ascii="Times New Roman" w:hAnsi="Times New Roman"/>
          <w:sz w:val="24"/>
          <w:szCs w:val="24"/>
        </w:rPr>
        <w:t>concerning the</w:t>
      </w:r>
      <w:r w:rsidRPr="00041E4D">
        <w:rPr>
          <w:rFonts w:ascii="Times New Roman" w:hAnsi="Times New Roman"/>
          <w:sz w:val="24"/>
          <w:szCs w:val="24"/>
        </w:rPr>
        <w:t xml:space="preserve"> credit risk, interest rate risk in the banking book</w:t>
      </w:r>
      <w:r>
        <w:rPr>
          <w:rFonts w:ascii="Times New Roman" w:hAnsi="Times New Roman"/>
          <w:sz w:val="24"/>
          <w:szCs w:val="24"/>
        </w:rPr>
        <w:t>, liquidity risk, currency risk</w:t>
      </w:r>
      <w:r w:rsidRPr="00041E4D">
        <w:rPr>
          <w:rFonts w:ascii="Times New Roman" w:hAnsi="Times New Roman"/>
          <w:sz w:val="24"/>
          <w:szCs w:val="24"/>
        </w:rPr>
        <w:t xml:space="preserve"> and operational risk, as well as scenarios that involved combination of </w:t>
      </w:r>
      <w:r>
        <w:rPr>
          <w:rFonts w:ascii="Times New Roman" w:hAnsi="Times New Roman"/>
          <w:sz w:val="24"/>
          <w:szCs w:val="24"/>
        </w:rPr>
        <w:t>all</w:t>
      </w:r>
      <w:r w:rsidRPr="00041E4D">
        <w:rPr>
          <w:rFonts w:ascii="Times New Roman" w:hAnsi="Times New Roman"/>
          <w:sz w:val="24"/>
          <w:szCs w:val="24"/>
        </w:rPr>
        <w:t xml:space="preserve"> risks. </w:t>
      </w:r>
    </w:p>
    <w:p w14:paraId="264BC388" w14:textId="77777777" w:rsidR="001227FA" w:rsidRDefault="00D546DD" w:rsidP="00BB27D7">
      <w:pPr>
        <w:spacing w:before="240"/>
        <w:jc w:val="both"/>
        <w:rPr>
          <w:rFonts w:ascii="Times New Roman" w:hAnsi="Times New Roman"/>
          <w:sz w:val="24"/>
          <w:szCs w:val="24"/>
        </w:rPr>
      </w:pPr>
      <w:r w:rsidRPr="00041E4D">
        <w:rPr>
          <w:rFonts w:ascii="Times New Roman" w:hAnsi="Times New Roman"/>
          <w:sz w:val="24"/>
          <w:szCs w:val="24"/>
        </w:rPr>
        <w:t xml:space="preserve">The stress test results proved </w:t>
      </w:r>
      <w:r w:rsidR="0090512E">
        <w:rPr>
          <w:rFonts w:ascii="Times New Roman" w:hAnsi="Times New Roman"/>
          <w:sz w:val="24"/>
          <w:szCs w:val="24"/>
        </w:rPr>
        <w:t xml:space="preserve">that </w:t>
      </w:r>
      <w:r w:rsidRPr="00041E4D">
        <w:rPr>
          <w:rFonts w:ascii="Times New Roman" w:hAnsi="Times New Roman"/>
          <w:sz w:val="24"/>
          <w:szCs w:val="24"/>
        </w:rPr>
        <w:t>the Bank</w:t>
      </w:r>
      <w:r>
        <w:rPr>
          <w:rFonts w:ascii="Times New Roman" w:hAnsi="Times New Roman"/>
          <w:sz w:val="24"/>
          <w:szCs w:val="24"/>
        </w:rPr>
        <w:t xml:space="preserve"> can cope and is resilient </w:t>
      </w:r>
      <w:r w:rsidRPr="00041E4D">
        <w:rPr>
          <w:rFonts w:ascii="Times New Roman" w:hAnsi="Times New Roman"/>
          <w:sz w:val="24"/>
          <w:szCs w:val="24"/>
        </w:rPr>
        <w:t xml:space="preserve">even under very pessimistic assumptions. Such resilience mainly reflects the prudent risk management, </w:t>
      </w:r>
      <w:r>
        <w:rPr>
          <w:rFonts w:ascii="Times New Roman" w:hAnsi="Times New Roman"/>
          <w:sz w:val="24"/>
          <w:szCs w:val="24"/>
        </w:rPr>
        <w:t xml:space="preserve">well-established business model, strategy, systems and procedures that enables self-generating </w:t>
      </w:r>
      <w:r w:rsidRPr="00041E4D">
        <w:rPr>
          <w:rFonts w:ascii="Times New Roman" w:hAnsi="Times New Roman"/>
          <w:sz w:val="24"/>
          <w:szCs w:val="24"/>
        </w:rPr>
        <w:t xml:space="preserve">strong capital base </w:t>
      </w:r>
      <w:r w:rsidR="00677948">
        <w:rPr>
          <w:rFonts w:ascii="Times New Roman" w:hAnsi="Times New Roman"/>
          <w:sz w:val="24"/>
          <w:szCs w:val="24"/>
        </w:rPr>
        <w:t>and</w:t>
      </w:r>
      <w:r w:rsidRPr="00041E4D">
        <w:rPr>
          <w:rFonts w:ascii="Times New Roman" w:hAnsi="Times New Roman"/>
          <w:sz w:val="24"/>
          <w:szCs w:val="24"/>
        </w:rPr>
        <w:t xml:space="preserve"> high liquidity positio</w:t>
      </w:r>
      <w:r>
        <w:rPr>
          <w:rFonts w:ascii="Times New Roman" w:hAnsi="Times New Roman"/>
          <w:sz w:val="24"/>
          <w:szCs w:val="24"/>
        </w:rPr>
        <w:t xml:space="preserve">n, as a strong shield against all possible risks and shocks.  </w:t>
      </w:r>
    </w:p>
    <w:p w14:paraId="439911A5" w14:textId="77777777" w:rsidR="00500DD1" w:rsidRDefault="00500DD1" w:rsidP="00BB27D7">
      <w:pPr>
        <w:spacing w:before="120" w:after="0"/>
        <w:rPr>
          <w:rFonts w:ascii="Times New Roman" w:hAnsi="Times New Roman"/>
          <w:b/>
          <w:bCs/>
          <w:color w:val="000000"/>
          <w:sz w:val="28"/>
          <w:szCs w:val="28"/>
          <w:lang w:eastAsia="en-GB"/>
        </w:rPr>
      </w:pPr>
    </w:p>
    <w:p w14:paraId="6246CD97" w14:textId="77777777" w:rsidR="001227FA" w:rsidRPr="00932791" w:rsidRDefault="00295C3C" w:rsidP="00BB27D7">
      <w:pPr>
        <w:pStyle w:val="Heading2"/>
        <w:spacing w:before="240" w:line="276" w:lineRule="auto"/>
        <w:jc w:val="both"/>
        <w:rPr>
          <w:b w:val="0"/>
          <w:bCs w:val="0"/>
          <w:sz w:val="28"/>
          <w:szCs w:val="28"/>
        </w:rPr>
      </w:pPr>
      <w:bookmarkStart w:id="19" w:name="_Toc133313257"/>
      <w:r w:rsidRPr="00932791">
        <w:rPr>
          <w:sz w:val="28"/>
          <w:szCs w:val="28"/>
        </w:rPr>
        <w:t>Compliance, Anti-Money Laundering and Combat Terrorist Financing activities</w:t>
      </w:r>
      <w:bookmarkEnd w:id="19"/>
    </w:p>
    <w:p w14:paraId="514A1436" w14:textId="138C868A" w:rsidR="00B627E0" w:rsidRDefault="00B627E0" w:rsidP="00BB27D7">
      <w:pPr>
        <w:spacing w:before="360"/>
        <w:jc w:val="both"/>
        <w:rPr>
          <w:rFonts w:ascii="Times New Roman" w:hAnsi="Times New Roman"/>
          <w:sz w:val="24"/>
          <w:szCs w:val="24"/>
        </w:rPr>
      </w:pPr>
      <w:r>
        <w:rPr>
          <w:rFonts w:ascii="Times New Roman" w:hAnsi="Times New Roman"/>
          <w:sz w:val="24"/>
          <w:szCs w:val="24"/>
        </w:rPr>
        <w:t>During 202</w:t>
      </w:r>
      <w:r w:rsidR="004512FE">
        <w:rPr>
          <w:rFonts w:ascii="Times New Roman" w:hAnsi="Times New Roman"/>
          <w:sz w:val="24"/>
          <w:szCs w:val="24"/>
        </w:rPr>
        <w:t>2</w:t>
      </w:r>
      <w:r>
        <w:rPr>
          <w:rFonts w:ascii="Times New Roman" w:hAnsi="Times New Roman"/>
          <w:sz w:val="24"/>
          <w:szCs w:val="24"/>
        </w:rPr>
        <w:t xml:space="preserve">, Compliance Division (CD) undertook vast number of activities for monitoring of the implementation of all relevant novelties in the domestic and international regulations related </w:t>
      </w:r>
      <w:r>
        <w:rPr>
          <w:rFonts w:ascii="Times New Roman" w:hAnsi="Times New Roman"/>
          <w:sz w:val="24"/>
          <w:szCs w:val="24"/>
        </w:rPr>
        <w:lastRenderedPageBreak/>
        <w:t>to banking operations by continuous implementation of efficient system for controlling SB activities that comply with the applicable domestic and international regulations. Such activities included:</w:t>
      </w:r>
    </w:p>
    <w:p w14:paraId="21F64D36" w14:textId="77777777" w:rsidR="00B627E0" w:rsidRPr="00233E51" w:rsidRDefault="00B627E0" w:rsidP="00BB27D7">
      <w:pPr>
        <w:pStyle w:val="ListParagraph"/>
        <w:numPr>
          <w:ilvl w:val="0"/>
          <w:numId w:val="27"/>
        </w:numPr>
        <w:spacing w:line="276" w:lineRule="auto"/>
        <w:jc w:val="both"/>
      </w:pPr>
      <w:r w:rsidRPr="00233E51">
        <w:t>establishing efficient internal procedures and organizational structures for identifying, monitoring and managing the possible risks related to SB’s compliance with current regulations;</w:t>
      </w:r>
    </w:p>
    <w:p w14:paraId="00FCD22F" w14:textId="77777777" w:rsidR="00B627E0" w:rsidRPr="00233E51" w:rsidRDefault="00B627E0" w:rsidP="00BB27D7">
      <w:pPr>
        <w:pStyle w:val="ListParagraph"/>
        <w:numPr>
          <w:ilvl w:val="0"/>
          <w:numId w:val="27"/>
        </w:numPr>
        <w:spacing w:line="276" w:lineRule="auto"/>
        <w:jc w:val="both"/>
      </w:pPr>
      <w:r w:rsidRPr="00233E51">
        <w:t xml:space="preserve">continuous training of Bank employees; </w:t>
      </w:r>
    </w:p>
    <w:p w14:paraId="7E180613" w14:textId="77777777" w:rsidR="00B627E0" w:rsidRPr="00233E51" w:rsidRDefault="00B627E0" w:rsidP="00BB27D7">
      <w:pPr>
        <w:pStyle w:val="ListParagraph"/>
        <w:numPr>
          <w:ilvl w:val="0"/>
          <w:numId w:val="27"/>
        </w:numPr>
        <w:spacing w:line="276" w:lineRule="auto"/>
        <w:jc w:val="both"/>
      </w:pPr>
      <w:r w:rsidRPr="00233E51">
        <w:t xml:space="preserve">regular, at least monthly and semi-annually, reporting to the Board of Directors and Supervisory Board; </w:t>
      </w:r>
    </w:p>
    <w:p w14:paraId="7AADFF29" w14:textId="77777777" w:rsidR="00B627E0" w:rsidRPr="00233E51" w:rsidRDefault="00B627E0" w:rsidP="00BB27D7">
      <w:pPr>
        <w:pStyle w:val="ListParagraph"/>
        <w:numPr>
          <w:ilvl w:val="0"/>
          <w:numId w:val="27"/>
        </w:numPr>
        <w:spacing w:line="276" w:lineRule="auto"/>
        <w:jc w:val="both"/>
      </w:pPr>
      <w:r w:rsidRPr="00233E51">
        <w:t>continuous cooperation with the relevant external institutions in accordance with the Banking Law;</w:t>
      </w:r>
    </w:p>
    <w:p w14:paraId="0022C1CF" w14:textId="77777777" w:rsidR="00B627E0" w:rsidRPr="00233E51" w:rsidRDefault="00B627E0" w:rsidP="00BB27D7">
      <w:pPr>
        <w:pStyle w:val="ListParagraph"/>
        <w:numPr>
          <w:ilvl w:val="0"/>
          <w:numId w:val="27"/>
        </w:numPr>
        <w:spacing w:line="276" w:lineRule="auto"/>
        <w:jc w:val="both"/>
      </w:pPr>
      <w:r w:rsidRPr="00233E51">
        <w:t>regular reporting to the US IRS in accordance with the FATCA law etc.,</w:t>
      </w:r>
    </w:p>
    <w:p w14:paraId="5071C3B1" w14:textId="7ABAF7E4" w:rsidR="00B627E0" w:rsidRDefault="004512FE" w:rsidP="00BB27D7">
      <w:pPr>
        <w:spacing w:before="360"/>
        <w:jc w:val="both"/>
        <w:rPr>
          <w:rFonts w:ascii="Times New Roman" w:hAnsi="Times New Roman"/>
          <w:sz w:val="24"/>
          <w:szCs w:val="24"/>
        </w:rPr>
      </w:pPr>
      <w:r>
        <w:rPr>
          <w:rFonts w:ascii="Times New Roman" w:hAnsi="Times New Roman"/>
          <w:sz w:val="24"/>
          <w:szCs w:val="24"/>
        </w:rPr>
        <w:t>T</w:t>
      </w:r>
      <w:r w:rsidR="00B627E0">
        <w:rPr>
          <w:rFonts w:ascii="Times New Roman" w:hAnsi="Times New Roman"/>
          <w:sz w:val="24"/>
          <w:szCs w:val="24"/>
        </w:rPr>
        <w:t>hus ensuring good reputation and credibility of SB before its shareholders, clients, investors, regulatory and supervisory authorities and other relevant stakeholders as well as developing Compliance Culture among all SB employees.</w:t>
      </w:r>
    </w:p>
    <w:p w14:paraId="376D3E8F" w14:textId="4DEBE31B" w:rsidR="00B627E0" w:rsidRPr="00CB6ED2" w:rsidRDefault="00B627E0" w:rsidP="00BB27D7">
      <w:pPr>
        <w:jc w:val="both"/>
        <w:rPr>
          <w:rFonts w:ascii="Times New Roman" w:hAnsi="Times New Roman"/>
          <w:sz w:val="24"/>
          <w:szCs w:val="24"/>
        </w:rPr>
      </w:pPr>
      <w:r>
        <w:rPr>
          <w:rFonts w:ascii="Times New Roman" w:hAnsi="Times New Roman"/>
          <w:sz w:val="24"/>
          <w:szCs w:val="24"/>
        </w:rPr>
        <w:t>Considering Anti-Money Laundering (AML) and Combat Terrorist Financing (CTF) Activities, during 202</w:t>
      </w:r>
      <w:r w:rsidR="004512FE">
        <w:rPr>
          <w:rFonts w:ascii="Times New Roman" w:hAnsi="Times New Roman"/>
          <w:sz w:val="24"/>
          <w:szCs w:val="24"/>
        </w:rPr>
        <w:t>2</w:t>
      </w:r>
      <w:r>
        <w:rPr>
          <w:rFonts w:ascii="Times New Roman" w:hAnsi="Times New Roman"/>
          <w:sz w:val="24"/>
          <w:szCs w:val="24"/>
        </w:rPr>
        <w:t>, CD realized series of activities for implementation of measures and activities prescribed in the AML and CTF Law (Law), as well as for improvement and further upgrade of internal systems and processes used by the CD on a daily basis. Moreover, in 202</w:t>
      </w:r>
      <w:r w:rsidR="004512FE">
        <w:rPr>
          <w:rFonts w:ascii="Times New Roman" w:hAnsi="Times New Roman"/>
          <w:sz w:val="24"/>
          <w:szCs w:val="24"/>
        </w:rPr>
        <w:t>2</w:t>
      </w:r>
      <w:r>
        <w:rPr>
          <w:rFonts w:ascii="Times New Roman" w:hAnsi="Times New Roman"/>
          <w:sz w:val="24"/>
          <w:szCs w:val="24"/>
        </w:rPr>
        <w:t xml:space="preserve"> the number of staff employed in CD </w:t>
      </w:r>
      <w:proofErr w:type="gramStart"/>
      <w:r>
        <w:rPr>
          <w:rFonts w:ascii="Times New Roman" w:hAnsi="Times New Roman"/>
          <w:sz w:val="24"/>
          <w:szCs w:val="24"/>
        </w:rPr>
        <w:t>was maintained</w:t>
      </w:r>
      <w:proofErr w:type="gramEnd"/>
      <w:r>
        <w:rPr>
          <w:rFonts w:ascii="Times New Roman" w:hAnsi="Times New Roman"/>
          <w:sz w:val="24"/>
          <w:szCs w:val="24"/>
        </w:rPr>
        <w:t xml:space="preserve"> accordingly in accordance with the requirements from the Law.</w:t>
      </w:r>
    </w:p>
    <w:p w14:paraId="7505D354" w14:textId="77777777" w:rsidR="0003797B" w:rsidRPr="00B627E0" w:rsidRDefault="00B627E0" w:rsidP="00BB27D7">
      <w:pPr>
        <w:autoSpaceDE w:val="0"/>
        <w:autoSpaceDN w:val="0"/>
        <w:adjustRightInd w:val="0"/>
        <w:spacing w:before="240"/>
        <w:jc w:val="both"/>
        <w:rPr>
          <w:rFonts w:ascii="Times New Roman" w:hAnsi="Times New Roman"/>
          <w:sz w:val="24"/>
          <w:szCs w:val="24"/>
        </w:rPr>
      </w:pPr>
      <w:r>
        <w:rPr>
          <w:rFonts w:ascii="Times New Roman" w:hAnsi="Times New Roman"/>
          <w:sz w:val="24"/>
          <w:szCs w:val="24"/>
        </w:rPr>
        <w:t>Compliance Division continues to carry out its regular activities in order to sustain and bolster overall compliance culture within SB as well as to achieve overall compliance of Bank’s operations with the relevant regulations as its main objective.</w:t>
      </w:r>
      <w:r w:rsidR="00C93AFE">
        <w:rPr>
          <w:rFonts w:ascii="Times New Roman" w:hAnsi="Times New Roman"/>
          <w:sz w:val="24"/>
          <w:szCs w:val="24"/>
        </w:rPr>
        <w:t xml:space="preserve"> </w:t>
      </w:r>
    </w:p>
    <w:p w14:paraId="14558D22" w14:textId="77777777" w:rsidR="00196F45" w:rsidRDefault="00196F45" w:rsidP="00BB27D7">
      <w:pPr>
        <w:pStyle w:val="Heading2"/>
        <w:spacing w:before="240" w:line="276" w:lineRule="auto"/>
        <w:jc w:val="both"/>
        <w:rPr>
          <w:sz w:val="28"/>
          <w:szCs w:val="28"/>
        </w:rPr>
      </w:pPr>
      <w:bookmarkStart w:id="20" w:name="_Toc133313258"/>
    </w:p>
    <w:p w14:paraId="7B89467B" w14:textId="6665F577" w:rsidR="00B1341B" w:rsidRPr="00932791" w:rsidRDefault="00B1341B" w:rsidP="00BB27D7">
      <w:pPr>
        <w:pStyle w:val="Heading2"/>
        <w:spacing w:before="240" w:line="276" w:lineRule="auto"/>
        <w:jc w:val="both"/>
        <w:rPr>
          <w:b w:val="0"/>
          <w:bCs w:val="0"/>
          <w:sz w:val="28"/>
          <w:szCs w:val="28"/>
        </w:rPr>
      </w:pPr>
      <w:r w:rsidRPr="00932791">
        <w:rPr>
          <w:sz w:val="28"/>
          <w:szCs w:val="28"/>
        </w:rPr>
        <w:t>Personal Data Protection</w:t>
      </w:r>
      <w:bookmarkEnd w:id="20"/>
    </w:p>
    <w:p w14:paraId="4DA4A31F" w14:textId="77777777" w:rsidR="009A1E6F" w:rsidRPr="009A1E6F" w:rsidRDefault="009A1E6F" w:rsidP="00BB27D7">
      <w:pPr>
        <w:autoSpaceDE w:val="0"/>
        <w:autoSpaceDN w:val="0"/>
        <w:adjustRightInd w:val="0"/>
        <w:spacing w:before="240"/>
        <w:jc w:val="both"/>
        <w:rPr>
          <w:rFonts w:ascii="Times New Roman" w:hAnsi="Times New Roman"/>
          <w:bCs/>
          <w:color w:val="000000"/>
          <w:sz w:val="24"/>
          <w:lang w:eastAsia="en-GB"/>
        </w:rPr>
      </w:pPr>
      <w:r w:rsidRPr="009A1E6F">
        <w:rPr>
          <w:rFonts w:ascii="Times New Roman" w:hAnsi="Times New Roman"/>
          <w:bCs/>
          <w:color w:val="000000"/>
          <w:sz w:val="24"/>
          <w:lang w:eastAsia="en-GB"/>
        </w:rPr>
        <w:t xml:space="preserve">Privacy and the confidentiality of its clients is of utmost importance for Stopanska Banka, having in mind the nature of the banking business and the data that the banks are collecting for their daily operations. </w:t>
      </w:r>
    </w:p>
    <w:p w14:paraId="4012B50D" w14:textId="77777777" w:rsidR="009A1E6F" w:rsidRPr="009A1E6F" w:rsidRDefault="009A1E6F" w:rsidP="00BB27D7">
      <w:pPr>
        <w:autoSpaceDE w:val="0"/>
        <w:autoSpaceDN w:val="0"/>
        <w:adjustRightInd w:val="0"/>
        <w:spacing w:before="240"/>
        <w:jc w:val="both"/>
        <w:rPr>
          <w:rFonts w:ascii="Times New Roman" w:hAnsi="Times New Roman"/>
          <w:bCs/>
          <w:color w:val="000000"/>
          <w:sz w:val="24"/>
          <w:lang w:eastAsia="en-GB"/>
        </w:rPr>
      </w:pPr>
      <w:r w:rsidRPr="009A1E6F">
        <w:rPr>
          <w:rFonts w:ascii="Times New Roman" w:hAnsi="Times New Roman"/>
          <w:bCs/>
          <w:color w:val="000000"/>
          <w:sz w:val="24"/>
          <w:lang w:eastAsia="en-GB"/>
        </w:rPr>
        <w:t>In accordance with the Law on Personal Data Protection, the Bank has appointed Officer for Personal Data Protection and is undertaking various ongoing activities that are ensuring that the personal data are:</w:t>
      </w:r>
    </w:p>
    <w:p w14:paraId="28B896EE" w14:textId="77777777" w:rsidR="009A1E6F" w:rsidRPr="009A1E6F" w:rsidRDefault="009A1E6F" w:rsidP="00BB27D7">
      <w:pPr>
        <w:numPr>
          <w:ilvl w:val="0"/>
          <w:numId w:val="41"/>
        </w:numPr>
        <w:autoSpaceDE w:val="0"/>
        <w:autoSpaceDN w:val="0"/>
        <w:adjustRightInd w:val="0"/>
        <w:spacing w:before="240"/>
        <w:jc w:val="both"/>
        <w:rPr>
          <w:rFonts w:ascii="Times New Roman" w:hAnsi="Times New Roman"/>
          <w:bCs/>
          <w:color w:val="000000"/>
          <w:sz w:val="24"/>
          <w:lang w:eastAsia="en-GB"/>
        </w:rPr>
      </w:pPr>
      <w:r w:rsidRPr="009A1E6F">
        <w:rPr>
          <w:rFonts w:ascii="Times New Roman" w:hAnsi="Times New Roman"/>
          <w:bCs/>
          <w:color w:val="000000"/>
          <w:sz w:val="24"/>
          <w:lang w:eastAsia="en-GB"/>
        </w:rPr>
        <w:t>collected in an ethical and lawful manner,</w:t>
      </w:r>
    </w:p>
    <w:p w14:paraId="4C82EED1" w14:textId="77777777" w:rsidR="009A1E6F" w:rsidRPr="009A1E6F" w:rsidRDefault="009A1E6F" w:rsidP="00BB27D7">
      <w:pPr>
        <w:numPr>
          <w:ilvl w:val="0"/>
          <w:numId w:val="41"/>
        </w:numPr>
        <w:autoSpaceDE w:val="0"/>
        <w:autoSpaceDN w:val="0"/>
        <w:adjustRightInd w:val="0"/>
        <w:spacing w:before="240"/>
        <w:jc w:val="both"/>
        <w:rPr>
          <w:rFonts w:ascii="Times New Roman" w:hAnsi="Times New Roman"/>
          <w:bCs/>
          <w:color w:val="000000"/>
          <w:sz w:val="24"/>
          <w:lang w:eastAsia="en-GB"/>
        </w:rPr>
      </w:pPr>
      <w:r w:rsidRPr="009A1E6F">
        <w:rPr>
          <w:rFonts w:ascii="Times New Roman" w:hAnsi="Times New Roman"/>
          <w:bCs/>
          <w:color w:val="000000"/>
          <w:sz w:val="24"/>
          <w:lang w:eastAsia="en-GB"/>
        </w:rPr>
        <w:lastRenderedPageBreak/>
        <w:t>collected for specific, explicit and legal purposes, and</w:t>
      </w:r>
    </w:p>
    <w:p w14:paraId="5610B745" w14:textId="77777777" w:rsidR="009A1E6F" w:rsidRPr="009A1E6F" w:rsidRDefault="009A1E6F" w:rsidP="00BB27D7">
      <w:pPr>
        <w:numPr>
          <w:ilvl w:val="0"/>
          <w:numId w:val="41"/>
        </w:numPr>
        <w:autoSpaceDE w:val="0"/>
        <w:autoSpaceDN w:val="0"/>
        <w:adjustRightInd w:val="0"/>
        <w:spacing w:before="240"/>
        <w:jc w:val="both"/>
        <w:rPr>
          <w:rFonts w:ascii="Times New Roman" w:hAnsi="Times New Roman"/>
          <w:bCs/>
          <w:color w:val="000000"/>
          <w:sz w:val="24"/>
          <w:lang w:eastAsia="en-GB"/>
        </w:rPr>
      </w:pPr>
      <w:proofErr w:type="gramStart"/>
      <w:r w:rsidRPr="009A1E6F">
        <w:rPr>
          <w:rFonts w:ascii="Times New Roman" w:hAnsi="Times New Roman"/>
          <w:bCs/>
          <w:color w:val="000000"/>
          <w:sz w:val="24"/>
          <w:lang w:eastAsia="en-GB"/>
        </w:rPr>
        <w:t>kept</w:t>
      </w:r>
      <w:proofErr w:type="gramEnd"/>
      <w:r w:rsidRPr="009A1E6F">
        <w:rPr>
          <w:rFonts w:ascii="Times New Roman" w:hAnsi="Times New Roman"/>
          <w:bCs/>
          <w:color w:val="000000"/>
          <w:sz w:val="24"/>
          <w:lang w:eastAsia="en-GB"/>
        </w:rPr>
        <w:t xml:space="preserve"> securely and only for the time period provided for the fulfillment of the purposes of collection and processing.</w:t>
      </w:r>
    </w:p>
    <w:p w14:paraId="5A53A8C2" w14:textId="77777777" w:rsidR="009A1E6F" w:rsidRPr="009A1E6F" w:rsidRDefault="009A1E6F" w:rsidP="00BB27D7">
      <w:pPr>
        <w:autoSpaceDE w:val="0"/>
        <w:autoSpaceDN w:val="0"/>
        <w:adjustRightInd w:val="0"/>
        <w:spacing w:before="240"/>
        <w:jc w:val="both"/>
        <w:rPr>
          <w:rFonts w:ascii="Times New Roman" w:hAnsi="Times New Roman"/>
          <w:sz w:val="24"/>
        </w:rPr>
      </w:pPr>
      <w:r w:rsidRPr="009A1E6F">
        <w:rPr>
          <w:rFonts w:ascii="Times New Roman" w:hAnsi="Times New Roman"/>
          <w:sz w:val="24"/>
        </w:rPr>
        <w:t xml:space="preserve">SB has a wide range of technological, administrative, organizational and physical security measures designed to safeguard the confidentiality, integrity and availability of personal information. In this respect, to be responsive to the client’s needs, the Bank has established complaints resolution protocol and data incident protocol wherein it reviews all data protection complaints or data subject rights requests by its clients and are resolving any issue within reasonable timeframe, ensuring the data subjects that the Bank is keeping secure and using their data lawfully. </w:t>
      </w:r>
    </w:p>
    <w:p w14:paraId="567DFA62" w14:textId="77777777" w:rsidR="009A1E6F" w:rsidRPr="009A1E6F" w:rsidRDefault="009A1E6F" w:rsidP="00BB27D7">
      <w:pPr>
        <w:autoSpaceDE w:val="0"/>
        <w:autoSpaceDN w:val="0"/>
        <w:adjustRightInd w:val="0"/>
        <w:spacing w:before="240"/>
        <w:jc w:val="both"/>
        <w:rPr>
          <w:rFonts w:ascii="Times New Roman" w:hAnsi="Times New Roman"/>
          <w:sz w:val="24"/>
        </w:rPr>
      </w:pPr>
      <w:r w:rsidRPr="009A1E6F">
        <w:rPr>
          <w:rFonts w:ascii="Times New Roman" w:hAnsi="Times New Roman"/>
          <w:sz w:val="24"/>
        </w:rPr>
        <w:t xml:space="preserve">More information on how SB collects, processes, uses, shares and disposes personal information, as well as rights that individuals have with respect to their personal information, is available on SB website within the Privacy Policy and upon request through multiple channels. </w:t>
      </w:r>
    </w:p>
    <w:p w14:paraId="3867D222" w14:textId="0D1B4E39" w:rsidR="002D23DF" w:rsidRDefault="002D23DF" w:rsidP="00BB27D7">
      <w:pPr>
        <w:autoSpaceDE w:val="0"/>
        <w:autoSpaceDN w:val="0"/>
        <w:adjustRightInd w:val="0"/>
        <w:spacing w:before="240"/>
        <w:jc w:val="both"/>
        <w:rPr>
          <w:rFonts w:asciiTheme="minorHAnsi" w:hAnsiTheme="minorHAnsi" w:cstheme="minorHAnsi"/>
        </w:rPr>
      </w:pPr>
    </w:p>
    <w:p w14:paraId="13736186" w14:textId="77777777" w:rsidR="00EC708E" w:rsidRPr="00BB27D7" w:rsidRDefault="00EC708E" w:rsidP="00BB27D7">
      <w:pPr>
        <w:pStyle w:val="Heading1"/>
        <w:spacing w:line="276" w:lineRule="auto"/>
        <w:rPr>
          <w:b/>
          <w:lang w:eastAsia="en-GB"/>
        </w:rPr>
      </w:pPr>
      <w:bookmarkStart w:id="21" w:name="_Toc133313259"/>
      <w:r w:rsidRPr="00BB27D7">
        <w:rPr>
          <w:b/>
          <w:lang w:eastAsia="en-GB"/>
        </w:rPr>
        <w:t>CORPORATE GOVERNANCE REPORT 2022</w:t>
      </w:r>
      <w:bookmarkEnd w:id="21"/>
    </w:p>
    <w:p w14:paraId="4C711929" w14:textId="77777777" w:rsidR="00EC708E" w:rsidRPr="009A1E6F" w:rsidRDefault="00EC708E" w:rsidP="00BB27D7">
      <w:pPr>
        <w:autoSpaceDE w:val="0"/>
        <w:autoSpaceDN w:val="0"/>
        <w:adjustRightInd w:val="0"/>
        <w:spacing w:before="240"/>
        <w:jc w:val="both"/>
        <w:rPr>
          <w:rFonts w:ascii="Times New Roman" w:hAnsi="Times New Roman"/>
          <w:sz w:val="24"/>
          <w:szCs w:val="24"/>
        </w:rPr>
      </w:pPr>
      <w:r w:rsidRPr="009A1E6F">
        <w:rPr>
          <w:rFonts w:ascii="Times New Roman" w:hAnsi="Times New Roman"/>
          <w:sz w:val="24"/>
          <w:szCs w:val="24"/>
        </w:rPr>
        <w:t xml:space="preserve">Stopanska Banka AD – Skopje is one of the largest, most profitable and sound systemic banks in the country with highly sophisticated and effective system of corporate governance established by following the best practices, NBG Group standards, the relevant regulation and the strategic needs of the Bank and its stakeholders. Responsible corporate governance is the highest priority for the Bank that supports the full implementation of its business plan with operational excellence and integrity. </w:t>
      </w:r>
    </w:p>
    <w:p w14:paraId="29DF1EAD" w14:textId="78ECB324" w:rsidR="00EC708E" w:rsidRPr="009A1E6F" w:rsidRDefault="00EC708E" w:rsidP="00BB27D7">
      <w:pPr>
        <w:autoSpaceDE w:val="0"/>
        <w:autoSpaceDN w:val="0"/>
        <w:adjustRightInd w:val="0"/>
        <w:spacing w:before="240"/>
        <w:jc w:val="both"/>
        <w:rPr>
          <w:rFonts w:ascii="Times New Roman" w:hAnsi="Times New Roman"/>
          <w:sz w:val="24"/>
          <w:szCs w:val="24"/>
        </w:rPr>
      </w:pPr>
      <w:r w:rsidRPr="009A1E6F">
        <w:rPr>
          <w:rFonts w:ascii="Times New Roman" w:hAnsi="Times New Roman"/>
          <w:sz w:val="24"/>
          <w:szCs w:val="24"/>
        </w:rPr>
        <w:t xml:space="preserve">The following Report </w:t>
      </w:r>
      <w:proofErr w:type="gramStart"/>
      <w:r w:rsidRPr="009A1E6F">
        <w:rPr>
          <w:rFonts w:ascii="Times New Roman" w:hAnsi="Times New Roman"/>
          <w:sz w:val="24"/>
          <w:szCs w:val="24"/>
        </w:rPr>
        <w:t>is presented</w:t>
      </w:r>
      <w:proofErr w:type="gramEnd"/>
      <w:r w:rsidRPr="009A1E6F">
        <w:rPr>
          <w:rFonts w:ascii="Times New Roman" w:hAnsi="Times New Roman"/>
          <w:sz w:val="24"/>
          <w:szCs w:val="24"/>
        </w:rPr>
        <w:t xml:space="preserve"> to the shareholders of SB and the public in accordance with the </w:t>
      </w:r>
      <w:r w:rsidR="00E4741F" w:rsidRPr="009A1E6F">
        <w:rPr>
          <w:rFonts w:ascii="Times New Roman" w:hAnsi="Times New Roman"/>
          <w:sz w:val="24"/>
          <w:szCs w:val="24"/>
          <w:lang w:val="mk-MK"/>
        </w:rPr>
        <w:t>Law on Trade Companies</w:t>
      </w:r>
      <w:r w:rsidR="00E4741F">
        <w:rPr>
          <w:rFonts w:ascii="Times New Roman" w:hAnsi="Times New Roman"/>
          <w:sz w:val="24"/>
          <w:szCs w:val="24"/>
        </w:rPr>
        <w:t xml:space="preserve">, the </w:t>
      </w:r>
      <w:r w:rsidRPr="009A1E6F">
        <w:rPr>
          <w:rFonts w:ascii="Times New Roman" w:hAnsi="Times New Roman"/>
          <w:sz w:val="24"/>
          <w:szCs w:val="24"/>
        </w:rPr>
        <w:t>Decision on good corporate governance rules for banks</w:t>
      </w:r>
      <w:r w:rsidR="00E4741F">
        <w:rPr>
          <w:rFonts w:ascii="Times New Roman" w:hAnsi="Times New Roman"/>
          <w:sz w:val="24"/>
          <w:szCs w:val="24"/>
        </w:rPr>
        <w:t xml:space="preserve"> issued by National Bank of Republic of North Macedonia and Corporate Governance Code for listed companies on the Macedonian Stock Exchange</w:t>
      </w:r>
      <w:r w:rsidRPr="009A1E6F">
        <w:rPr>
          <w:rFonts w:ascii="Times New Roman" w:hAnsi="Times New Roman"/>
          <w:sz w:val="24"/>
          <w:szCs w:val="24"/>
        </w:rPr>
        <w:t xml:space="preserve">. </w:t>
      </w:r>
    </w:p>
    <w:p w14:paraId="6FA89216" w14:textId="77777777" w:rsidR="00EC708E" w:rsidRPr="009A1E6F" w:rsidRDefault="00EC708E" w:rsidP="00BB27D7">
      <w:pPr>
        <w:autoSpaceDE w:val="0"/>
        <w:autoSpaceDN w:val="0"/>
        <w:adjustRightInd w:val="0"/>
        <w:spacing w:before="240"/>
        <w:ind w:left="90"/>
        <w:jc w:val="both"/>
        <w:rPr>
          <w:rFonts w:ascii="Times New Roman" w:eastAsia="Times New Roman" w:hAnsi="Times New Roman"/>
          <w:color w:val="000000"/>
          <w:sz w:val="24"/>
          <w:szCs w:val="24"/>
          <w:lang w:eastAsia="en-GB"/>
        </w:rPr>
      </w:pPr>
      <w:r w:rsidRPr="009A1E6F">
        <w:rPr>
          <w:rFonts w:ascii="Times New Roman" w:eastAsia="Times New Roman" w:hAnsi="Times New Roman"/>
          <w:b/>
          <w:bCs/>
          <w:color w:val="000000"/>
          <w:sz w:val="24"/>
          <w:szCs w:val="24"/>
          <w:lang w:eastAsia="en-GB"/>
        </w:rPr>
        <w:t>1. SB Bodies</w:t>
      </w:r>
    </w:p>
    <w:p w14:paraId="30F93B85" w14:textId="77777777" w:rsidR="00EC708E" w:rsidRPr="009A1E6F" w:rsidRDefault="00EC708E" w:rsidP="00BB27D7">
      <w:pPr>
        <w:autoSpaceDE w:val="0"/>
        <w:autoSpaceDN w:val="0"/>
        <w:adjustRightInd w:val="0"/>
        <w:spacing w:before="240"/>
        <w:ind w:left="90"/>
        <w:rPr>
          <w:rFonts w:ascii="Times New Roman" w:eastAsia="Times New Roman" w:hAnsi="Times New Roman"/>
          <w:color w:val="000000"/>
          <w:sz w:val="24"/>
          <w:szCs w:val="24"/>
          <w:lang w:eastAsia="en-GB"/>
        </w:rPr>
      </w:pPr>
      <w:r w:rsidRPr="009A1E6F">
        <w:rPr>
          <w:rFonts w:ascii="Times New Roman" w:eastAsia="Times New Roman" w:hAnsi="Times New Roman"/>
          <w:b/>
          <w:bCs/>
          <w:color w:val="000000"/>
          <w:sz w:val="24"/>
          <w:szCs w:val="24"/>
          <w:lang w:eastAsia="en-GB"/>
        </w:rPr>
        <w:t xml:space="preserve">1.1. SUPERVISORY BOARD </w:t>
      </w:r>
    </w:p>
    <w:p w14:paraId="646D3BF3" w14:textId="77777777" w:rsidR="00EC708E" w:rsidRPr="009A1E6F" w:rsidRDefault="00EC708E" w:rsidP="00BB27D7">
      <w:pPr>
        <w:autoSpaceDE w:val="0"/>
        <w:autoSpaceDN w:val="0"/>
        <w:adjustRightInd w:val="0"/>
        <w:spacing w:before="240"/>
        <w:jc w:val="both"/>
        <w:rPr>
          <w:rFonts w:ascii="Times New Roman" w:hAnsi="Times New Roman"/>
          <w:sz w:val="24"/>
          <w:szCs w:val="24"/>
        </w:rPr>
      </w:pPr>
      <w:r w:rsidRPr="009A1E6F">
        <w:rPr>
          <w:rFonts w:ascii="Times New Roman" w:hAnsi="Times New Roman"/>
          <w:sz w:val="24"/>
          <w:szCs w:val="24"/>
        </w:rPr>
        <w:t xml:space="preserve">The Supervisory Board of Stopanska Banka AD – Skopje consists of </w:t>
      </w:r>
      <w:proofErr w:type="gramStart"/>
      <w:r w:rsidRPr="009A1E6F">
        <w:rPr>
          <w:rFonts w:ascii="Times New Roman" w:hAnsi="Times New Roman"/>
          <w:sz w:val="24"/>
          <w:szCs w:val="24"/>
        </w:rPr>
        <w:t>7</w:t>
      </w:r>
      <w:proofErr w:type="gramEnd"/>
      <w:r w:rsidRPr="009A1E6F">
        <w:rPr>
          <w:rFonts w:ascii="Times New Roman" w:hAnsi="Times New Roman"/>
          <w:sz w:val="24"/>
          <w:szCs w:val="24"/>
        </w:rPr>
        <w:t xml:space="preserve"> members, out of which 2 are independent ones, with the term of office determined to four years, appointed by the Shareholders Assembly. The composition of the Supervisory Board in 2022 is as follows:</w:t>
      </w:r>
    </w:p>
    <w:p w14:paraId="4DA1C2ED" w14:textId="77777777" w:rsidR="00EC708E" w:rsidRPr="009A1E6F" w:rsidRDefault="00EC708E" w:rsidP="00BB27D7">
      <w:pPr>
        <w:pStyle w:val="ListParagraph"/>
        <w:numPr>
          <w:ilvl w:val="0"/>
          <w:numId w:val="18"/>
        </w:numPr>
        <w:autoSpaceDE w:val="0"/>
        <w:autoSpaceDN w:val="0"/>
        <w:adjustRightInd w:val="0"/>
        <w:spacing w:line="276" w:lineRule="auto"/>
        <w:ind w:left="540"/>
        <w:jc w:val="both"/>
        <w:rPr>
          <w:color w:val="000000"/>
          <w:lang w:eastAsia="en-GB"/>
        </w:rPr>
      </w:pPr>
      <w:r w:rsidRPr="009A1E6F">
        <w:rPr>
          <w:color w:val="000000"/>
          <w:lang w:eastAsia="en-GB"/>
        </w:rPr>
        <w:t xml:space="preserve">Marinis Stratopoulos, </w:t>
      </w:r>
      <w:r w:rsidRPr="009A1E6F">
        <w:rPr>
          <w:b/>
          <w:bCs/>
          <w:color w:val="000000"/>
          <w:lang w:eastAsia="en-GB"/>
        </w:rPr>
        <w:t xml:space="preserve">Chairman, </w:t>
      </w:r>
      <w:r w:rsidRPr="009A1E6F">
        <w:rPr>
          <w:bCs/>
          <w:color w:val="000000"/>
          <w:lang w:eastAsia="en-GB"/>
        </w:rPr>
        <w:t>CEO of NBG Cyprus Ltd.</w:t>
      </w:r>
      <w:r w:rsidRPr="009A1E6F">
        <w:rPr>
          <w:color w:val="000000"/>
          <w:lang w:eastAsia="en-GB"/>
        </w:rPr>
        <w:t>;</w:t>
      </w:r>
    </w:p>
    <w:p w14:paraId="51BFDC48" w14:textId="77777777" w:rsidR="00EC708E" w:rsidRPr="009A1E6F" w:rsidRDefault="00EC708E" w:rsidP="00BB27D7">
      <w:pPr>
        <w:pStyle w:val="ListParagraph"/>
        <w:numPr>
          <w:ilvl w:val="0"/>
          <w:numId w:val="18"/>
        </w:numPr>
        <w:autoSpaceDE w:val="0"/>
        <w:autoSpaceDN w:val="0"/>
        <w:adjustRightInd w:val="0"/>
        <w:spacing w:line="276" w:lineRule="auto"/>
        <w:ind w:left="540"/>
        <w:jc w:val="both"/>
        <w:rPr>
          <w:color w:val="000000"/>
          <w:lang w:eastAsia="en-GB"/>
        </w:rPr>
      </w:pPr>
      <w:r w:rsidRPr="009A1E6F">
        <w:rPr>
          <w:color w:val="000000"/>
          <w:lang w:eastAsia="en-GB"/>
        </w:rPr>
        <w:t xml:space="preserve">Christodoulou Christodoulos, Chief Financial Officer, National Bank of Greece S.A. Athens; </w:t>
      </w:r>
    </w:p>
    <w:p w14:paraId="48729C5C" w14:textId="77777777" w:rsidR="00EC708E" w:rsidRPr="009A1E6F" w:rsidRDefault="00EC708E" w:rsidP="00BB27D7">
      <w:pPr>
        <w:pStyle w:val="ListParagraph"/>
        <w:numPr>
          <w:ilvl w:val="0"/>
          <w:numId w:val="18"/>
        </w:numPr>
        <w:autoSpaceDE w:val="0"/>
        <w:autoSpaceDN w:val="0"/>
        <w:adjustRightInd w:val="0"/>
        <w:spacing w:line="276" w:lineRule="auto"/>
        <w:ind w:left="540"/>
        <w:jc w:val="both"/>
        <w:rPr>
          <w:color w:val="000000"/>
          <w:lang w:eastAsia="en-GB"/>
        </w:rPr>
      </w:pPr>
      <w:r w:rsidRPr="009A1E6F">
        <w:rPr>
          <w:color w:val="000000"/>
          <w:lang w:eastAsia="en-GB"/>
        </w:rPr>
        <w:lastRenderedPageBreak/>
        <w:t xml:space="preserve">Dimitra Gkountoufa, </w:t>
      </w:r>
      <w:r w:rsidRPr="009A1E6F">
        <w:rPr>
          <w:b/>
          <w:color w:val="000000"/>
          <w:lang w:eastAsia="en-GB"/>
        </w:rPr>
        <w:t xml:space="preserve">member, </w:t>
      </w:r>
      <w:r w:rsidRPr="009A1E6F">
        <w:rPr>
          <w:color w:val="000000"/>
          <w:lang w:eastAsia="en-GB"/>
        </w:rPr>
        <w:t>Director in CEO Office, National Bank of Greece S.A. Athens;</w:t>
      </w:r>
    </w:p>
    <w:p w14:paraId="6FE545F8" w14:textId="77777777" w:rsidR="00EC708E" w:rsidRPr="009A1E6F" w:rsidRDefault="00EC708E" w:rsidP="00BB27D7">
      <w:pPr>
        <w:pStyle w:val="ListParagraph"/>
        <w:numPr>
          <w:ilvl w:val="0"/>
          <w:numId w:val="18"/>
        </w:numPr>
        <w:autoSpaceDE w:val="0"/>
        <w:autoSpaceDN w:val="0"/>
        <w:adjustRightInd w:val="0"/>
        <w:spacing w:line="276" w:lineRule="auto"/>
        <w:ind w:left="540"/>
        <w:jc w:val="both"/>
        <w:rPr>
          <w:color w:val="000000"/>
          <w:lang w:eastAsia="en-GB"/>
        </w:rPr>
      </w:pPr>
      <w:r w:rsidRPr="009A1E6F">
        <w:rPr>
          <w:color w:val="000000"/>
          <w:lang w:eastAsia="en-GB"/>
        </w:rPr>
        <w:t xml:space="preserve">Ioannis Kagioulis, </w:t>
      </w:r>
      <w:r w:rsidRPr="009A1E6F">
        <w:rPr>
          <w:b/>
          <w:color w:val="000000"/>
          <w:lang w:eastAsia="en-GB"/>
        </w:rPr>
        <w:t xml:space="preserve">member, </w:t>
      </w:r>
      <w:r w:rsidRPr="009A1E6F">
        <w:rPr>
          <w:color w:val="000000"/>
          <w:lang w:eastAsia="en-GB"/>
        </w:rPr>
        <w:t>Head of Group Risk Culture and Risk PMO Division, National Bank of Greece S.A. Athens;</w:t>
      </w:r>
    </w:p>
    <w:p w14:paraId="49BA1F0C" w14:textId="77777777" w:rsidR="00EC708E" w:rsidRPr="009A1E6F" w:rsidRDefault="00EC708E" w:rsidP="00BB27D7">
      <w:pPr>
        <w:pStyle w:val="ListParagraph"/>
        <w:numPr>
          <w:ilvl w:val="0"/>
          <w:numId w:val="18"/>
        </w:numPr>
        <w:autoSpaceDE w:val="0"/>
        <w:autoSpaceDN w:val="0"/>
        <w:adjustRightInd w:val="0"/>
        <w:spacing w:line="276" w:lineRule="auto"/>
        <w:ind w:left="540"/>
        <w:jc w:val="both"/>
        <w:rPr>
          <w:color w:val="000000"/>
          <w:lang w:eastAsia="en-GB"/>
        </w:rPr>
      </w:pPr>
      <w:r w:rsidRPr="009A1E6F">
        <w:rPr>
          <w:color w:val="000000"/>
          <w:lang w:eastAsia="en-GB"/>
        </w:rPr>
        <w:t xml:space="preserve">Vladimir Filipovski, </w:t>
      </w:r>
      <w:r w:rsidRPr="009A1E6F">
        <w:rPr>
          <w:b/>
          <w:color w:val="000000"/>
          <w:lang w:eastAsia="en-GB"/>
        </w:rPr>
        <w:t xml:space="preserve">independent member, </w:t>
      </w:r>
      <w:r w:rsidRPr="009A1E6F">
        <w:rPr>
          <w:color w:val="000000"/>
          <w:lang w:eastAsia="en-GB"/>
        </w:rPr>
        <w:t>Professor, Faculty of Economics at University “St. Cyril and Methodius” Skopje;</w:t>
      </w:r>
    </w:p>
    <w:p w14:paraId="0445F531" w14:textId="77777777" w:rsidR="00EC708E" w:rsidRPr="009A1E6F" w:rsidRDefault="00EC708E" w:rsidP="00BB27D7">
      <w:pPr>
        <w:pStyle w:val="ListParagraph"/>
        <w:numPr>
          <w:ilvl w:val="0"/>
          <w:numId w:val="18"/>
        </w:numPr>
        <w:autoSpaceDE w:val="0"/>
        <w:autoSpaceDN w:val="0"/>
        <w:adjustRightInd w:val="0"/>
        <w:spacing w:line="276" w:lineRule="auto"/>
        <w:ind w:left="540"/>
        <w:jc w:val="both"/>
        <w:rPr>
          <w:color w:val="000000"/>
          <w:lang w:eastAsia="en-GB"/>
        </w:rPr>
      </w:pPr>
      <w:r w:rsidRPr="009A1E6F">
        <w:rPr>
          <w:color w:val="000000"/>
          <w:lang w:eastAsia="en-GB"/>
        </w:rPr>
        <w:t xml:space="preserve">Sasho Kjosev, </w:t>
      </w:r>
      <w:r w:rsidRPr="009A1E6F">
        <w:rPr>
          <w:b/>
          <w:color w:val="000000"/>
          <w:lang w:eastAsia="en-GB"/>
        </w:rPr>
        <w:t xml:space="preserve">independent </w:t>
      </w:r>
      <w:r w:rsidRPr="009A1E6F">
        <w:rPr>
          <w:b/>
          <w:bCs/>
          <w:color w:val="000000"/>
          <w:lang w:eastAsia="en-GB"/>
        </w:rPr>
        <w:t xml:space="preserve">member, </w:t>
      </w:r>
      <w:r w:rsidRPr="009A1E6F">
        <w:rPr>
          <w:color w:val="000000"/>
          <w:lang w:eastAsia="en-GB"/>
        </w:rPr>
        <w:t>Professor, Faculty of Economics at University “St. Cyril and Methodius” Skopje; and</w:t>
      </w:r>
    </w:p>
    <w:p w14:paraId="0ADC0683" w14:textId="77777777" w:rsidR="00EC708E" w:rsidRPr="009A1E6F" w:rsidRDefault="00EC708E" w:rsidP="00BB27D7">
      <w:pPr>
        <w:pStyle w:val="ListParagraph"/>
        <w:numPr>
          <w:ilvl w:val="0"/>
          <w:numId w:val="18"/>
        </w:numPr>
        <w:autoSpaceDE w:val="0"/>
        <w:autoSpaceDN w:val="0"/>
        <w:adjustRightInd w:val="0"/>
        <w:spacing w:line="276" w:lineRule="auto"/>
        <w:ind w:left="540"/>
        <w:jc w:val="both"/>
        <w:rPr>
          <w:color w:val="000000"/>
          <w:lang w:eastAsia="en-GB"/>
        </w:rPr>
      </w:pPr>
      <w:r w:rsidRPr="009A1E6F">
        <w:rPr>
          <w:color w:val="000000"/>
          <w:lang w:eastAsia="en-GB"/>
        </w:rPr>
        <w:t xml:space="preserve">Anastasios Lizos, </w:t>
      </w:r>
      <w:r w:rsidRPr="009A1E6F">
        <w:rPr>
          <w:b/>
          <w:color w:val="000000"/>
          <w:lang w:eastAsia="en-GB"/>
        </w:rPr>
        <w:t>member</w:t>
      </w:r>
      <w:r w:rsidRPr="009A1E6F">
        <w:rPr>
          <w:color w:val="000000"/>
          <w:lang w:eastAsia="en-GB"/>
        </w:rPr>
        <w:t>.</w:t>
      </w:r>
    </w:p>
    <w:p w14:paraId="35F27B6D" w14:textId="77777777" w:rsidR="00EC708E" w:rsidRPr="009A1E6F" w:rsidRDefault="00EC708E" w:rsidP="00BB27D7">
      <w:pPr>
        <w:autoSpaceDE w:val="0"/>
        <w:autoSpaceDN w:val="0"/>
        <w:adjustRightInd w:val="0"/>
        <w:spacing w:after="0"/>
        <w:jc w:val="both"/>
        <w:rPr>
          <w:rFonts w:ascii="Times New Roman" w:hAnsi="Times New Roman"/>
          <w:color w:val="000000"/>
          <w:sz w:val="24"/>
          <w:szCs w:val="24"/>
          <w:lang w:eastAsia="en-GB"/>
        </w:rPr>
      </w:pPr>
    </w:p>
    <w:p w14:paraId="3275C20A" w14:textId="77777777" w:rsidR="00EC708E" w:rsidRPr="009A1E6F" w:rsidRDefault="00EC708E" w:rsidP="00BB27D7">
      <w:pPr>
        <w:tabs>
          <w:tab w:val="left" w:pos="720"/>
        </w:tabs>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 xml:space="preserve">The latest self-assessment of the Supervisory Board confirms that the current composition of the Supervisory Board is such that its members have the collective and individual knowledge, skills and specialized experience as well as the integrity and reputation appropriate for a systemic bank as SB. In addition, all members of the Supervisory Board allocate appropriate time and focus on their supervisory and strategic responsibilities. </w:t>
      </w:r>
    </w:p>
    <w:p w14:paraId="6AA1D15F" w14:textId="77777777" w:rsidR="00EC708E" w:rsidRPr="009A1E6F" w:rsidRDefault="00EC708E" w:rsidP="00BB27D7">
      <w:pPr>
        <w:tabs>
          <w:tab w:val="left" w:pos="720"/>
        </w:tabs>
        <w:autoSpaceDE w:val="0"/>
        <w:autoSpaceDN w:val="0"/>
        <w:adjustRightInd w:val="0"/>
        <w:spacing w:after="0"/>
        <w:jc w:val="both"/>
        <w:rPr>
          <w:rFonts w:ascii="Times New Roman" w:eastAsia="Times New Roman" w:hAnsi="Times New Roman"/>
          <w:color w:val="000000"/>
          <w:sz w:val="24"/>
          <w:szCs w:val="24"/>
          <w:lang w:eastAsia="en-GB"/>
        </w:rPr>
      </w:pPr>
    </w:p>
    <w:p w14:paraId="5CEA1E40" w14:textId="77777777" w:rsidR="00EC708E" w:rsidRPr="009A1E6F" w:rsidRDefault="00EC708E" w:rsidP="00BB27D7">
      <w:pPr>
        <w:tabs>
          <w:tab w:val="left" w:pos="720"/>
        </w:tabs>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 xml:space="preserve">All </w:t>
      </w:r>
      <w:r w:rsidRPr="009A1E6F">
        <w:rPr>
          <w:rFonts w:ascii="Times New Roman" w:eastAsia="Times New Roman" w:hAnsi="Times New Roman"/>
          <w:b/>
          <w:color w:val="000000"/>
          <w:sz w:val="24"/>
          <w:szCs w:val="24"/>
          <w:lang w:eastAsia="en-GB"/>
        </w:rPr>
        <w:t>criteria for independence are followed</w:t>
      </w:r>
      <w:r w:rsidRPr="009A1E6F">
        <w:rPr>
          <w:rFonts w:ascii="Times New Roman" w:eastAsia="Times New Roman" w:hAnsi="Times New Roman"/>
          <w:color w:val="000000"/>
          <w:sz w:val="24"/>
          <w:szCs w:val="24"/>
          <w:lang w:eastAsia="en-GB"/>
        </w:rPr>
        <w:t xml:space="preserve"> and </w:t>
      </w:r>
      <w:proofErr w:type="gramStart"/>
      <w:r w:rsidRPr="009A1E6F">
        <w:rPr>
          <w:rFonts w:ascii="Times New Roman" w:eastAsia="Times New Roman" w:hAnsi="Times New Roman"/>
          <w:b/>
          <w:color w:val="000000"/>
          <w:sz w:val="24"/>
          <w:szCs w:val="24"/>
          <w:lang w:eastAsia="en-GB"/>
        </w:rPr>
        <w:t>no conflict of interest</w:t>
      </w:r>
      <w:r w:rsidRPr="009A1E6F">
        <w:rPr>
          <w:rFonts w:ascii="Times New Roman" w:eastAsia="Times New Roman" w:hAnsi="Times New Roman"/>
          <w:color w:val="000000"/>
          <w:sz w:val="24"/>
          <w:szCs w:val="24"/>
          <w:lang w:eastAsia="en-GB"/>
        </w:rPr>
        <w:t xml:space="preserve"> was reported by any member of the Supervisory Board</w:t>
      </w:r>
      <w:proofErr w:type="gramEnd"/>
      <w:r w:rsidRPr="009A1E6F">
        <w:rPr>
          <w:rFonts w:ascii="Times New Roman" w:eastAsia="Times New Roman" w:hAnsi="Times New Roman"/>
          <w:color w:val="000000"/>
          <w:sz w:val="24"/>
          <w:szCs w:val="24"/>
          <w:lang w:eastAsia="en-GB"/>
        </w:rPr>
        <w:t xml:space="preserve"> during the reporting period.</w:t>
      </w:r>
    </w:p>
    <w:p w14:paraId="1C9756F1" w14:textId="77777777" w:rsidR="00EC708E" w:rsidRPr="009A1E6F" w:rsidRDefault="00EC708E" w:rsidP="00BB27D7">
      <w:pPr>
        <w:tabs>
          <w:tab w:val="left" w:pos="720"/>
        </w:tabs>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ab/>
      </w:r>
    </w:p>
    <w:p w14:paraId="74EF1F48" w14:textId="77777777" w:rsidR="00EC708E" w:rsidRPr="009A1E6F" w:rsidRDefault="00EC708E" w:rsidP="00BB27D7">
      <w:pPr>
        <w:tabs>
          <w:tab w:val="left" w:pos="720"/>
        </w:tabs>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b/>
          <w:color w:val="000000"/>
          <w:sz w:val="24"/>
          <w:szCs w:val="24"/>
          <w:lang w:eastAsia="en-GB"/>
        </w:rPr>
        <w:t>The responsibilities</w:t>
      </w:r>
      <w:r w:rsidRPr="009A1E6F">
        <w:rPr>
          <w:rFonts w:ascii="Times New Roman" w:eastAsia="Times New Roman" w:hAnsi="Times New Roman"/>
          <w:color w:val="000000"/>
          <w:sz w:val="24"/>
          <w:szCs w:val="24"/>
          <w:lang w:eastAsia="en-GB"/>
        </w:rPr>
        <w:t xml:space="preserve"> of the Supervisory Board are determined in article 89 of the Law on Banks and the same are incorporated in the SB Statute, as follows:</w:t>
      </w:r>
    </w:p>
    <w:p w14:paraId="14901527"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adopts the SB business policy and development plan and follows its implementation;</w:t>
      </w:r>
    </w:p>
    <w:p w14:paraId="768846B7"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appoints and dismisses members of the SB Board of Directors;</w:t>
      </w:r>
    </w:p>
    <w:p w14:paraId="650DDA9B"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appoints and dismisses members of the SB Risk Management Committee;</w:t>
      </w:r>
    </w:p>
    <w:p w14:paraId="5F885D86"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appoints and dismisses members of the Audit Committee;</w:t>
      </w:r>
    </w:p>
    <w:p w14:paraId="0D78C921"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adopts SB financial plan/ Budget;</w:t>
      </w:r>
    </w:p>
    <w:p w14:paraId="6DC8BC98"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organizes the Internal Audit Division, appoints and dismisses Internal Audit Division Manager and follows hers/his operations;</w:t>
      </w:r>
    </w:p>
    <w:p w14:paraId="48F8099B"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approves the annual plan of the Internal Audit Division;</w:t>
      </w:r>
    </w:p>
    <w:p w14:paraId="6E9558D8"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adopts the information security policy;</w:t>
      </w:r>
    </w:p>
    <w:p w14:paraId="727E58FE"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adopts SB risk management policies;</w:t>
      </w:r>
    </w:p>
    <w:p w14:paraId="7428F24B"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adopts conflict of interest policy</w:t>
      </w:r>
      <w:r w:rsidRPr="009A1E6F">
        <w:rPr>
          <w:lang w:val="mk-MK" w:eastAsia="en-GB"/>
        </w:rPr>
        <w:t xml:space="preserve"> that identifies </w:t>
      </w:r>
      <w:r w:rsidRPr="009A1E6F">
        <w:rPr>
          <w:lang w:eastAsia="en-GB"/>
        </w:rPr>
        <w:t>the potential conflict of interest and the measures and activities for its avoidance</w:t>
      </w:r>
      <w:r w:rsidRPr="009A1E6F">
        <w:rPr>
          <w:lang w:val="en-GB" w:eastAsia="en-GB"/>
        </w:rPr>
        <w:t>;</w:t>
      </w:r>
    </w:p>
    <w:p w14:paraId="61E42859"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in accordance with the business plan, development plan, the financial plan / Budget and the policy for avoiding conflict of interest, adopts the remuneration policy;</w:t>
      </w:r>
    </w:p>
    <w:p w14:paraId="08ECB6FA"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adopts and implements the policy for selection, monitoring the operation and dismissal of members of Supervisory Board, Risk Management Committee, Audit Committee and Board of Directors;</w:t>
      </w:r>
    </w:p>
    <w:p w14:paraId="7C3443B9"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reviews the reports on the activities of SB Board of Directors;</w:t>
      </w:r>
    </w:p>
    <w:p w14:paraId="7C17052B"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reviews the reports of SB Risk Management Committee;</w:t>
      </w:r>
    </w:p>
    <w:p w14:paraId="1A2E314B"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reviews the reports of the Audit Committee;</w:t>
      </w:r>
    </w:p>
    <w:p w14:paraId="7925C8A8"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lastRenderedPageBreak/>
        <w:t>reviews the reports of the Internal Audit Division;</w:t>
      </w:r>
    </w:p>
    <w:p w14:paraId="398FE0FF"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reviews the reports of the Compliance Officer/Division;</w:t>
      </w:r>
    </w:p>
    <w:p w14:paraId="5FB77C2A"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approves the annual financial statement and the financial statements of SB;,</w:t>
      </w:r>
    </w:p>
    <w:p w14:paraId="1D2335D2"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approves the exposure to individual entity exceeding 10% of SB own funds or EUR 10,000,001, with the exception of exposure based upon purchasing securities issued by the National Bank</w:t>
      </w:r>
      <w:r w:rsidRPr="009A1E6F">
        <w:rPr>
          <w:lang w:eastAsia="en-GB"/>
        </w:rPr>
        <w:t xml:space="preserve">of the Republic of North Macedonia </w:t>
      </w:r>
      <w:r w:rsidRPr="009A1E6F">
        <w:rPr>
          <w:lang w:val="en-GB" w:eastAsia="en-GB"/>
        </w:rPr>
        <w:t xml:space="preserve"> and Republic of North Macedonia; </w:t>
      </w:r>
    </w:p>
    <w:p w14:paraId="6AD4759B"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approves the transactions with persons related to SB exceeding MKD 6,000,000;</w:t>
      </w:r>
    </w:p>
    <w:p w14:paraId="73B09D9D"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approves the acquiring equity holdings and purchase of securities higher than 5% of SB own funds, other than purchase of securities issued by the National Bank of the</w:t>
      </w:r>
      <w:r>
        <w:rPr>
          <w:lang w:val="mk-MK" w:eastAsia="en-GB"/>
        </w:rPr>
        <w:t xml:space="preserve"> </w:t>
      </w:r>
      <w:r>
        <w:rPr>
          <w:lang w:eastAsia="en-GB"/>
        </w:rPr>
        <w:t>Republic of North Macedonia</w:t>
      </w:r>
      <w:r w:rsidRPr="009A1E6F">
        <w:rPr>
          <w:lang w:val="en-GB" w:eastAsia="en-GB"/>
        </w:rPr>
        <w:t>;</w:t>
      </w:r>
    </w:p>
    <w:p w14:paraId="599B75DD"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approves the proposal of the Audit Committee for appointment of the external audit company, or  the proposal for termination of the agreement with the external audit company and  is responsible for ensuring that an appropriate audit is conducted;</w:t>
      </w:r>
    </w:p>
    <w:p w14:paraId="3C05736E"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adopts the Internal Audit Policy/Charter;</w:t>
      </w:r>
    </w:p>
    <w:p w14:paraId="382A1C20"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reviews the supervisory reports, other reports submitted by the National Bank, the Public Revenue Office and other competent bodies and proposes, i.e. undertakes measures and activities for addressing the identified non-compliances and weaknesses in SB operations;</w:t>
      </w:r>
    </w:p>
    <w:p w14:paraId="4285D74F"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approves the annual report on the SB operations and submits written opinion thereon to the SB Shareholders Assembly;</w:t>
      </w:r>
    </w:p>
    <w:p w14:paraId="23A1C9D1"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reviews the report of the external audit company and submits written opinion thereon to the Shareholders Assembly;</w:t>
      </w:r>
    </w:p>
    <w:p w14:paraId="10C821C8"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 xml:space="preserve">adopts SB Code of ethics; </w:t>
      </w:r>
    </w:p>
    <w:p w14:paraId="68C4BABD"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val="en-GB" w:eastAsia="en-GB"/>
        </w:rPr>
        <w:t>adopts the Code of Corporate Governance</w:t>
      </w:r>
      <w:r w:rsidRPr="009A1E6F">
        <w:rPr>
          <w:lang w:eastAsia="en-GB"/>
        </w:rPr>
        <w:t>; and</w:t>
      </w:r>
    </w:p>
    <w:p w14:paraId="5E3CD0A1" w14:textId="77777777" w:rsidR="00EC708E" w:rsidRPr="009A1E6F" w:rsidRDefault="00EC708E" w:rsidP="00BB27D7">
      <w:pPr>
        <w:pStyle w:val="ListParagraph"/>
        <w:numPr>
          <w:ilvl w:val="0"/>
          <w:numId w:val="20"/>
        </w:numPr>
        <w:autoSpaceDE w:val="0"/>
        <w:autoSpaceDN w:val="0"/>
        <w:adjustRightInd w:val="0"/>
        <w:spacing w:line="276" w:lineRule="auto"/>
        <w:jc w:val="both"/>
        <w:rPr>
          <w:lang w:val="en-GB" w:eastAsia="en-GB"/>
        </w:rPr>
      </w:pPr>
      <w:r w:rsidRPr="009A1E6F">
        <w:rPr>
          <w:lang w:eastAsia="en-GB"/>
        </w:rPr>
        <w:t>decides upon partial or full write off of credit exposure based on</w:t>
      </w:r>
      <w:r w:rsidRPr="009A1E6F">
        <w:rPr>
          <w:lang w:val="mk-MK" w:eastAsia="en-GB"/>
        </w:rPr>
        <w:t xml:space="preserve"> st</w:t>
      </w:r>
      <w:r w:rsidRPr="009A1E6F">
        <w:rPr>
          <w:lang w:eastAsia="en-GB"/>
        </w:rPr>
        <w:t xml:space="preserve">udy for performed write off prepared by the competent Bank division </w:t>
      </w:r>
    </w:p>
    <w:p w14:paraId="5E1CA6E0" w14:textId="77777777" w:rsidR="00EC708E" w:rsidRPr="009A1E6F" w:rsidRDefault="00EC708E" w:rsidP="00BB27D7">
      <w:pPr>
        <w:pStyle w:val="ListParagraph"/>
        <w:numPr>
          <w:ilvl w:val="0"/>
          <w:numId w:val="20"/>
        </w:numPr>
        <w:autoSpaceDE w:val="0"/>
        <w:autoSpaceDN w:val="0"/>
        <w:adjustRightInd w:val="0"/>
        <w:spacing w:line="276" w:lineRule="auto"/>
        <w:jc w:val="both"/>
        <w:rPr>
          <w:color w:val="000000"/>
        </w:rPr>
      </w:pPr>
      <w:r w:rsidRPr="009A1E6F">
        <w:rPr>
          <w:color w:val="000000"/>
        </w:rPr>
        <w:t xml:space="preserve">review the report on transactions with the entities related to the bank, as well as on the amount of approved loans and other forms of exposure to the persons with special rights and responsibilities in the bank, at least once quarterly; </w:t>
      </w:r>
      <w:r w:rsidRPr="009A1E6F">
        <w:rPr>
          <w:lang w:eastAsia="en-GB"/>
        </w:rPr>
        <w:t>and</w:t>
      </w:r>
    </w:p>
    <w:p w14:paraId="0C3AB8EB" w14:textId="77777777" w:rsidR="00EC708E" w:rsidRPr="009A1E6F" w:rsidRDefault="00EC708E" w:rsidP="00BB27D7">
      <w:pPr>
        <w:pStyle w:val="ListParagraph"/>
        <w:numPr>
          <w:ilvl w:val="0"/>
          <w:numId w:val="20"/>
        </w:numPr>
        <w:autoSpaceDE w:val="0"/>
        <w:autoSpaceDN w:val="0"/>
        <w:adjustRightInd w:val="0"/>
        <w:spacing w:line="276" w:lineRule="auto"/>
        <w:jc w:val="both"/>
        <w:rPr>
          <w:color w:val="000000"/>
        </w:rPr>
      </w:pPr>
      <w:proofErr w:type="gramStart"/>
      <w:r w:rsidRPr="009A1E6F">
        <w:rPr>
          <w:lang w:eastAsia="en-GB"/>
        </w:rPr>
        <w:t>performs</w:t>
      </w:r>
      <w:proofErr w:type="gramEnd"/>
      <w:r w:rsidRPr="009A1E6F">
        <w:rPr>
          <w:lang w:eastAsia="en-GB"/>
        </w:rPr>
        <w:t xml:space="preserve"> other duties in compliance with the applicable legislation and National Bank relevant decisions. </w:t>
      </w:r>
    </w:p>
    <w:p w14:paraId="43D4C52B" w14:textId="77777777" w:rsidR="00EC708E" w:rsidRPr="009A1E6F" w:rsidRDefault="00EC708E" w:rsidP="00BB27D7">
      <w:pPr>
        <w:pStyle w:val="ListParagraph"/>
        <w:tabs>
          <w:tab w:val="left" w:pos="900"/>
        </w:tabs>
        <w:autoSpaceDE w:val="0"/>
        <w:autoSpaceDN w:val="0"/>
        <w:adjustRightInd w:val="0"/>
        <w:spacing w:line="276" w:lineRule="auto"/>
        <w:ind w:left="1170"/>
        <w:jc w:val="both"/>
        <w:rPr>
          <w:lang w:val="en-GB" w:eastAsia="en-GB"/>
        </w:rPr>
      </w:pPr>
    </w:p>
    <w:p w14:paraId="549CEC7E" w14:textId="77777777" w:rsidR="00EC708E" w:rsidRPr="009A1E6F" w:rsidRDefault="00EC708E" w:rsidP="00BB27D7">
      <w:pPr>
        <w:tabs>
          <w:tab w:val="left" w:pos="900"/>
        </w:tabs>
        <w:autoSpaceDE w:val="0"/>
        <w:autoSpaceDN w:val="0"/>
        <w:adjustRightInd w:val="0"/>
        <w:jc w:val="both"/>
        <w:rPr>
          <w:rFonts w:ascii="Times New Roman" w:hAnsi="Times New Roman"/>
          <w:i/>
          <w:sz w:val="24"/>
          <w:szCs w:val="24"/>
          <w:lang w:eastAsia="en-GB"/>
        </w:rPr>
      </w:pPr>
      <w:r w:rsidRPr="009A1E6F">
        <w:rPr>
          <w:rFonts w:ascii="Times New Roman" w:hAnsi="Times New Roman"/>
          <w:sz w:val="24"/>
          <w:szCs w:val="24"/>
          <w:lang w:val="en-GB" w:eastAsia="en-GB"/>
        </w:rPr>
        <w:t>***</w:t>
      </w:r>
      <w:r w:rsidRPr="009A1E6F">
        <w:rPr>
          <w:rFonts w:ascii="Times New Roman" w:hAnsi="Times New Roman"/>
          <w:i/>
          <w:sz w:val="24"/>
          <w:szCs w:val="24"/>
          <w:lang w:eastAsia="en-GB"/>
        </w:rPr>
        <w:t xml:space="preserve">More details </w:t>
      </w:r>
      <w:proofErr w:type="gramStart"/>
      <w:r w:rsidRPr="009A1E6F">
        <w:rPr>
          <w:rFonts w:ascii="Times New Roman" w:hAnsi="Times New Roman"/>
          <w:i/>
          <w:sz w:val="24"/>
          <w:szCs w:val="24"/>
          <w:lang w:eastAsia="en-GB"/>
        </w:rPr>
        <w:t>are presented</w:t>
      </w:r>
      <w:proofErr w:type="gramEnd"/>
      <w:r w:rsidRPr="009A1E6F">
        <w:rPr>
          <w:rFonts w:ascii="Times New Roman" w:hAnsi="Times New Roman"/>
          <w:i/>
          <w:sz w:val="24"/>
          <w:szCs w:val="24"/>
          <w:lang w:eastAsia="en-GB"/>
        </w:rPr>
        <w:t xml:space="preserve"> in the Annual Report on the Operations of Supervisory Board in 2022, submitted to the SB Shareholders Assembly.</w:t>
      </w:r>
    </w:p>
    <w:p w14:paraId="232990DE" w14:textId="77777777" w:rsidR="00EC708E" w:rsidRPr="009A1E6F" w:rsidRDefault="00EC708E" w:rsidP="00BB27D7">
      <w:pPr>
        <w:autoSpaceDE w:val="0"/>
        <w:autoSpaceDN w:val="0"/>
        <w:adjustRightInd w:val="0"/>
        <w:spacing w:before="240"/>
        <w:jc w:val="both"/>
        <w:rPr>
          <w:rFonts w:ascii="Times New Roman" w:eastAsia="Times New Roman" w:hAnsi="Times New Roman"/>
          <w:b/>
          <w:bCs/>
          <w:color w:val="000000"/>
          <w:sz w:val="24"/>
          <w:szCs w:val="24"/>
          <w:lang w:eastAsia="en-GB"/>
        </w:rPr>
      </w:pPr>
      <w:r w:rsidRPr="009A1E6F">
        <w:rPr>
          <w:rFonts w:ascii="Times New Roman" w:eastAsia="Times New Roman" w:hAnsi="Times New Roman"/>
          <w:b/>
          <w:bCs/>
          <w:color w:val="000000"/>
          <w:sz w:val="24"/>
          <w:szCs w:val="24"/>
          <w:lang w:eastAsia="en-GB"/>
        </w:rPr>
        <w:t xml:space="preserve">1.2. The Supervisory Board’ Committees in the year under review </w:t>
      </w:r>
    </w:p>
    <w:p w14:paraId="0CA74821" w14:textId="77777777" w:rsidR="00EC708E" w:rsidRPr="009A1E6F" w:rsidRDefault="00EC708E" w:rsidP="00BB27D7">
      <w:pPr>
        <w:autoSpaceDE w:val="0"/>
        <w:autoSpaceDN w:val="0"/>
        <w:adjustRightInd w:val="0"/>
        <w:spacing w:before="240"/>
        <w:jc w:val="both"/>
        <w:rPr>
          <w:rFonts w:ascii="Times New Roman" w:eastAsia="Times New Roman" w:hAnsi="Times New Roman"/>
          <w:b/>
          <w:bCs/>
          <w:color w:val="000000"/>
          <w:sz w:val="24"/>
          <w:szCs w:val="24"/>
          <w:lang w:eastAsia="en-GB"/>
        </w:rPr>
      </w:pPr>
      <w:r w:rsidRPr="009A1E6F">
        <w:rPr>
          <w:rFonts w:ascii="Times New Roman" w:eastAsia="Times New Roman" w:hAnsi="Times New Roman"/>
          <w:bCs/>
          <w:color w:val="000000"/>
          <w:sz w:val="24"/>
          <w:szCs w:val="24"/>
          <w:lang w:eastAsia="en-GB"/>
        </w:rPr>
        <w:t xml:space="preserve">The Supervisory Board has established committees with the aim to improve the efficiency of its work by dealing with complex matters in smaller groups and preparing them for the full Supervisory Board. Additionally, the Supervisory Board has delegated individual decision-making powers to the Committees, to the extent that this is legally permissible according to the relevant legislation and the internal regulations of the Bank. </w:t>
      </w:r>
    </w:p>
    <w:p w14:paraId="0886C54D" w14:textId="77777777" w:rsidR="00EC708E" w:rsidRPr="009A1E6F" w:rsidRDefault="00EC708E" w:rsidP="00BB27D7">
      <w:pPr>
        <w:autoSpaceDE w:val="0"/>
        <w:autoSpaceDN w:val="0"/>
        <w:adjustRightInd w:val="0"/>
        <w:spacing w:before="240" w:after="0"/>
        <w:jc w:val="both"/>
        <w:rPr>
          <w:rFonts w:ascii="Times New Roman" w:eastAsia="Times New Roman" w:hAnsi="Times New Roman"/>
          <w:bCs/>
          <w:color w:val="000000"/>
          <w:sz w:val="24"/>
          <w:szCs w:val="24"/>
          <w:lang w:eastAsia="en-GB"/>
        </w:rPr>
      </w:pPr>
      <w:r w:rsidRPr="009A1E6F">
        <w:rPr>
          <w:rFonts w:ascii="Times New Roman" w:eastAsia="Times New Roman" w:hAnsi="Times New Roman"/>
          <w:bCs/>
          <w:color w:val="000000"/>
          <w:sz w:val="24"/>
          <w:szCs w:val="24"/>
          <w:lang w:eastAsia="en-GB"/>
        </w:rPr>
        <w:lastRenderedPageBreak/>
        <w:t xml:space="preserve">There are no significant changes in the Supervisory Board’s </w:t>
      </w:r>
      <w:proofErr w:type="gramStart"/>
      <w:r w:rsidRPr="009A1E6F">
        <w:rPr>
          <w:rFonts w:ascii="Times New Roman" w:eastAsia="Times New Roman" w:hAnsi="Times New Roman"/>
          <w:bCs/>
          <w:color w:val="000000"/>
          <w:sz w:val="24"/>
          <w:szCs w:val="24"/>
          <w:lang w:eastAsia="en-GB"/>
        </w:rPr>
        <w:t>committees</w:t>
      </w:r>
      <w:proofErr w:type="gramEnd"/>
      <w:r w:rsidRPr="009A1E6F">
        <w:rPr>
          <w:rFonts w:ascii="Times New Roman" w:eastAsia="Times New Roman" w:hAnsi="Times New Roman"/>
          <w:bCs/>
          <w:color w:val="000000"/>
          <w:sz w:val="24"/>
          <w:szCs w:val="24"/>
          <w:lang w:eastAsia="en-GB"/>
        </w:rPr>
        <w:t xml:space="preserve"> structure, i.e. the Supervisory Board of SB had three committees in the reporting period: Audit Committee, Risk Management Committee and Remuneration Committee. </w:t>
      </w:r>
    </w:p>
    <w:p w14:paraId="354BCE00" w14:textId="77777777" w:rsidR="00EC708E" w:rsidRPr="009A1E6F" w:rsidRDefault="00EC708E" w:rsidP="00BB27D7">
      <w:pPr>
        <w:pStyle w:val="ListParagraph"/>
        <w:numPr>
          <w:ilvl w:val="0"/>
          <w:numId w:val="19"/>
        </w:numPr>
        <w:autoSpaceDE w:val="0"/>
        <w:autoSpaceDN w:val="0"/>
        <w:adjustRightInd w:val="0"/>
        <w:spacing w:before="240" w:line="276" w:lineRule="auto"/>
        <w:ind w:left="0" w:firstLine="0"/>
        <w:jc w:val="both"/>
        <w:rPr>
          <w:b/>
          <w:bCs/>
          <w:color w:val="000000"/>
          <w:lang w:eastAsia="en-GB"/>
        </w:rPr>
      </w:pPr>
      <w:r w:rsidRPr="009A1E6F">
        <w:rPr>
          <w:b/>
          <w:bCs/>
          <w:color w:val="000000"/>
          <w:lang w:eastAsia="en-GB"/>
        </w:rPr>
        <w:t>AUDIT COMMITTEE</w:t>
      </w:r>
    </w:p>
    <w:p w14:paraId="382AA43A" w14:textId="77777777" w:rsidR="00EC708E" w:rsidRPr="009A1E6F" w:rsidRDefault="00EC708E" w:rsidP="00BB27D7">
      <w:pPr>
        <w:autoSpaceDE w:val="0"/>
        <w:autoSpaceDN w:val="0"/>
        <w:adjustRightInd w:val="0"/>
        <w:spacing w:after="0"/>
        <w:ind w:firstLine="403"/>
        <w:jc w:val="both"/>
        <w:rPr>
          <w:rFonts w:ascii="Times New Roman" w:eastAsia="Times New Roman" w:hAnsi="Times New Roman"/>
          <w:color w:val="000000"/>
          <w:sz w:val="24"/>
          <w:szCs w:val="24"/>
          <w:lang w:eastAsia="en-GB"/>
        </w:rPr>
      </w:pPr>
    </w:p>
    <w:p w14:paraId="56EB10D2"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The Audit Committee of Stopanska Banka AD – Skopje consists of five members, appointed by the Supervisory Board, with two years term of office. Majority of the members (3) are members of the Supervisory Board, while the remaining two members are independent out of which one member is authorized auditor. The composition of the Audit Committee in 2022 was as follows:</w:t>
      </w:r>
    </w:p>
    <w:p w14:paraId="12F13AA2"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p>
    <w:p w14:paraId="4B63135F" w14:textId="77777777" w:rsidR="00EC708E" w:rsidRPr="009A1E6F" w:rsidRDefault="00EC708E" w:rsidP="00BB27D7">
      <w:pPr>
        <w:numPr>
          <w:ilvl w:val="0"/>
          <w:numId w:val="1"/>
        </w:numPr>
        <w:autoSpaceDE w:val="0"/>
        <w:autoSpaceDN w:val="0"/>
        <w:adjustRightInd w:val="0"/>
        <w:spacing w:after="0"/>
        <w:ind w:leftChars="107" w:left="629" w:hangingChars="164" w:hanging="394"/>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Antonio Veljanov, Chairman of the Audit Committee (independent member and chartered auditor);</w:t>
      </w:r>
      <w:r w:rsidRPr="009A1E6F">
        <w:rPr>
          <w:rStyle w:val="FootnoteReference"/>
          <w:rFonts w:ascii="Times New Roman" w:eastAsia="Times New Roman" w:hAnsi="Times New Roman"/>
          <w:color w:val="000000"/>
          <w:sz w:val="24"/>
          <w:szCs w:val="24"/>
          <w:lang w:eastAsia="en-GB"/>
        </w:rPr>
        <w:footnoteReference w:id="1"/>
      </w:r>
    </w:p>
    <w:p w14:paraId="32EAF808" w14:textId="77777777" w:rsidR="00EC708E" w:rsidRPr="009A1E6F" w:rsidRDefault="00EC708E" w:rsidP="00BB27D7">
      <w:pPr>
        <w:numPr>
          <w:ilvl w:val="0"/>
          <w:numId w:val="1"/>
        </w:numPr>
        <w:autoSpaceDE w:val="0"/>
        <w:autoSpaceDN w:val="0"/>
        <w:adjustRightInd w:val="0"/>
        <w:spacing w:after="0"/>
        <w:ind w:leftChars="107" w:left="629" w:hangingChars="164" w:hanging="394"/>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Dimitra Gkountoufa, member (representative of the Supervisory Board);</w:t>
      </w:r>
    </w:p>
    <w:p w14:paraId="7B3A208C" w14:textId="77777777" w:rsidR="00EC708E" w:rsidRPr="009A1E6F" w:rsidRDefault="00EC708E" w:rsidP="00BB27D7">
      <w:pPr>
        <w:numPr>
          <w:ilvl w:val="0"/>
          <w:numId w:val="1"/>
        </w:numPr>
        <w:autoSpaceDE w:val="0"/>
        <w:autoSpaceDN w:val="0"/>
        <w:adjustRightInd w:val="0"/>
        <w:spacing w:after="0"/>
        <w:ind w:leftChars="107" w:left="629" w:hangingChars="164" w:hanging="394"/>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 xml:space="preserve">Vladimir Filipovski, member (representative of the Supervisory Board); </w:t>
      </w:r>
    </w:p>
    <w:p w14:paraId="7FFF8C4C" w14:textId="77777777" w:rsidR="00EC708E" w:rsidRPr="009A1E6F" w:rsidRDefault="00EC708E" w:rsidP="00BB27D7">
      <w:pPr>
        <w:numPr>
          <w:ilvl w:val="0"/>
          <w:numId w:val="1"/>
        </w:numPr>
        <w:autoSpaceDE w:val="0"/>
        <w:autoSpaceDN w:val="0"/>
        <w:adjustRightInd w:val="0"/>
        <w:spacing w:after="0"/>
        <w:ind w:leftChars="107" w:left="629" w:hangingChars="164" w:hanging="394"/>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Anastasios Lizos, member (representative of the Supervisory Board);</w:t>
      </w:r>
      <w:r w:rsidRPr="009A1E6F">
        <w:rPr>
          <w:rFonts w:ascii="Times New Roman" w:eastAsia="Times New Roman" w:hAnsi="Times New Roman"/>
          <w:color w:val="000000"/>
          <w:sz w:val="24"/>
          <w:szCs w:val="24"/>
          <w:lang w:val="mk-MK" w:eastAsia="en-GB"/>
        </w:rPr>
        <w:t xml:space="preserve"> </w:t>
      </w:r>
      <w:r w:rsidRPr="009A1E6F">
        <w:rPr>
          <w:rFonts w:ascii="Times New Roman" w:eastAsia="Times New Roman" w:hAnsi="Times New Roman"/>
          <w:color w:val="000000"/>
          <w:sz w:val="24"/>
          <w:szCs w:val="24"/>
          <w:lang w:eastAsia="en-GB"/>
        </w:rPr>
        <w:t>and</w:t>
      </w:r>
    </w:p>
    <w:p w14:paraId="09B6401D" w14:textId="77777777" w:rsidR="00EC708E" w:rsidRPr="009A1E6F" w:rsidRDefault="00EC708E" w:rsidP="00BB27D7">
      <w:pPr>
        <w:numPr>
          <w:ilvl w:val="0"/>
          <w:numId w:val="1"/>
        </w:numPr>
        <w:autoSpaceDE w:val="0"/>
        <w:autoSpaceDN w:val="0"/>
        <w:adjustRightInd w:val="0"/>
        <w:spacing w:after="0"/>
        <w:ind w:leftChars="107" w:left="629" w:hangingChars="164" w:hanging="394"/>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Zorica Bozinovska-Lazarevska, member (independent member).</w:t>
      </w:r>
    </w:p>
    <w:p w14:paraId="2FC65FCB" w14:textId="77777777" w:rsidR="00EC708E" w:rsidRPr="009A1E6F" w:rsidRDefault="00EC708E" w:rsidP="00BB27D7">
      <w:pPr>
        <w:pStyle w:val="ListParagraph"/>
        <w:autoSpaceDE w:val="0"/>
        <w:autoSpaceDN w:val="0"/>
        <w:adjustRightInd w:val="0"/>
        <w:spacing w:before="240" w:line="276" w:lineRule="auto"/>
        <w:ind w:left="0"/>
        <w:jc w:val="both"/>
        <w:rPr>
          <w:color w:val="000000"/>
          <w:lang w:eastAsia="en-GB"/>
        </w:rPr>
      </w:pPr>
      <w:r w:rsidRPr="009A1E6F">
        <w:rPr>
          <w:color w:val="000000"/>
          <w:lang w:eastAsia="en-GB"/>
        </w:rPr>
        <w:t xml:space="preserve">The Audit Committee responsibilities </w:t>
      </w:r>
      <w:proofErr w:type="gramStart"/>
      <w:r w:rsidRPr="009A1E6F">
        <w:rPr>
          <w:color w:val="000000"/>
          <w:lang w:eastAsia="en-GB"/>
        </w:rPr>
        <w:t>are defined</w:t>
      </w:r>
      <w:proofErr w:type="gramEnd"/>
      <w:r w:rsidRPr="009A1E6F">
        <w:rPr>
          <w:color w:val="000000"/>
          <w:lang w:eastAsia="en-GB"/>
        </w:rPr>
        <w:t xml:space="preserve"> strictly in the Law on Banks, which are transposed in the SB Statute. In brief, the Audit Committee is responsible to oversee the integrity of the accounting and financial reporting, to oversee the internal control systems and other similar activities that provide support to the Supervisory Board in its control function. </w:t>
      </w:r>
    </w:p>
    <w:p w14:paraId="6855BE9E" w14:textId="77777777" w:rsidR="00EC708E" w:rsidRPr="009A1E6F" w:rsidRDefault="00EC708E" w:rsidP="00BB27D7">
      <w:pPr>
        <w:pStyle w:val="ListParagraph"/>
        <w:autoSpaceDE w:val="0"/>
        <w:autoSpaceDN w:val="0"/>
        <w:adjustRightInd w:val="0"/>
        <w:spacing w:before="240" w:line="276" w:lineRule="auto"/>
        <w:ind w:left="0"/>
        <w:jc w:val="both"/>
        <w:rPr>
          <w:color w:val="000000"/>
          <w:lang w:eastAsia="en-GB"/>
        </w:rPr>
      </w:pPr>
    </w:p>
    <w:p w14:paraId="3C7EA55D" w14:textId="77777777" w:rsidR="00EC708E" w:rsidRPr="009A1E6F" w:rsidRDefault="00EC708E" w:rsidP="00BB27D7">
      <w:pPr>
        <w:pStyle w:val="ListParagraph"/>
        <w:autoSpaceDE w:val="0"/>
        <w:autoSpaceDN w:val="0"/>
        <w:adjustRightInd w:val="0"/>
        <w:spacing w:before="240" w:line="276" w:lineRule="auto"/>
        <w:ind w:left="0"/>
        <w:jc w:val="both"/>
        <w:rPr>
          <w:color w:val="000000"/>
          <w:lang w:eastAsia="en-GB"/>
        </w:rPr>
      </w:pPr>
      <w:r w:rsidRPr="009A1E6F">
        <w:rPr>
          <w:color w:val="000000"/>
          <w:lang w:eastAsia="en-GB"/>
        </w:rPr>
        <w:t xml:space="preserve">More precisely, </w:t>
      </w:r>
      <w:r w:rsidRPr="009A1E6F">
        <w:rPr>
          <w:i/>
          <w:color w:val="000000"/>
          <w:lang w:eastAsia="en-GB"/>
        </w:rPr>
        <w:t>among other items</w:t>
      </w:r>
      <w:r>
        <w:rPr>
          <w:color w:val="000000"/>
          <w:lang w:eastAsia="en-GB"/>
        </w:rPr>
        <w:t>, during 2022</w:t>
      </w:r>
      <w:r w:rsidRPr="009A1E6F">
        <w:rPr>
          <w:color w:val="000000"/>
          <w:lang w:eastAsia="en-GB"/>
        </w:rPr>
        <w:t xml:space="preserve"> the Audit Committee: </w:t>
      </w:r>
    </w:p>
    <w:p w14:paraId="619AC530" w14:textId="77777777" w:rsidR="00EC708E" w:rsidRPr="009A1E6F" w:rsidRDefault="00EC708E" w:rsidP="00BB27D7">
      <w:pPr>
        <w:pStyle w:val="ListParagraph"/>
        <w:numPr>
          <w:ilvl w:val="0"/>
          <w:numId w:val="23"/>
        </w:numPr>
        <w:autoSpaceDE w:val="0"/>
        <w:autoSpaceDN w:val="0"/>
        <w:adjustRightInd w:val="0"/>
        <w:spacing w:before="240" w:line="276" w:lineRule="auto"/>
        <w:ind w:left="630"/>
        <w:jc w:val="both"/>
        <w:rPr>
          <w:color w:val="000000"/>
          <w:lang w:eastAsia="en-GB"/>
        </w:rPr>
      </w:pPr>
      <w:r w:rsidRPr="009A1E6F">
        <w:rPr>
          <w:color w:val="000000"/>
          <w:lang w:eastAsia="en-GB"/>
        </w:rPr>
        <w:t xml:space="preserve">reviewed the (quarterly) reports of the Internal Audit Division and its other reporting and planning documents, including the Internal Audit Division Charter, </w:t>
      </w:r>
    </w:p>
    <w:p w14:paraId="098BAB91" w14:textId="77777777" w:rsidR="00EC708E" w:rsidRPr="009A1E6F" w:rsidRDefault="00EC708E" w:rsidP="00BB27D7">
      <w:pPr>
        <w:pStyle w:val="ListParagraph"/>
        <w:numPr>
          <w:ilvl w:val="0"/>
          <w:numId w:val="23"/>
        </w:numPr>
        <w:autoSpaceDE w:val="0"/>
        <w:autoSpaceDN w:val="0"/>
        <w:adjustRightInd w:val="0"/>
        <w:spacing w:before="240" w:line="276" w:lineRule="auto"/>
        <w:ind w:left="630"/>
        <w:jc w:val="both"/>
        <w:rPr>
          <w:color w:val="000000"/>
          <w:lang w:eastAsia="en-GB"/>
        </w:rPr>
      </w:pPr>
      <w:r w:rsidRPr="009A1E6F">
        <w:rPr>
          <w:color w:val="000000"/>
          <w:lang w:eastAsia="en-GB"/>
        </w:rPr>
        <w:t xml:space="preserve">reviewed the (quarterly) reports of the Risk Management Committee, </w:t>
      </w:r>
    </w:p>
    <w:p w14:paraId="4E418715" w14:textId="77777777" w:rsidR="00EC708E" w:rsidRPr="009A1E6F" w:rsidRDefault="00EC708E" w:rsidP="00BB27D7">
      <w:pPr>
        <w:pStyle w:val="ListParagraph"/>
        <w:numPr>
          <w:ilvl w:val="0"/>
          <w:numId w:val="23"/>
        </w:numPr>
        <w:autoSpaceDE w:val="0"/>
        <w:autoSpaceDN w:val="0"/>
        <w:adjustRightInd w:val="0"/>
        <w:spacing w:before="240" w:line="276" w:lineRule="auto"/>
        <w:ind w:left="630"/>
        <w:jc w:val="both"/>
        <w:rPr>
          <w:color w:val="000000"/>
          <w:lang w:eastAsia="en-GB"/>
        </w:rPr>
      </w:pPr>
      <w:r w:rsidRPr="009A1E6F">
        <w:rPr>
          <w:color w:val="000000"/>
          <w:lang w:eastAsia="en-GB"/>
        </w:rPr>
        <w:t>reviewed the (quarterly) review of the financial statements for consolidation purposes,</w:t>
      </w:r>
    </w:p>
    <w:p w14:paraId="42E80D51" w14:textId="77777777" w:rsidR="00EC708E" w:rsidRPr="009A1E6F" w:rsidRDefault="00EC708E" w:rsidP="00BB27D7">
      <w:pPr>
        <w:pStyle w:val="ListParagraph"/>
        <w:numPr>
          <w:ilvl w:val="0"/>
          <w:numId w:val="23"/>
        </w:numPr>
        <w:autoSpaceDE w:val="0"/>
        <w:autoSpaceDN w:val="0"/>
        <w:adjustRightInd w:val="0"/>
        <w:spacing w:before="240" w:line="276" w:lineRule="auto"/>
        <w:ind w:left="630"/>
        <w:jc w:val="both"/>
        <w:rPr>
          <w:color w:val="000000"/>
          <w:lang w:eastAsia="en-GB"/>
        </w:rPr>
      </w:pPr>
      <w:r w:rsidRPr="009A1E6F">
        <w:rPr>
          <w:color w:val="000000"/>
          <w:lang w:eastAsia="en-GB"/>
        </w:rPr>
        <w:t xml:space="preserve">approved the decision for determining proposal for election of external audit company, </w:t>
      </w:r>
    </w:p>
    <w:p w14:paraId="5B53AA5A" w14:textId="77777777" w:rsidR="00EC708E" w:rsidRPr="009A1E6F" w:rsidRDefault="00EC708E" w:rsidP="00BB27D7">
      <w:pPr>
        <w:pStyle w:val="ListParagraph"/>
        <w:numPr>
          <w:ilvl w:val="0"/>
          <w:numId w:val="23"/>
        </w:numPr>
        <w:autoSpaceDE w:val="0"/>
        <w:autoSpaceDN w:val="0"/>
        <w:adjustRightInd w:val="0"/>
        <w:spacing w:before="240" w:line="276" w:lineRule="auto"/>
        <w:ind w:left="630"/>
        <w:jc w:val="both"/>
        <w:rPr>
          <w:color w:val="000000"/>
          <w:lang w:eastAsia="en-GB"/>
        </w:rPr>
      </w:pPr>
      <w:proofErr w:type="gramStart"/>
      <w:r w:rsidRPr="009A1E6F">
        <w:rPr>
          <w:color w:val="000000"/>
          <w:lang w:eastAsia="en-GB"/>
        </w:rPr>
        <w:t>review</w:t>
      </w:r>
      <w:r w:rsidRPr="009A1E6F">
        <w:rPr>
          <w:color w:val="000000"/>
          <w:lang w:val="mk-MK" w:eastAsia="en-GB"/>
        </w:rPr>
        <w:t>ed</w:t>
      </w:r>
      <w:proofErr w:type="gramEnd"/>
      <w:r w:rsidRPr="009A1E6F">
        <w:rPr>
          <w:color w:val="000000"/>
          <w:lang w:eastAsia="en-GB"/>
        </w:rPr>
        <w:t xml:space="preserve"> the Compliance Reports and plans before submitting to Supervisory Board.</w:t>
      </w:r>
    </w:p>
    <w:p w14:paraId="33BB14F0" w14:textId="77777777" w:rsidR="00EC708E" w:rsidRPr="009A1E6F" w:rsidRDefault="00EC708E" w:rsidP="00BB27D7">
      <w:pPr>
        <w:pStyle w:val="ListParagraph"/>
        <w:autoSpaceDE w:val="0"/>
        <w:autoSpaceDN w:val="0"/>
        <w:adjustRightInd w:val="0"/>
        <w:spacing w:before="240" w:line="276" w:lineRule="auto"/>
        <w:ind w:left="0" w:firstLine="706"/>
        <w:jc w:val="both"/>
        <w:rPr>
          <w:i/>
          <w:color w:val="000000"/>
          <w:lang w:eastAsia="en-GB"/>
        </w:rPr>
      </w:pPr>
    </w:p>
    <w:p w14:paraId="2B1F17A7" w14:textId="77777777" w:rsidR="00EC708E" w:rsidRPr="009A1E6F" w:rsidRDefault="00EC708E" w:rsidP="00BB27D7">
      <w:pPr>
        <w:pStyle w:val="ListParagraph"/>
        <w:autoSpaceDE w:val="0"/>
        <w:autoSpaceDN w:val="0"/>
        <w:adjustRightInd w:val="0"/>
        <w:spacing w:before="240" w:line="276" w:lineRule="auto"/>
        <w:ind w:left="0"/>
        <w:jc w:val="both"/>
        <w:rPr>
          <w:color w:val="000000"/>
          <w:lang w:eastAsia="en-GB"/>
        </w:rPr>
      </w:pPr>
      <w:r w:rsidRPr="009A1E6F">
        <w:rPr>
          <w:color w:val="000000"/>
          <w:lang w:eastAsia="en-GB"/>
        </w:rPr>
        <w:t xml:space="preserve">In conclusion, the Audit Committee followed its Annual Plan for operations and executed its duties in full compliance with the relevant legislation and corporate governance standards.  </w:t>
      </w:r>
    </w:p>
    <w:p w14:paraId="62DB1AB0" w14:textId="77777777" w:rsidR="00EC708E" w:rsidRPr="009A1E6F" w:rsidRDefault="00EC708E" w:rsidP="00BB27D7">
      <w:pPr>
        <w:pStyle w:val="ListParagraph"/>
        <w:tabs>
          <w:tab w:val="left" w:pos="810"/>
        </w:tabs>
        <w:autoSpaceDE w:val="0"/>
        <w:autoSpaceDN w:val="0"/>
        <w:adjustRightInd w:val="0"/>
        <w:spacing w:before="240" w:line="276" w:lineRule="auto"/>
        <w:ind w:left="0"/>
        <w:jc w:val="both"/>
        <w:rPr>
          <w:color w:val="000000"/>
          <w:lang w:eastAsia="en-GB"/>
        </w:rPr>
      </w:pPr>
    </w:p>
    <w:p w14:paraId="0A9BB48C" w14:textId="1E90070A" w:rsidR="00EC708E" w:rsidRDefault="00EC708E" w:rsidP="00BB27D7">
      <w:pPr>
        <w:pStyle w:val="ListParagraph"/>
        <w:tabs>
          <w:tab w:val="left" w:pos="810"/>
        </w:tabs>
        <w:autoSpaceDE w:val="0"/>
        <w:autoSpaceDN w:val="0"/>
        <w:adjustRightInd w:val="0"/>
        <w:spacing w:before="240" w:line="276" w:lineRule="auto"/>
        <w:ind w:left="0"/>
        <w:jc w:val="both"/>
        <w:rPr>
          <w:color w:val="000000"/>
          <w:lang w:eastAsia="en-GB"/>
        </w:rPr>
      </w:pPr>
    </w:p>
    <w:p w14:paraId="166AD9FC" w14:textId="096BBE33" w:rsidR="002B6B59" w:rsidRDefault="002B6B59" w:rsidP="00BB27D7">
      <w:pPr>
        <w:pStyle w:val="ListParagraph"/>
        <w:tabs>
          <w:tab w:val="left" w:pos="810"/>
        </w:tabs>
        <w:autoSpaceDE w:val="0"/>
        <w:autoSpaceDN w:val="0"/>
        <w:adjustRightInd w:val="0"/>
        <w:spacing w:before="240" w:line="276" w:lineRule="auto"/>
        <w:ind w:left="0"/>
        <w:jc w:val="both"/>
        <w:rPr>
          <w:color w:val="000000"/>
          <w:lang w:eastAsia="en-GB"/>
        </w:rPr>
      </w:pPr>
    </w:p>
    <w:p w14:paraId="056C7263" w14:textId="092D147B" w:rsidR="002B6B59" w:rsidRDefault="002B6B59" w:rsidP="00BB27D7">
      <w:pPr>
        <w:pStyle w:val="ListParagraph"/>
        <w:tabs>
          <w:tab w:val="left" w:pos="810"/>
        </w:tabs>
        <w:autoSpaceDE w:val="0"/>
        <w:autoSpaceDN w:val="0"/>
        <w:adjustRightInd w:val="0"/>
        <w:spacing w:before="240" w:line="276" w:lineRule="auto"/>
        <w:ind w:left="0"/>
        <w:jc w:val="both"/>
        <w:rPr>
          <w:color w:val="000000"/>
          <w:lang w:eastAsia="en-GB"/>
        </w:rPr>
      </w:pPr>
    </w:p>
    <w:p w14:paraId="21775E12" w14:textId="77777777" w:rsidR="002B6B59" w:rsidRDefault="002B6B59" w:rsidP="00BB27D7">
      <w:pPr>
        <w:pStyle w:val="ListParagraph"/>
        <w:tabs>
          <w:tab w:val="left" w:pos="810"/>
        </w:tabs>
        <w:autoSpaceDE w:val="0"/>
        <w:autoSpaceDN w:val="0"/>
        <w:adjustRightInd w:val="0"/>
        <w:spacing w:before="240" w:line="276" w:lineRule="auto"/>
        <w:ind w:left="0"/>
        <w:jc w:val="both"/>
        <w:rPr>
          <w:color w:val="000000"/>
          <w:lang w:eastAsia="en-GB"/>
        </w:rPr>
      </w:pPr>
    </w:p>
    <w:p w14:paraId="62122BEF" w14:textId="75E83AED" w:rsidR="00196F45" w:rsidRDefault="00196F45" w:rsidP="00BB27D7">
      <w:pPr>
        <w:pStyle w:val="ListParagraph"/>
        <w:tabs>
          <w:tab w:val="left" w:pos="810"/>
        </w:tabs>
        <w:autoSpaceDE w:val="0"/>
        <w:autoSpaceDN w:val="0"/>
        <w:adjustRightInd w:val="0"/>
        <w:spacing w:before="240" w:line="276" w:lineRule="auto"/>
        <w:ind w:left="0"/>
        <w:jc w:val="both"/>
        <w:rPr>
          <w:color w:val="000000"/>
          <w:lang w:eastAsia="en-GB"/>
        </w:rPr>
      </w:pPr>
    </w:p>
    <w:p w14:paraId="69299A45" w14:textId="77777777" w:rsidR="00196F45" w:rsidRPr="009A1E6F" w:rsidRDefault="00196F45" w:rsidP="00BB27D7">
      <w:pPr>
        <w:pStyle w:val="ListParagraph"/>
        <w:tabs>
          <w:tab w:val="left" w:pos="810"/>
        </w:tabs>
        <w:autoSpaceDE w:val="0"/>
        <w:autoSpaceDN w:val="0"/>
        <w:adjustRightInd w:val="0"/>
        <w:spacing w:before="240" w:line="276" w:lineRule="auto"/>
        <w:ind w:left="0"/>
        <w:jc w:val="both"/>
        <w:rPr>
          <w:color w:val="000000"/>
          <w:lang w:eastAsia="en-GB"/>
        </w:rPr>
      </w:pPr>
    </w:p>
    <w:p w14:paraId="126A13D6" w14:textId="77777777" w:rsidR="00EC708E" w:rsidRPr="009A1E6F" w:rsidRDefault="00EC708E" w:rsidP="00BB27D7">
      <w:pPr>
        <w:pStyle w:val="ListParagraph"/>
        <w:numPr>
          <w:ilvl w:val="0"/>
          <w:numId w:val="19"/>
        </w:numPr>
        <w:autoSpaceDE w:val="0"/>
        <w:autoSpaceDN w:val="0"/>
        <w:adjustRightInd w:val="0"/>
        <w:spacing w:before="240" w:line="276" w:lineRule="auto"/>
        <w:ind w:left="0" w:firstLine="0"/>
        <w:jc w:val="both"/>
        <w:rPr>
          <w:b/>
          <w:color w:val="000000"/>
          <w:lang w:eastAsia="en-GB"/>
        </w:rPr>
      </w:pPr>
      <w:r w:rsidRPr="009A1E6F">
        <w:rPr>
          <w:b/>
          <w:bCs/>
          <w:color w:val="000000"/>
          <w:lang w:val="mk-MK" w:eastAsia="en-GB"/>
        </w:rPr>
        <w:lastRenderedPageBreak/>
        <w:t>RISK MANAGEMENT COMMITTEE</w:t>
      </w:r>
    </w:p>
    <w:p w14:paraId="0A87BC55"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p>
    <w:p w14:paraId="1450B637"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 xml:space="preserve">The Risk Management Committee of Stopanska Banka AD – Skopje is consisted of </w:t>
      </w:r>
      <w:proofErr w:type="gramStart"/>
      <w:r w:rsidRPr="009A1E6F">
        <w:rPr>
          <w:rFonts w:ascii="Times New Roman" w:eastAsia="Times New Roman" w:hAnsi="Times New Roman"/>
          <w:color w:val="000000"/>
          <w:sz w:val="24"/>
          <w:szCs w:val="24"/>
          <w:lang w:eastAsia="en-GB"/>
        </w:rPr>
        <w:t>9</w:t>
      </w:r>
      <w:proofErr w:type="gramEnd"/>
      <w:r w:rsidRPr="009A1E6F">
        <w:rPr>
          <w:rFonts w:ascii="Times New Roman" w:eastAsia="Times New Roman" w:hAnsi="Times New Roman"/>
          <w:color w:val="000000"/>
          <w:sz w:val="24"/>
          <w:szCs w:val="24"/>
          <w:lang w:eastAsia="en-GB"/>
        </w:rPr>
        <w:t xml:space="preserve"> members, appointed and/or dismissed by the Supervisory Board</w:t>
      </w:r>
      <w:r w:rsidRPr="009A1E6F">
        <w:rPr>
          <w:rFonts w:ascii="Times New Roman" w:eastAsia="Times New Roman" w:hAnsi="Times New Roman"/>
          <w:color w:val="000000"/>
          <w:sz w:val="24"/>
          <w:szCs w:val="24"/>
          <w:lang w:val="mk-MK" w:eastAsia="en-GB"/>
        </w:rPr>
        <w:t xml:space="preserve"> (</w:t>
      </w:r>
      <w:r w:rsidRPr="009A1E6F">
        <w:rPr>
          <w:rFonts w:ascii="Times New Roman" w:eastAsia="Times New Roman" w:hAnsi="Times New Roman"/>
          <w:color w:val="000000"/>
          <w:sz w:val="24"/>
          <w:szCs w:val="24"/>
          <w:lang w:eastAsia="en-GB"/>
        </w:rPr>
        <w:t>although the positions of the members of the Risk Management Committee are defined in the Statute). As at 31 December 2022, the members of the Risk Management Committee are as follows:</w:t>
      </w:r>
    </w:p>
    <w:p w14:paraId="776B0B55" w14:textId="77777777" w:rsidR="00EC708E" w:rsidRPr="009A1E6F" w:rsidRDefault="00EC708E" w:rsidP="00BB27D7">
      <w:pPr>
        <w:pStyle w:val="ListParagraph"/>
        <w:numPr>
          <w:ilvl w:val="0"/>
          <w:numId w:val="15"/>
        </w:numPr>
        <w:autoSpaceDE w:val="0"/>
        <w:autoSpaceDN w:val="0"/>
        <w:adjustRightInd w:val="0"/>
        <w:spacing w:before="240" w:line="276" w:lineRule="auto"/>
        <w:ind w:left="720"/>
        <w:jc w:val="both"/>
        <w:rPr>
          <w:color w:val="000000"/>
          <w:lang w:eastAsia="en-GB"/>
        </w:rPr>
      </w:pPr>
      <w:r w:rsidRPr="009A1E6F">
        <w:rPr>
          <w:color w:val="000000"/>
          <w:lang w:eastAsia="en-GB"/>
        </w:rPr>
        <w:t>Diomidis Nikoletopoulos – Chief Executive Officer and Chairman of the Board of Directors, Chairman;</w:t>
      </w:r>
    </w:p>
    <w:p w14:paraId="609EB449" w14:textId="77777777" w:rsidR="00EC708E" w:rsidRPr="009A1E6F" w:rsidRDefault="00EC708E" w:rsidP="00BB27D7">
      <w:pPr>
        <w:pStyle w:val="ListParagraph"/>
        <w:numPr>
          <w:ilvl w:val="0"/>
          <w:numId w:val="15"/>
        </w:numPr>
        <w:autoSpaceDE w:val="0"/>
        <w:autoSpaceDN w:val="0"/>
        <w:adjustRightInd w:val="0"/>
        <w:spacing w:before="240" w:line="276" w:lineRule="auto"/>
        <w:ind w:left="720"/>
        <w:jc w:val="both"/>
        <w:rPr>
          <w:color w:val="000000"/>
          <w:lang w:eastAsia="en-GB"/>
        </w:rPr>
      </w:pPr>
      <w:r w:rsidRPr="009A1E6F">
        <w:rPr>
          <w:color w:val="000000"/>
          <w:lang w:eastAsia="en-GB"/>
        </w:rPr>
        <w:t>Toni Stojanovski - Chief Corporate Officer and member of the Board of Directors, member;</w:t>
      </w:r>
    </w:p>
    <w:p w14:paraId="437750D3" w14:textId="77777777" w:rsidR="00EC708E" w:rsidRPr="009A1E6F" w:rsidRDefault="00EC708E" w:rsidP="00BB27D7">
      <w:pPr>
        <w:pStyle w:val="ListParagraph"/>
        <w:numPr>
          <w:ilvl w:val="0"/>
          <w:numId w:val="15"/>
        </w:numPr>
        <w:autoSpaceDE w:val="0"/>
        <w:autoSpaceDN w:val="0"/>
        <w:adjustRightInd w:val="0"/>
        <w:spacing w:before="240" w:line="276" w:lineRule="auto"/>
        <w:ind w:left="720"/>
        <w:jc w:val="both"/>
        <w:rPr>
          <w:color w:val="000000"/>
          <w:lang w:eastAsia="en-GB"/>
        </w:rPr>
      </w:pPr>
      <w:r w:rsidRPr="009A1E6F">
        <w:rPr>
          <w:color w:val="000000"/>
          <w:lang w:eastAsia="en-GB"/>
        </w:rPr>
        <w:t>Bojan Stojanoski - Chief Risk Officer and member of the Board of Directors, member;</w:t>
      </w:r>
    </w:p>
    <w:p w14:paraId="5364959A" w14:textId="77777777" w:rsidR="00EC708E" w:rsidRPr="009A1E6F" w:rsidRDefault="00EC708E" w:rsidP="00BB27D7">
      <w:pPr>
        <w:pStyle w:val="ListParagraph"/>
        <w:numPr>
          <w:ilvl w:val="0"/>
          <w:numId w:val="15"/>
        </w:numPr>
        <w:autoSpaceDE w:val="0"/>
        <w:autoSpaceDN w:val="0"/>
        <w:adjustRightInd w:val="0"/>
        <w:spacing w:before="240" w:line="276" w:lineRule="auto"/>
        <w:ind w:left="720"/>
        <w:jc w:val="both"/>
        <w:rPr>
          <w:color w:val="000000"/>
          <w:lang w:eastAsia="en-GB"/>
        </w:rPr>
      </w:pPr>
      <w:r w:rsidRPr="009A1E6F">
        <w:rPr>
          <w:color w:val="000000"/>
          <w:lang w:eastAsia="en-GB"/>
        </w:rPr>
        <w:t>Milica Chaparovska-Jovanovska – Chief Retail Officer and member of the Board of Directors, member;</w:t>
      </w:r>
    </w:p>
    <w:p w14:paraId="54CC24D0" w14:textId="77777777" w:rsidR="00EC708E" w:rsidRPr="009A1E6F" w:rsidRDefault="00EC708E" w:rsidP="00BB27D7">
      <w:pPr>
        <w:pStyle w:val="ListParagraph"/>
        <w:numPr>
          <w:ilvl w:val="0"/>
          <w:numId w:val="15"/>
        </w:numPr>
        <w:autoSpaceDE w:val="0"/>
        <w:autoSpaceDN w:val="0"/>
        <w:adjustRightInd w:val="0"/>
        <w:spacing w:before="240" w:line="276" w:lineRule="auto"/>
        <w:ind w:left="720"/>
        <w:jc w:val="both"/>
        <w:rPr>
          <w:color w:val="000000"/>
          <w:lang w:eastAsia="en-GB"/>
        </w:rPr>
      </w:pPr>
      <w:r w:rsidRPr="009A1E6F">
        <w:rPr>
          <w:color w:val="000000"/>
          <w:lang w:eastAsia="en-GB"/>
        </w:rPr>
        <w:t xml:space="preserve">Ilias Papadopoulos – Chief Credit Officer, member; </w:t>
      </w:r>
    </w:p>
    <w:p w14:paraId="36AD20AC" w14:textId="77777777" w:rsidR="00EC708E" w:rsidRPr="009A1E6F" w:rsidRDefault="00EC708E" w:rsidP="00BB27D7">
      <w:pPr>
        <w:pStyle w:val="ListParagraph"/>
        <w:numPr>
          <w:ilvl w:val="0"/>
          <w:numId w:val="15"/>
        </w:numPr>
        <w:autoSpaceDE w:val="0"/>
        <w:autoSpaceDN w:val="0"/>
        <w:adjustRightInd w:val="0"/>
        <w:spacing w:before="240" w:line="276" w:lineRule="auto"/>
        <w:ind w:left="720"/>
        <w:jc w:val="both"/>
        <w:rPr>
          <w:color w:val="000000"/>
          <w:lang w:eastAsia="en-GB"/>
        </w:rPr>
      </w:pPr>
      <w:r w:rsidRPr="009A1E6F">
        <w:rPr>
          <w:color w:val="000000"/>
          <w:lang w:eastAsia="en-GB"/>
        </w:rPr>
        <w:t>Mirjana Trajanovska – Senior Manager for Treasury and Finance, member;</w:t>
      </w:r>
      <w:r w:rsidRPr="009A1E6F">
        <w:rPr>
          <w:rStyle w:val="FootnoteReference"/>
          <w:color w:val="000000"/>
          <w:lang w:eastAsia="en-GB"/>
        </w:rPr>
        <w:footnoteReference w:id="2"/>
      </w:r>
    </w:p>
    <w:p w14:paraId="2ACB298C" w14:textId="77777777" w:rsidR="00EC708E" w:rsidRPr="009A1E6F" w:rsidRDefault="00EC708E" w:rsidP="00BB27D7">
      <w:pPr>
        <w:pStyle w:val="ListParagraph"/>
        <w:numPr>
          <w:ilvl w:val="0"/>
          <w:numId w:val="15"/>
        </w:numPr>
        <w:autoSpaceDE w:val="0"/>
        <w:autoSpaceDN w:val="0"/>
        <w:adjustRightInd w:val="0"/>
        <w:spacing w:before="240" w:line="276" w:lineRule="auto"/>
        <w:ind w:left="720"/>
        <w:jc w:val="both"/>
        <w:rPr>
          <w:color w:val="000000"/>
          <w:lang w:eastAsia="en-GB"/>
        </w:rPr>
      </w:pPr>
      <w:r w:rsidRPr="009A1E6F">
        <w:rPr>
          <w:color w:val="000000"/>
          <w:lang w:eastAsia="en-GB"/>
        </w:rPr>
        <w:t>Vlado Treneski –Senior Manager of Corporate Banking Division, member;</w:t>
      </w:r>
    </w:p>
    <w:p w14:paraId="4F05A923" w14:textId="77777777" w:rsidR="00EC708E" w:rsidRPr="009A1E6F" w:rsidRDefault="00EC708E" w:rsidP="00BB27D7">
      <w:pPr>
        <w:pStyle w:val="ListParagraph"/>
        <w:numPr>
          <w:ilvl w:val="0"/>
          <w:numId w:val="15"/>
        </w:numPr>
        <w:autoSpaceDE w:val="0"/>
        <w:autoSpaceDN w:val="0"/>
        <w:adjustRightInd w:val="0"/>
        <w:spacing w:before="240" w:line="276" w:lineRule="auto"/>
        <w:ind w:left="720"/>
        <w:jc w:val="both"/>
        <w:rPr>
          <w:color w:val="000000"/>
          <w:lang w:eastAsia="en-GB"/>
        </w:rPr>
      </w:pPr>
      <w:r w:rsidRPr="009A1E6F">
        <w:rPr>
          <w:color w:val="000000"/>
          <w:lang w:eastAsia="en-GB"/>
        </w:rPr>
        <w:t>Mirko Avramovski - Manager of Collection Division, member;</w:t>
      </w:r>
    </w:p>
    <w:p w14:paraId="27369648" w14:textId="77777777" w:rsidR="00EC708E" w:rsidRPr="009A1E6F" w:rsidRDefault="00EC708E" w:rsidP="00BB27D7">
      <w:pPr>
        <w:pStyle w:val="ListParagraph"/>
        <w:numPr>
          <w:ilvl w:val="0"/>
          <w:numId w:val="15"/>
        </w:numPr>
        <w:autoSpaceDE w:val="0"/>
        <w:autoSpaceDN w:val="0"/>
        <w:adjustRightInd w:val="0"/>
        <w:spacing w:before="240" w:line="276" w:lineRule="auto"/>
        <w:ind w:left="720"/>
        <w:jc w:val="both"/>
        <w:rPr>
          <w:color w:val="000000"/>
          <w:lang w:eastAsia="en-GB"/>
        </w:rPr>
      </w:pPr>
      <w:r w:rsidRPr="009A1E6F">
        <w:rPr>
          <w:color w:val="000000"/>
          <w:lang w:eastAsia="en-GB"/>
        </w:rPr>
        <w:t>Emilija Stojanova - Manager of Risk Management Division, member.</w:t>
      </w:r>
    </w:p>
    <w:p w14:paraId="74301794" w14:textId="77777777" w:rsidR="00EC708E" w:rsidRPr="009A1E6F" w:rsidRDefault="00EC708E" w:rsidP="00BB27D7">
      <w:pPr>
        <w:autoSpaceDE w:val="0"/>
        <w:autoSpaceDN w:val="0"/>
        <w:adjustRightInd w:val="0"/>
        <w:spacing w:before="240"/>
        <w:jc w:val="both"/>
        <w:rPr>
          <w:rFonts w:ascii="Times New Roman" w:eastAsia="Times New Roman" w:hAnsi="Times New Roman"/>
          <w:color w:val="000000"/>
          <w:sz w:val="24"/>
          <w:szCs w:val="24"/>
          <w:lang w:eastAsia="en-GB"/>
        </w:rPr>
      </w:pPr>
      <w:r w:rsidRPr="009A1E6F">
        <w:rPr>
          <w:rFonts w:ascii="Times New Roman" w:eastAsia="Times New Roman" w:hAnsi="Times New Roman"/>
          <w:sz w:val="24"/>
          <w:szCs w:val="24"/>
          <w:lang w:val="en-GB" w:eastAsia="en-GB"/>
        </w:rPr>
        <w:t xml:space="preserve">Members of the Risk Management Committee, </w:t>
      </w:r>
      <w:r w:rsidRPr="009A1E6F">
        <w:rPr>
          <w:rFonts w:ascii="Times New Roman" w:eastAsia="Times New Roman" w:hAnsi="Times New Roman"/>
          <w:sz w:val="24"/>
          <w:szCs w:val="24"/>
          <w:lang w:val="en-AU"/>
        </w:rPr>
        <w:t>in addition to the requirements stipulated with the Banking Law,</w:t>
      </w:r>
      <w:r w:rsidRPr="009A1E6F">
        <w:rPr>
          <w:rFonts w:ascii="Times New Roman" w:eastAsia="Times New Roman" w:hAnsi="Times New Roman"/>
          <w:sz w:val="24"/>
          <w:szCs w:val="24"/>
          <w:lang w:val="en-GB" w:eastAsia="en-GB"/>
        </w:rPr>
        <w:t xml:space="preserve"> have minimum three-year experience in the area of finance or banking. </w:t>
      </w:r>
      <w:r w:rsidRPr="009A1E6F">
        <w:rPr>
          <w:rFonts w:ascii="Times New Roman" w:eastAsia="Times New Roman" w:hAnsi="Times New Roman"/>
          <w:color w:val="000000"/>
          <w:sz w:val="24"/>
          <w:szCs w:val="24"/>
          <w:lang w:eastAsia="en-GB"/>
        </w:rPr>
        <w:t xml:space="preserve">The responsibilities of RMC are as follows: </w:t>
      </w:r>
    </w:p>
    <w:p w14:paraId="74057748" w14:textId="77777777" w:rsidR="00EC708E" w:rsidRPr="009A1E6F" w:rsidRDefault="00EC708E" w:rsidP="00BB27D7">
      <w:pPr>
        <w:pStyle w:val="ListParagraph"/>
        <w:numPr>
          <w:ilvl w:val="0"/>
          <w:numId w:val="21"/>
        </w:numPr>
        <w:autoSpaceDE w:val="0"/>
        <w:autoSpaceDN w:val="0"/>
        <w:adjustRightInd w:val="0"/>
        <w:spacing w:line="276" w:lineRule="auto"/>
        <w:jc w:val="both"/>
        <w:rPr>
          <w:lang w:val="en-GB" w:eastAsia="en-GB"/>
        </w:rPr>
      </w:pPr>
      <w:r w:rsidRPr="009A1E6F">
        <w:rPr>
          <w:lang w:val="en-GB" w:eastAsia="en-GB"/>
        </w:rPr>
        <w:t>permanently monitors and assesses the risk level of SB, and identifies the acceptable level of exposure to risks in order to minimize the losses as a result of the SB risk exposure;</w:t>
      </w:r>
    </w:p>
    <w:p w14:paraId="10BE025D" w14:textId="77777777" w:rsidR="00EC708E" w:rsidRPr="009A1E6F" w:rsidRDefault="00EC708E" w:rsidP="00BB27D7">
      <w:pPr>
        <w:pStyle w:val="ListParagraph"/>
        <w:numPr>
          <w:ilvl w:val="0"/>
          <w:numId w:val="21"/>
        </w:numPr>
        <w:autoSpaceDE w:val="0"/>
        <w:autoSpaceDN w:val="0"/>
        <w:adjustRightInd w:val="0"/>
        <w:spacing w:line="276" w:lineRule="auto"/>
        <w:jc w:val="both"/>
        <w:rPr>
          <w:lang w:val="en-GB" w:eastAsia="en-GB"/>
        </w:rPr>
      </w:pPr>
      <w:r w:rsidRPr="009A1E6F">
        <w:rPr>
          <w:lang w:val="en-GB" w:eastAsia="en-GB"/>
        </w:rPr>
        <w:t>establishes risk management policies and monitors their implementation;</w:t>
      </w:r>
    </w:p>
    <w:p w14:paraId="646D7157" w14:textId="77777777" w:rsidR="00EC708E" w:rsidRPr="009A1E6F" w:rsidRDefault="00EC708E" w:rsidP="00BB27D7">
      <w:pPr>
        <w:pStyle w:val="ListParagraph"/>
        <w:numPr>
          <w:ilvl w:val="0"/>
          <w:numId w:val="21"/>
        </w:numPr>
        <w:autoSpaceDE w:val="0"/>
        <w:autoSpaceDN w:val="0"/>
        <w:adjustRightInd w:val="0"/>
        <w:spacing w:line="276" w:lineRule="auto"/>
        <w:jc w:val="both"/>
        <w:rPr>
          <w:lang w:val="en-GB" w:eastAsia="en-GB"/>
        </w:rPr>
      </w:pPr>
      <w:r w:rsidRPr="009A1E6F">
        <w:rPr>
          <w:lang w:val="en-GB" w:eastAsia="en-GB"/>
        </w:rPr>
        <w:t>follows the regulations of the National Bank pertaining to the risk management and SB compliance with such regulations;</w:t>
      </w:r>
    </w:p>
    <w:p w14:paraId="55A2025A" w14:textId="77777777" w:rsidR="00EC708E" w:rsidRPr="009A1E6F" w:rsidRDefault="00EC708E" w:rsidP="00BB27D7">
      <w:pPr>
        <w:pStyle w:val="ListParagraph"/>
        <w:numPr>
          <w:ilvl w:val="0"/>
          <w:numId w:val="21"/>
        </w:numPr>
        <w:autoSpaceDE w:val="0"/>
        <w:autoSpaceDN w:val="0"/>
        <w:adjustRightInd w:val="0"/>
        <w:spacing w:line="276" w:lineRule="auto"/>
        <w:jc w:val="both"/>
        <w:rPr>
          <w:lang w:val="en-GB" w:eastAsia="en-GB"/>
        </w:rPr>
      </w:pPr>
      <w:r w:rsidRPr="009A1E6F">
        <w:rPr>
          <w:lang w:val="en-GB" w:eastAsia="en-GB"/>
        </w:rPr>
        <w:t>assesses SB risk management systems;</w:t>
      </w:r>
    </w:p>
    <w:p w14:paraId="4341182D" w14:textId="77777777" w:rsidR="00EC708E" w:rsidRPr="009A1E6F" w:rsidRDefault="00EC708E" w:rsidP="00BB27D7">
      <w:pPr>
        <w:pStyle w:val="ListParagraph"/>
        <w:numPr>
          <w:ilvl w:val="0"/>
          <w:numId w:val="21"/>
        </w:numPr>
        <w:autoSpaceDE w:val="0"/>
        <w:autoSpaceDN w:val="0"/>
        <w:adjustRightInd w:val="0"/>
        <w:spacing w:line="276" w:lineRule="auto"/>
        <w:jc w:val="both"/>
        <w:rPr>
          <w:lang w:val="en-GB" w:eastAsia="en-GB"/>
        </w:rPr>
      </w:pPr>
      <w:r w:rsidRPr="009A1E6F">
        <w:rPr>
          <w:lang w:val="en-GB" w:eastAsia="en-GB"/>
        </w:rPr>
        <w:t>determines short and long-term strategies for managing certain types of risks SB is exposed to;</w:t>
      </w:r>
    </w:p>
    <w:p w14:paraId="33495C40" w14:textId="77777777" w:rsidR="00EC708E" w:rsidRPr="009A1E6F" w:rsidRDefault="00EC708E" w:rsidP="00BB27D7">
      <w:pPr>
        <w:pStyle w:val="ListParagraph"/>
        <w:numPr>
          <w:ilvl w:val="0"/>
          <w:numId w:val="21"/>
        </w:numPr>
        <w:autoSpaceDE w:val="0"/>
        <w:autoSpaceDN w:val="0"/>
        <w:adjustRightInd w:val="0"/>
        <w:spacing w:line="276" w:lineRule="auto"/>
        <w:jc w:val="both"/>
        <w:rPr>
          <w:lang w:val="en-GB" w:eastAsia="en-GB"/>
        </w:rPr>
      </w:pPr>
      <w:r w:rsidRPr="009A1E6F">
        <w:rPr>
          <w:lang w:val="en-GB" w:eastAsia="en-GB"/>
        </w:rPr>
        <w:t>analyses the reports on SB risk exposure developed by SB risk assessment units and proposes risk hedging strategies, measures and instruments;</w:t>
      </w:r>
    </w:p>
    <w:p w14:paraId="2064DE4A" w14:textId="77777777" w:rsidR="00EC708E" w:rsidRPr="009A1E6F" w:rsidRDefault="00EC708E" w:rsidP="00BB27D7">
      <w:pPr>
        <w:pStyle w:val="ListParagraph"/>
        <w:numPr>
          <w:ilvl w:val="0"/>
          <w:numId w:val="21"/>
        </w:numPr>
        <w:autoSpaceDE w:val="0"/>
        <w:autoSpaceDN w:val="0"/>
        <w:adjustRightInd w:val="0"/>
        <w:spacing w:line="276" w:lineRule="auto"/>
        <w:jc w:val="both"/>
        <w:rPr>
          <w:lang w:val="en-GB" w:eastAsia="en-GB"/>
        </w:rPr>
      </w:pPr>
      <w:r w:rsidRPr="009A1E6F">
        <w:rPr>
          <w:lang w:val="en-GB" w:eastAsia="en-GB"/>
        </w:rPr>
        <w:t>monitors the efficiency of the internal control systems in the risk management;</w:t>
      </w:r>
    </w:p>
    <w:p w14:paraId="58B08AF5" w14:textId="77777777" w:rsidR="00EC708E" w:rsidRPr="009A1E6F" w:rsidRDefault="00EC708E" w:rsidP="00BB27D7">
      <w:pPr>
        <w:pStyle w:val="ListParagraph"/>
        <w:numPr>
          <w:ilvl w:val="0"/>
          <w:numId w:val="21"/>
        </w:numPr>
        <w:autoSpaceDE w:val="0"/>
        <w:autoSpaceDN w:val="0"/>
        <w:adjustRightInd w:val="0"/>
        <w:spacing w:line="276" w:lineRule="auto"/>
        <w:jc w:val="both"/>
        <w:rPr>
          <w:lang w:val="en-GB" w:eastAsia="en-GB"/>
        </w:rPr>
      </w:pPr>
      <w:r w:rsidRPr="009A1E6F">
        <w:rPr>
          <w:lang w:val="en-GB" w:eastAsia="en-GB"/>
        </w:rPr>
        <w:t>analyses the risk management effects on SB performances;</w:t>
      </w:r>
    </w:p>
    <w:p w14:paraId="07CFBD30" w14:textId="77777777" w:rsidR="00EC708E" w:rsidRPr="009A1E6F" w:rsidRDefault="00EC708E" w:rsidP="00BB27D7">
      <w:pPr>
        <w:pStyle w:val="ListParagraph"/>
        <w:numPr>
          <w:ilvl w:val="0"/>
          <w:numId w:val="21"/>
        </w:numPr>
        <w:autoSpaceDE w:val="0"/>
        <w:autoSpaceDN w:val="0"/>
        <w:adjustRightInd w:val="0"/>
        <w:spacing w:line="276" w:lineRule="auto"/>
        <w:jc w:val="both"/>
        <w:rPr>
          <w:lang w:val="en-GB" w:eastAsia="en-GB"/>
        </w:rPr>
      </w:pPr>
      <w:r w:rsidRPr="009A1E6F">
        <w:rPr>
          <w:lang w:val="en-GB" w:eastAsia="en-GB"/>
        </w:rPr>
        <w:t>analyses the effects of the proposed risk management strategies, as well as the proposed risk hedging strategies, measures and instruments;</w:t>
      </w:r>
    </w:p>
    <w:p w14:paraId="4799884B" w14:textId="77777777" w:rsidR="00EC708E" w:rsidRPr="009A1E6F" w:rsidRDefault="00EC708E" w:rsidP="00BB27D7">
      <w:pPr>
        <w:pStyle w:val="ListParagraph"/>
        <w:numPr>
          <w:ilvl w:val="0"/>
          <w:numId w:val="21"/>
        </w:numPr>
        <w:tabs>
          <w:tab w:val="left" w:pos="851"/>
        </w:tabs>
        <w:autoSpaceDE w:val="0"/>
        <w:autoSpaceDN w:val="0"/>
        <w:adjustRightInd w:val="0"/>
        <w:spacing w:line="276" w:lineRule="auto"/>
        <w:jc w:val="both"/>
        <w:rPr>
          <w:lang w:val="en-GB" w:eastAsia="en-GB"/>
        </w:rPr>
      </w:pPr>
      <w:r w:rsidRPr="009A1E6F">
        <w:rPr>
          <w:lang w:val="en-GB" w:eastAsia="en-GB"/>
        </w:rPr>
        <w:lastRenderedPageBreak/>
        <w:t>assesses whether the pricing of the bank’s products and services is aligned with the level of undertaken risks and in accordance with the business policy and the development plan of the bank;</w:t>
      </w:r>
    </w:p>
    <w:p w14:paraId="680E8561" w14:textId="77777777" w:rsidR="00EC708E" w:rsidRPr="009A1E6F" w:rsidRDefault="00EC708E" w:rsidP="00BB27D7">
      <w:pPr>
        <w:pStyle w:val="ListParagraph"/>
        <w:numPr>
          <w:ilvl w:val="0"/>
          <w:numId w:val="21"/>
        </w:numPr>
        <w:autoSpaceDE w:val="0"/>
        <w:autoSpaceDN w:val="0"/>
        <w:adjustRightInd w:val="0"/>
        <w:spacing w:line="276" w:lineRule="auto"/>
        <w:jc w:val="both"/>
        <w:rPr>
          <w:lang w:val="en-GB" w:eastAsia="en-GB"/>
        </w:rPr>
      </w:pPr>
      <w:r w:rsidRPr="009A1E6F">
        <w:rPr>
          <w:lang w:val="en-GB" w:eastAsia="en-GB"/>
        </w:rPr>
        <w:t>informs, at least once per quarter, the SB Supervisory Board, ,on the changes in SB risk positions, the changes in the risk management strategies, the risk management effects on SB performances as well as the undertaken measures and instruments for hedging risks and the effects thereof; and</w:t>
      </w:r>
    </w:p>
    <w:p w14:paraId="101FB5CE" w14:textId="77777777" w:rsidR="00EC708E" w:rsidRPr="009A1E6F" w:rsidRDefault="00EC708E" w:rsidP="00BB27D7">
      <w:pPr>
        <w:pStyle w:val="ListParagraph"/>
        <w:numPr>
          <w:ilvl w:val="0"/>
          <w:numId w:val="21"/>
        </w:numPr>
        <w:autoSpaceDE w:val="0"/>
        <w:autoSpaceDN w:val="0"/>
        <w:adjustRightInd w:val="0"/>
        <w:spacing w:line="276" w:lineRule="auto"/>
        <w:jc w:val="both"/>
        <w:rPr>
          <w:lang w:val="en-GB" w:eastAsia="en-GB"/>
        </w:rPr>
      </w:pPr>
      <w:proofErr w:type="gramStart"/>
      <w:r w:rsidRPr="009A1E6F">
        <w:rPr>
          <w:lang w:val="en-GB" w:eastAsia="en-GB"/>
        </w:rPr>
        <w:t>approves</w:t>
      </w:r>
      <w:proofErr w:type="gramEnd"/>
      <w:r w:rsidRPr="009A1E6F">
        <w:rPr>
          <w:lang w:val="en-GB" w:eastAsia="en-GB"/>
        </w:rPr>
        <w:t xml:space="preserve"> any exposure to an entity exceeding 10% and up to 20% of SB's own funds.</w:t>
      </w:r>
    </w:p>
    <w:p w14:paraId="2B8E51F7" w14:textId="77777777" w:rsidR="00EC708E" w:rsidRPr="009A1E6F" w:rsidRDefault="00EC708E" w:rsidP="00BB27D7">
      <w:pPr>
        <w:pStyle w:val="ListParagraph"/>
        <w:autoSpaceDE w:val="0"/>
        <w:autoSpaceDN w:val="0"/>
        <w:adjustRightInd w:val="0"/>
        <w:spacing w:line="276" w:lineRule="auto"/>
        <w:ind w:left="1170"/>
        <w:jc w:val="both"/>
        <w:rPr>
          <w:lang w:val="en-GB" w:eastAsia="en-GB"/>
        </w:rPr>
      </w:pPr>
    </w:p>
    <w:p w14:paraId="0DEB3811" w14:textId="77777777" w:rsidR="00EC708E" w:rsidRPr="009A1E6F" w:rsidRDefault="00EC708E" w:rsidP="00BB27D7">
      <w:pPr>
        <w:pStyle w:val="ListParagraph"/>
        <w:autoSpaceDE w:val="0"/>
        <w:autoSpaceDN w:val="0"/>
        <w:adjustRightInd w:val="0"/>
        <w:spacing w:line="276" w:lineRule="auto"/>
        <w:ind w:left="1170"/>
        <w:jc w:val="both"/>
        <w:rPr>
          <w:lang w:val="en-GB" w:eastAsia="en-GB"/>
        </w:rPr>
      </w:pPr>
    </w:p>
    <w:p w14:paraId="13D294A8" w14:textId="77777777" w:rsidR="00EC708E" w:rsidRPr="009A1E6F" w:rsidRDefault="00EC708E" w:rsidP="00BB27D7">
      <w:pPr>
        <w:pStyle w:val="ListParagraph"/>
        <w:numPr>
          <w:ilvl w:val="0"/>
          <w:numId w:val="19"/>
        </w:numPr>
        <w:autoSpaceDE w:val="0"/>
        <w:autoSpaceDN w:val="0"/>
        <w:adjustRightInd w:val="0"/>
        <w:spacing w:before="240" w:line="276" w:lineRule="auto"/>
        <w:ind w:left="0" w:firstLine="3"/>
        <w:jc w:val="both"/>
        <w:rPr>
          <w:b/>
          <w:lang w:val="en-GB" w:eastAsia="en-GB"/>
        </w:rPr>
      </w:pPr>
      <w:r w:rsidRPr="009A1E6F">
        <w:rPr>
          <w:b/>
          <w:lang w:val="en-GB" w:eastAsia="en-GB"/>
        </w:rPr>
        <w:t>REMUNERATION COMMITTEE</w:t>
      </w:r>
    </w:p>
    <w:p w14:paraId="109DB884" w14:textId="77777777" w:rsidR="00EC708E" w:rsidRPr="009A1E6F" w:rsidRDefault="00EC708E" w:rsidP="00BB27D7">
      <w:pPr>
        <w:pStyle w:val="ListParagraph"/>
        <w:autoSpaceDE w:val="0"/>
        <w:autoSpaceDN w:val="0"/>
        <w:adjustRightInd w:val="0"/>
        <w:spacing w:before="480" w:line="276" w:lineRule="auto"/>
        <w:ind w:left="0" w:firstLine="720"/>
        <w:jc w:val="both"/>
        <w:rPr>
          <w:lang w:val="en-GB" w:eastAsia="en-GB"/>
        </w:rPr>
      </w:pPr>
    </w:p>
    <w:p w14:paraId="0DBC5E5F" w14:textId="77777777" w:rsidR="00EC708E" w:rsidRPr="009A1E6F" w:rsidRDefault="00EC708E" w:rsidP="00BB27D7">
      <w:pPr>
        <w:pStyle w:val="ListParagraph"/>
        <w:autoSpaceDE w:val="0"/>
        <w:autoSpaceDN w:val="0"/>
        <w:adjustRightInd w:val="0"/>
        <w:spacing w:before="240" w:line="276" w:lineRule="auto"/>
        <w:ind w:left="0"/>
        <w:jc w:val="both"/>
        <w:rPr>
          <w:lang w:val="en-GB" w:eastAsia="en-GB"/>
        </w:rPr>
      </w:pPr>
      <w:r w:rsidRPr="009A1E6F">
        <w:rPr>
          <w:lang w:val="en-GB" w:eastAsia="en-GB"/>
        </w:rPr>
        <w:t>Since November 2013, the Remuneration Committee is assisting the Supervisory Board in implementation of the Remuneration Policy of SB.</w:t>
      </w:r>
    </w:p>
    <w:p w14:paraId="0E7D21C1" w14:textId="77777777" w:rsidR="00EC708E" w:rsidRPr="009A1E6F" w:rsidRDefault="00EC708E" w:rsidP="00BB27D7">
      <w:pPr>
        <w:pStyle w:val="ListParagraph"/>
        <w:autoSpaceDE w:val="0"/>
        <w:autoSpaceDN w:val="0"/>
        <w:adjustRightInd w:val="0"/>
        <w:spacing w:before="240" w:line="276" w:lineRule="auto"/>
        <w:ind w:left="0"/>
        <w:jc w:val="both"/>
        <w:rPr>
          <w:lang w:val="en-GB" w:eastAsia="en-GB"/>
        </w:rPr>
      </w:pPr>
    </w:p>
    <w:p w14:paraId="7184A846" w14:textId="77777777" w:rsidR="00EC708E" w:rsidRPr="009A1E6F" w:rsidRDefault="00EC708E" w:rsidP="00BB27D7">
      <w:pPr>
        <w:pStyle w:val="ListParagraph"/>
        <w:autoSpaceDE w:val="0"/>
        <w:autoSpaceDN w:val="0"/>
        <w:adjustRightInd w:val="0"/>
        <w:spacing w:before="240" w:line="276" w:lineRule="auto"/>
        <w:ind w:left="0"/>
        <w:jc w:val="both"/>
        <w:rPr>
          <w:lang w:val="en-GB" w:eastAsia="en-GB"/>
        </w:rPr>
      </w:pPr>
      <w:r w:rsidRPr="009A1E6F">
        <w:rPr>
          <w:lang w:val="en-GB" w:eastAsia="en-GB"/>
        </w:rPr>
        <w:t>In accordance with the Remuneration Policy of SB, the committee is composed of three Supervisory Board members, majority of whom should be the independent ones, including its Chairman, appointed by the Supe</w:t>
      </w:r>
      <w:r>
        <w:rPr>
          <w:lang w:val="en-GB" w:eastAsia="en-GB"/>
        </w:rPr>
        <w:t>rvisory Board. Thus, during 2022</w:t>
      </w:r>
      <w:r w:rsidRPr="009A1E6F">
        <w:rPr>
          <w:lang w:val="en-GB" w:eastAsia="en-GB"/>
        </w:rPr>
        <w:t>, members of the Remuneration Committee are as follows:</w:t>
      </w:r>
    </w:p>
    <w:p w14:paraId="09388A5B" w14:textId="77777777" w:rsidR="00EC708E" w:rsidRPr="009A1E6F" w:rsidRDefault="00EC708E" w:rsidP="00BB27D7">
      <w:pPr>
        <w:pStyle w:val="ListParagraph"/>
        <w:autoSpaceDE w:val="0"/>
        <w:autoSpaceDN w:val="0"/>
        <w:adjustRightInd w:val="0"/>
        <w:spacing w:before="240" w:line="276" w:lineRule="auto"/>
        <w:ind w:left="0"/>
        <w:jc w:val="both"/>
        <w:rPr>
          <w:lang w:val="en-GB" w:eastAsia="en-GB"/>
        </w:rPr>
      </w:pPr>
    </w:p>
    <w:p w14:paraId="59208186" w14:textId="77777777" w:rsidR="00EC708E" w:rsidRPr="009A1E6F" w:rsidRDefault="00EC708E" w:rsidP="00BB27D7">
      <w:pPr>
        <w:pStyle w:val="ListParagraph"/>
        <w:numPr>
          <w:ilvl w:val="0"/>
          <w:numId w:val="16"/>
        </w:numPr>
        <w:autoSpaceDE w:val="0"/>
        <w:autoSpaceDN w:val="0"/>
        <w:adjustRightInd w:val="0"/>
        <w:spacing w:before="240" w:line="276" w:lineRule="auto"/>
        <w:jc w:val="both"/>
        <w:rPr>
          <w:lang w:val="en-GB" w:eastAsia="en-GB"/>
        </w:rPr>
      </w:pPr>
      <w:r w:rsidRPr="009A1E6F">
        <w:rPr>
          <w:lang w:val="en-GB" w:eastAsia="en-GB"/>
        </w:rPr>
        <w:t>Vladimir Filipovski, independent member of the Supervisory Board, Chairman;</w:t>
      </w:r>
    </w:p>
    <w:p w14:paraId="4F15E1EC" w14:textId="77777777" w:rsidR="00EC708E" w:rsidRPr="009A1E6F" w:rsidRDefault="00EC708E" w:rsidP="00BB27D7">
      <w:pPr>
        <w:pStyle w:val="ListParagraph"/>
        <w:numPr>
          <w:ilvl w:val="0"/>
          <w:numId w:val="16"/>
        </w:numPr>
        <w:autoSpaceDE w:val="0"/>
        <w:autoSpaceDN w:val="0"/>
        <w:adjustRightInd w:val="0"/>
        <w:spacing w:before="240" w:line="276" w:lineRule="auto"/>
        <w:jc w:val="both"/>
        <w:rPr>
          <w:lang w:val="en-GB" w:eastAsia="en-GB"/>
        </w:rPr>
      </w:pPr>
      <w:r w:rsidRPr="009A1E6F">
        <w:rPr>
          <w:lang w:val="en-GB" w:eastAsia="en-GB"/>
        </w:rPr>
        <w:t>Sasho Kjosev, independent member of the Supervisory Board, member; and</w:t>
      </w:r>
    </w:p>
    <w:p w14:paraId="1588F853" w14:textId="77777777" w:rsidR="00EC708E" w:rsidRPr="009A1E6F" w:rsidRDefault="00EC708E" w:rsidP="00BB27D7">
      <w:pPr>
        <w:pStyle w:val="ListParagraph"/>
        <w:numPr>
          <w:ilvl w:val="0"/>
          <w:numId w:val="16"/>
        </w:numPr>
        <w:autoSpaceDE w:val="0"/>
        <w:autoSpaceDN w:val="0"/>
        <w:adjustRightInd w:val="0"/>
        <w:spacing w:before="240" w:line="276" w:lineRule="auto"/>
        <w:jc w:val="both"/>
        <w:rPr>
          <w:lang w:val="en-GB" w:eastAsia="en-GB"/>
        </w:rPr>
      </w:pPr>
      <w:r w:rsidRPr="009A1E6F">
        <w:rPr>
          <w:lang w:val="en-GB" w:eastAsia="en-GB"/>
        </w:rPr>
        <w:t>Anastasios Lizos, member of the Supervisory Board, member.</w:t>
      </w:r>
    </w:p>
    <w:p w14:paraId="42AB369C" w14:textId="77777777" w:rsidR="00EC708E" w:rsidRPr="009A1E6F" w:rsidRDefault="00EC708E" w:rsidP="00BB27D7">
      <w:pPr>
        <w:pStyle w:val="ListParagraph"/>
        <w:autoSpaceDE w:val="0"/>
        <w:autoSpaceDN w:val="0"/>
        <w:adjustRightInd w:val="0"/>
        <w:spacing w:before="240" w:line="276" w:lineRule="auto"/>
        <w:ind w:left="1440"/>
        <w:jc w:val="both"/>
        <w:rPr>
          <w:lang w:val="en-GB" w:eastAsia="en-GB"/>
        </w:rPr>
      </w:pPr>
    </w:p>
    <w:p w14:paraId="3D5AC9D3" w14:textId="77777777" w:rsidR="00EC708E" w:rsidRPr="009A1E6F" w:rsidRDefault="00EC708E" w:rsidP="00BB27D7">
      <w:pPr>
        <w:pStyle w:val="ListParagraph"/>
        <w:autoSpaceDE w:val="0"/>
        <w:autoSpaceDN w:val="0"/>
        <w:adjustRightInd w:val="0"/>
        <w:spacing w:before="240" w:line="276" w:lineRule="auto"/>
        <w:ind w:left="0"/>
        <w:jc w:val="both"/>
        <w:rPr>
          <w:lang w:val="en-GB" w:eastAsia="en-GB"/>
        </w:rPr>
      </w:pPr>
      <w:r w:rsidRPr="009A1E6F">
        <w:rPr>
          <w:lang w:val="en-GB" w:eastAsia="en-GB"/>
        </w:rPr>
        <w:t xml:space="preserve">The term of office of the members of the Remuneration Committee is one year, with an unlimited right for re-appointment of the members as long as they are members of the Supervisory Board. </w:t>
      </w:r>
      <w:r w:rsidRPr="009A1E6F">
        <w:t xml:space="preserve">The Remuneration Committee’ responsibilities are regulated in the Remuneration Policy of Stopanska Banka and the Rules of Operations of the Remuneration Committee, following the relevant provisions of the Central Bank’ Decision on good corporate governance rules in banks. In brief, RC assists the Supervisory Board in setting and following the remuneration policy and practices of the Bank. </w:t>
      </w:r>
    </w:p>
    <w:p w14:paraId="5EFD849C" w14:textId="77777777" w:rsidR="00EC708E" w:rsidRPr="009A1E6F" w:rsidRDefault="00EC708E" w:rsidP="00BB27D7">
      <w:pPr>
        <w:pStyle w:val="Default"/>
        <w:spacing w:line="276" w:lineRule="auto"/>
        <w:jc w:val="both"/>
      </w:pPr>
    </w:p>
    <w:p w14:paraId="3ED53029" w14:textId="77777777" w:rsidR="00EC708E" w:rsidRPr="009A1E6F" w:rsidRDefault="00EC708E" w:rsidP="00BB27D7">
      <w:pPr>
        <w:pStyle w:val="Default"/>
        <w:spacing w:line="276" w:lineRule="auto"/>
        <w:jc w:val="both"/>
      </w:pPr>
      <w:r w:rsidRPr="009A1E6F">
        <w:t xml:space="preserve">During 2022, the Remuneration Committee held </w:t>
      </w:r>
      <w:r w:rsidRPr="009A1E6F">
        <w:rPr>
          <w:b/>
        </w:rPr>
        <w:t>t</w:t>
      </w:r>
      <w:r w:rsidRPr="009A1E6F">
        <w:rPr>
          <w:b/>
          <w:lang w:val="en-US"/>
        </w:rPr>
        <w:t>hree</w:t>
      </w:r>
      <w:r w:rsidRPr="009A1E6F">
        <w:rPr>
          <w:b/>
        </w:rPr>
        <w:t xml:space="preserve"> regular meetings</w:t>
      </w:r>
      <w:r w:rsidRPr="009A1E6F">
        <w:t xml:space="preserve">, as required by the local legislation and in accordance with its Rules of Operations and Remuneration Policy. Following its Annual Operational Plan, the following main items </w:t>
      </w:r>
      <w:proofErr w:type="gramStart"/>
      <w:r w:rsidRPr="009A1E6F">
        <w:t>were passed</w:t>
      </w:r>
      <w:proofErr w:type="gramEnd"/>
      <w:r w:rsidRPr="009A1E6F">
        <w:t xml:space="preserve">: </w:t>
      </w:r>
    </w:p>
    <w:p w14:paraId="13A5666B" w14:textId="77777777" w:rsidR="00EC708E" w:rsidRPr="009A1E6F" w:rsidRDefault="00EC708E" w:rsidP="00BB27D7">
      <w:pPr>
        <w:pStyle w:val="Default"/>
        <w:numPr>
          <w:ilvl w:val="0"/>
          <w:numId w:val="26"/>
        </w:numPr>
        <w:spacing w:line="276" w:lineRule="auto"/>
        <w:ind w:left="630"/>
        <w:jc w:val="both"/>
      </w:pPr>
      <w:r w:rsidRPr="009A1E6F">
        <w:rPr>
          <w:bCs/>
          <w:lang w:val="en-US"/>
        </w:rPr>
        <w:t xml:space="preserve">Review and approval of </w:t>
      </w:r>
      <w:r>
        <w:rPr>
          <w:bCs/>
          <w:lang w:val="en-US"/>
        </w:rPr>
        <w:t>the Remuneration Report for 2022</w:t>
      </w:r>
      <w:r w:rsidRPr="009A1E6F">
        <w:rPr>
          <w:bCs/>
          <w:lang w:val="en-US"/>
        </w:rPr>
        <w:t>, including the self-evaluation of the Remuneration Committee members</w:t>
      </w:r>
      <w:r w:rsidRPr="009A1E6F">
        <w:rPr>
          <w:bCs/>
          <w:lang w:val="mk-MK"/>
        </w:rPr>
        <w:t xml:space="preserve"> </w:t>
      </w:r>
      <w:r w:rsidRPr="009A1E6F">
        <w:rPr>
          <w:bCs/>
        </w:rPr>
        <w:t>and the Risk Management Committee Opinion on the Remuneration Policy</w:t>
      </w:r>
      <w:r w:rsidRPr="009A1E6F">
        <w:rPr>
          <w:bCs/>
          <w:lang w:val="en-US"/>
        </w:rPr>
        <w:t xml:space="preserve">; </w:t>
      </w:r>
    </w:p>
    <w:p w14:paraId="4B56E253" w14:textId="77777777" w:rsidR="00EC708E" w:rsidRPr="009A1E6F" w:rsidRDefault="00EC708E" w:rsidP="00BB27D7">
      <w:pPr>
        <w:pStyle w:val="Default"/>
        <w:numPr>
          <w:ilvl w:val="0"/>
          <w:numId w:val="26"/>
        </w:numPr>
        <w:spacing w:line="276" w:lineRule="auto"/>
        <w:ind w:left="630"/>
        <w:jc w:val="both"/>
      </w:pPr>
      <w:r w:rsidRPr="009A1E6F">
        <w:t>Review and approved the List of risk-takers covered by the Remuneration Policy;</w:t>
      </w:r>
    </w:p>
    <w:p w14:paraId="5F35609E" w14:textId="77777777" w:rsidR="00EC708E" w:rsidRPr="009A1E6F" w:rsidRDefault="00EC708E" w:rsidP="00BB27D7">
      <w:pPr>
        <w:pStyle w:val="Default"/>
        <w:numPr>
          <w:ilvl w:val="0"/>
          <w:numId w:val="26"/>
        </w:numPr>
        <w:spacing w:line="276" w:lineRule="auto"/>
        <w:ind w:left="630"/>
        <w:jc w:val="both"/>
      </w:pPr>
      <w:r w:rsidRPr="009A1E6F">
        <w:t xml:space="preserve">Regularly reviewed the staff cost and employer turnover trends of the Bank, ensuring that the management keep the staff cost and headcount within the Budget framework; </w:t>
      </w:r>
    </w:p>
    <w:p w14:paraId="1DC87EC4" w14:textId="77777777" w:rsidR="00EC708E" w:rsidRPr="009A1E6F" w:rsidRDefault="00EC708E" w:rsidP="00BB27D7">
      <w:pPr>
        <w:pStyle w:val="Default"/>
        <w:numPr>
          <w:ilvl w:val="0"/>
          <w:numId w:val="26"/>
        </w:numPr>
        <w:spacing w:line="276" w:lineRule="auto"/>
        <w:ind w:left="630"/>
        <w:jc w:val="both"/>
      </w:pPr>
      <w:r w:rsidRPr="009A1E6F">
        <w:rPr>
          <w:lang w:val="en-US"/>
        </w:rPr>
        <w:lastRenderedPageBreak/>
        <w:t>Approved</w:t>
      </w:r>
      <w:r w:rsidRPr="009A1E6F">
        <w:t xml:space="preserve"> the proposal for variable remuneration rewarded to SB management and the employees for achieving excellent results; </w:t>
      </w:r>
    </w:p>
    <w:p w14:paraId="2FB3F83A" w14:textId="77777777" w:rsidR="00EC708E" w:rsidRPr="009A1E6F" w:rsidRDefault="00EC708E" w:rsidP="00BB27D7">
      <w:pPr>
        <w:pStyle w:val="Default"/>
        <w:numPr>
          <w:ilvl w:val="0"/>
          <w:numId w:val="26"/>
        </w:numPr>
        <w:spacing w:line="276" w:lineRule="auto"/>
        <w:ind w:left="630"/>
        <w:jc w:val="both"/>
      </w:pPr>
      <w:r w:rsidRPr="009A1E6F">
        <w:t>Reviewed and discussed the regular annual Internal Audit Report on implementation of the Remuneration Policy</w:t>
      </w:r>
      <w:r w:rsidRPr="009A1E6F">
        <w:rPr>
          <w:lang w:val="mk-MK"/>
        </w:rPr>
        <w:t>.</w:t>
      </w:r>
      <w:r w:rsidRPr="009A1E6F">
        <w:t xml:space="preserve"> </w:t>
      </w:r>
    </w:p>
    <w:p w14:paraId="26468670" w14:textId="77777777" w:rsidR="00EC708E" w:rsidRPr="009A1E6F" w:rsidRDefault="00EC708E" w:rsidP="00BB27D7">
      <w:pPr>
        <w:pStyle w:val="Default"/>
        <w:spacing w:line="276" w:lineRule="auto"/>
        <w:ind w:left="1080"/>
        <w:jc w:val="both"/>
      </w:pPr>
    </w:p>
    <w:p w14:paraId="7AA04775" w14:textId="77777777" w:rsidR="00EC708E" w:rsidRPr="009A1E6F" w:rsidRDefault="00EC708E" w:rsidP="00BB27D7">
      <w:pPr>
        <w:autoSpaceDE w:val="0"/>
        <w:autoSpaceDN w:val="0"/>
        <w:adjustRightInd w:val="0"/>
        <w:spacing w:before="240"/>
        <w:jc w:val="both"/>
        <w:rPr>
          <w:rFonts w:ascii="Times New Roman" w:eastAsia="Times New Roman" w:hAnsi="Times New Roman"/>
          <w:color w:val="000000"/>
          <w:sz w:val="24"/>
          <w:szCs w:val="24"/>
          <w:lang w:eastAsia="en-GB"/>
        </w:rPr>
      </w:pPr>
      <w:r w:rsidRPr="009A1E6F">
        <w:rPr>
          <w:rFonts w:ascii="Times New Roman" w:eastAsia="Times New Roman" w:hAnsi="Times New Roman"/>
          <w:b/>
          <w:bCs/>
          <w:color w:val="000000"/>
          <w:sz w:val="24"/>
          <w:szCs w:val="24"/>
          <w:lang w:eastAsia="en-GB"/>
        </w:rPr>
        <w:t xml:space="preserve">1.3. BOARD OF DIRECTORS </w:t>
      </w:r>
    </w:p>
    <w:p w14:paraId="71E24C5C"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 xml:space="preserve">The Board of Directors of Stopanska Banka AD – Skopje consists of four members, appointed and/or dismissed by the Supervisory Board, with term of office of four years. </w:t>
      </w:r>
    </w:p>
    <w:p w14:paraId="1198652E" w14:textId="77777777" w:rsidR="00EC708E" w:rsidRPr="009A1E6F" w:rsidRDefault="00EC708E" w:rsidP="00BB27D7">
      <w:pPr>
        <w:autoSpaceDE w:val="0"/>
        <w:autoSpaceDN w:val="0"/>
        <w:adjustRightInd w:val="0"/>
        <w:spacing w:after="0"/>
        <w:ind w:firstLine="720"/>
        <w:jc w:val="both"/>
        <w:rPr>
          <w:rFonts w:ascii="Times New Roman" w:eastAsia="Times New Roman" w:hAnsi="Times New Roman"/>
          <w:color w:val="000000"/>
          <w:sz w:val="24"/>
          <w:szCs w:val="24"/>
          <w:lang w:eastAsia="en-GB"/>
        </w:rPr>
      </w:pPr>
    </w:p>
    <w:p w14:paraId="1E6E3DA6"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 xml:space="preserve">Thus, the composition of the Board of Directors during 2022 was: </w:t>
      </w:r>
    </w:p>
    <w:p w14:paraId="063FDC08" w14:textId="77777777" w:rsidR="00EC708E" w:rsidRPr="009A1E6F" w:rsidRDefault="00EC708E" w:rsidP="00BB27D7">
      <w:pPr>
        <w:pStyle w:val="ListParagraph"/>
        <w:numPr>
          <w:ilvl w:val="0"/>
          <w:numId w:val="14"/>
        </w:numPr>
        <w:autoSpaceDE w:val="0"/>
        <w:autoSpaceDN w:val="0"/>
        <w:adjustRightInd w:val="0"/>
        <w:spacing w:before="240" w:line="276" w:lineRule="auto"/>
        <w:ind w:left="540" w:hanging="180"/>
        <w:jc w:val="both"/>
        <w:rPr>
          <w:color w:val="000000"/>
          <w:lang w:eastAsia="en-GB"/>
        </w:rPr>
      </w:pPr>
      <w:r w:rsidRPr="009A1E6F">
        <w:rPr>
          <w:color w:val="000000"/>
          <w:lang w:eastAsia="en-GB"/>
        </w:rPr>
        <w:t xml:space="preserve"> Diomidis Nikoletopoulos, Chief Executive Officer and Chairman of Board of Directors;</w:t>
      </w:r>
    </w:p>
    <w:p w14:paraId="5AE8C066" w14:textId="77777777" w:rsidR="00EC708E" w:rsidRPr="009A1E6F" w:rsidRDefault="00EC708E" w:rsidP="00BB27D7">
      <w:pPr>
        <w:pStyle w:val="ListParagraph"/>
        <w:numPr>
          <w:ilvl w:val="0"/>
          <w:numId w:val="14"/>
        </w:numPr>
        <w:autoSpaceDE w:val="0"/>
        <w:autoSpaceDN w:val="0"/>
        <w:adjustRightInd w:val="0"/>
        <w:spacing w:before="240" w:line="276" w:lineRule="auto"/>
        <w:ind w:left="540" w:hanging="180"/>
        <w:jc w:val="both"/>
        <w:rPr>
          <w:color w:val="000000"/>
          <w:lang w:eastAsia="en-GB"/>
        </w:rPr>
      </w:pPr>
      <w:r w:rsidRPr="009A1E6F">
        <w:rPr>
          <w:color w:val="000000"/>
          <w:lang w:eastAsia="en-GB"/>
        </w:rPr>
        <w:t xml:space="preserve"> Toni Stojanovski, Chief Corporate Officer and member of the Board of Directors;</w:t>
      </w:r>
      <w:r w:rsidRPr="009A1E6F">
        <w:rPr>
          <w:rStyle w:val="FootnoteReference"/>
          <w:color w:val="000000"/>
          <w:lang w:eastAsia="en-GB"/>
        </w:rPr>
        <w:footnoteReference w:id="3"/>
      </w:r>
    </w:p>
    <w:p w14:paraId="2E29EA50" w14:textId="77777777" w:rsidR="00EC708E" w:rsidRPr="009A1E6F" w:rsidRDefault="00EC708E" w:rsidP="00BB27D7">
      <w:pPr>
        <w:pStyle w:val="ListParagraph"/>
        <w:numPr>
          <w:ilvl w:val="0"/>
          <w:numId w:val="14"/>
        </w:numPr>
        <w:autoSpaceDE w:val="0"/>
        <w:autoSpaceDN w:val="0"/>
        <w:adjustRightInd w:val="0"/>
        <w:spacing w:before="240" w:line="276" w:lineRule="auto"/>
        <w:ind w:left="540" w:hanging="180"/>
        <w:jc w:val="both"/>
        <w:rPr>
          <w:color w:val="000000"/>
          <w:lang w:eastAsia="en-GB"/>
        </w:rPr>
      </w:pPr>
      <w:r w:rsidRPr="009A1E6F">
        <w:rPr>
          <w:color w:val="000000"/>
          <w:lang w:eastAsia="en-GB"/>
        </w:rPr>
        <w:t xml:space="preserve"> Milica Chaparovska-Jovanovska, Chief Retail Officer and member of the Board of  Directors;</w:t>
      </w:r>
    </w:p>
    <w:p w14:paraId="190ED010" w14:textId="77777777" w:rsidR="00EC708E" w:rsidRPr="009A1E6F" w:rsidRDefault="00EC708E" w:rsidP="00BB27D7">
      <w:pPr>
        <w:pStyle w:val="ListParagraph"/>
        <w:numPr>
          <w:ilvl w:val="0"/>
          <w:numId w:val="14"/>
        </w:numPr>
        <w:autoSpaceDE w:val="0"/>
        <w:autoSpaceDN w:val="0"/>
        <w:adjustRightInd w:val="0"/>
        <w:spacing w:before="240" w:line="276" w:lineRule="auto"/>
        <w:ind w:left="540" w:hanging="180"/>
        <w:jc w:val="both"/>
        <w:rPr>
          <w:color w:val="000000"/>
          <w:lang w:eastAsia="en-GB"/>
        </w:rPr>
      </w:pPr>
      <w:r w:rsidRPr="009A1E6F">
        <w:rPr>
          <w:color w:val="000000"/>
          <w:lang w:eastAsia="en-GB"/>
        </w:rPr>
        <w:t xml:space="preserve"> Bojan Stojanoski, Chief Risk Officer and member of the Board of Directors. </w:t>
      </w:r>
    </w:p>
    <w:p w14:paraId="6850B6D9" w14:textId="77777777" w:rsidR="00EC708E" w:rsidRPr="009A1E6F" w:rsidRDefault="00EC708E" w:rsidP="00BB27D7">
      <w:pPr>
        <w:spacing w:before="240"/>
        <w:jc w:val="both"/>
        <w:rPr>
          <w:rFonts w:ascii="Times New Roman" w:eastAsia="Times New Roman" w:hAnsi="Times New Roman"/>
          <w:sz w:val="24"/>
          <w:szCs w:val="24"/>
          <w:lang w:val="en-AU"/>
        </w:rPr>
      </w:pPr>
      <w:r w:rsidRPr="009A1E6F">
        <w:rPr>
          <w:rFonts w:ascii="Times New Roman" w:eastAsia="Times New Roman" w:hAnsi="Times New Roman"/>
          <w:sz w:val="24"/>
          <w:szCs w:val="24"/>
          <w:lang w:val="en-AU"/>
        </w:rPr>
        <w:t xml:space="preserve">Members of the SB Board of Directors, in addition to the requirements stipulated with the Banking Law, have strong record at SB and in the banking sector on senior positions and expert knowledge of the business and the banking regulation. </w:t>
      </w:r>
    </w:p>
    <w:p w14:paraId="7B839625" w14:textId="77777777" w:rsidR="00EC708E" w:rsidRPr="009A1E6F" w:rsidRDefault="00EC708E" w:rsidP="00BB27D7">
      <w:pPr>
        <w:spacing w:before="240"/>
        <w:jc w:val="both"/>
        <w:rPr>
          <w:rFonts w:ascii="Times New Roman" w:eastAsia="Times New Roman" w:hAnsi="Times New Roman"/>
          <w:sz w:val="24"/>
          <w:szCs w:val="24"/>
          <w:lang w:val="en-AU"/>
        </w:rPr>
      </w:pPr>
      <w:r w:rsidRPr="009A1E6F">
        <w:rPr>
          <w:rFonts w:ascii="Times New Roman" w:eastAsia="Times New Roman" w:hAnsi="Times New Roman"/>
          <w:color w:val="000000"/>
          <w:sz w:val="24"/>
          <w:szCs w:val="24"/>
          <w:lang w:eastAsia="en-GB"/>
        </w:rPr>
        <w:t>The Board of Directors responsibilities are as follows:</w:t>
      </w:r>
    </w:p>
    <w:p w14:paraId="0223F831" w14:textId="77777777" w:rsidR="00EC708E" w:rsidRPr="009A1E6F" w:rsidRDefault="00EC708E" w:rsidP="00BB27D7">
      <w:pPr>
        <w:pStyle w:val="ListParagraph"/>
        <w:numPr>
          <w:ilvl w:val="0"/>
          <w:numId w:val="22"/>
        </w:numPr>
        <w:autoSpaceDE w:val="0"/>
        <w:autoSpaceDN w:val="0"/>
        <w:adjustRightInd w:val="0"/>
        <w:spacing w:line="276" w:lineRule="auto"/>
        <w:ind w:left="540"/>
        <w:jc w:val="both"/>
        <w:rPr>
          <w:lang w:val="en-GB" w:eastAsia="en-GB"/>
        </w:rPr>
      </w:pPr>
      <w:r w:rsidRPr="009A1E6F">
        <w:rPr>
          <w:lang w:val="en-GB" w:eastAsia="en-GB"/>
        </w:rPr>
        <w:t>manages SB;</w:t>
      </w:r>
    </w:p>
    <w:p w14:paraId="38F50EE6" w14:textId="77777777" w:rsidR="00EC708E" w:rsidRPr="009A1E6F" w:rsidRDefault="00EC708E" w:rsidP="00BB27D7">
      <w:pPr>
        <w:pStyle w:val="ListParagraph"/>
        <w:numPr>
          <w:ilvl w:val="0"/>
          <w:numId w:val="22"/>
        </w:numPr>
        <w:autoSpaceDE w:val="0"/>
        <w:autoSpaceDN w:val="0"/>
        <w:adjustRightInd w:val="0"/>
        <w:spacing w:line="276" w:lineRule="auto"/>
        <w:ind w:left="540"/>
        <w:jc w:val="both"/>
        <w:rPr>
          <w:lang w:val="en-GB" w:eastAsia="en-GB"/>
        </w:rPr>
      </w:pPr>
      <w:r w:rsidRPr="009A1E6F">
        <w:rPr>
          <w:lang w:val="en-GB" w:eastAsia="en-GB"/>
        </w:rPr>
        <w:t>represents SB;</w:t>
      </w:r>
    </w:p>
    <w:p w14:paraId="2C494FA5" w14:textId="77777777" w:rsidR="00EC708E" w:rsidRPr="009A1E6F" w:rsidRDefault="00EC708E" w:rsidP="00BB27D7">
      <w:pPr>
        <w:pStyle w:val="ListParagraph"/>
        <w:numPr>
          <w:ilvl w:val="0"/>
          <w:numId w:val="22"/>
        </w:numPr>
        <w:autoSpaceDE w:val="0"/>
        <w:autoSpaceDN w:val="0"/>
        <w:adjustRightInd w:val="0"/>
        <w:spacing w:line="276" w:lineRule="auto"/>
        <w:ind w:left="540"/>
        <w:jc w:val="both"/>
        <w:rPr>
          <w:lang w:val="en-GB" w:eastAsia="en-GB"/>
        </w:rPr>
      </w:pPr>
      <w:r w:rsidRPr="009A1E6F">
        <w:rPr>
          <w:lang w:val="en-GB" w:eastAsia="en-GB"/>
        </w:rPr>
        <w:t>enforces the decisions of the Shareholders Assembly and the Supervisory Board of SB, i.e. makes sure that they are implemented;</w:t>
      </w:r>
    </w:p>
    <w:p w14:paraId="13813F5E" w14:textId="77777777" w:rsidR="00EC708E" w:rsidRPr="009A1E6F" w:rsidRDefault="00EC708E" w:rsidP="00BB27D7">
      <w:pPr>
        <w:pStyle w:val="ListParagraph"/>
        <w:numPr>
          <w:ilvl w:val="0"/>
          <w:numId w:val="22"/>
        </w:numPr>
        <w:autoSpaceDE w:val="0"/>
        <w:autoSpaceDN w:val="0"/>
        <w:adjustRightInd w:val="0"/>
        <w:spacing w:line="276" w:lineRule="auto"/>
        <w:ind w:left="540"/>
        <w:jc w:val="both"/>
        <w:rPr>
          <w:lang w:val="en-GB" w:eastAsia="en-GB"/>
        </w:rPr>
      </w:pPr>
      <w:r w:rsidRPr="009A1E6F">
        <w:rPr>
          <w:lang w:val="en-GB" w:eastAsia="en-GB"/>
        </w:rPr>
        <w:t>takes initiatives and gives proposals for promoting SB operations;</w:t>
      </w:r>
    </w:p>
    <w:p w14:paraId="6068A521" w14:textId="77777777" w:rsidR="00EC708E" w:rsidRPr="009A1E6F" w:rsidRDefault="00EC708E" w:rsidP="00BB27D7">
      <w:pPr>
        <w:pStyle w:val="ListParagraph"/>
        <w:numPr>
          <w:ilvl w:val="0"/>
          <w:numId w:val="22"/>
        </w:numPr>
        <w:autoSpaceDE w:val="0"/>
        <w:autoSpaceDN w:val="0"/>
        <w:adjustRightInd w:val="0"/>
        <w:spacing w:line="276" w:lineRule="auto"/>
        <w:ind w:left="540"/>
        <w:jc w:val="both"/>
        <w:rPr>
          <w:lang w:val="en-GB" w:eastAsia="en-GB"/>
        </w:rPr>
      </w:pPr>
      <w:r w:rsidRPr="009A1E6F">
        <w:rPr>
          <w:lang w:val="en-GB" w:eastAsia="en-GB"/>
        </w:rPr>
        <w:t>appoints and dismisses the persons with special rights and responsibilities pursuant to the provisions under the Banking Law and this Statute;</w:t>
      </w:r>
    </w:p>
    <w:p w14:paraId="2993D4BB" w14:textId="77777777" w:rsidR="00EC708E" w:rsidRPr="009A1E6F" w:rsidRDefault="00EC708E" w:rsidP="00BB27D7">
      <w:pPr>
        <w:pStyle w:val="ListParagraph"/>
        <w:numPr>
          <w:ilvl w:val="0"/>
          <w:numId w:val="22"/>
        </w:numPr>
        <w:autoSpaceDE w:val="0"/>
        <w:autoSpaceDN w:val="0"/>
        <w:adjustRightInd w:val="0"/>
        <w:spacing w:line="276" w:lineRule="auto"/>
        <w:ind w:left="540"/>
        <w:jc w:val="both"/>
        <w:rPr>
          <w:lang w:val="en-GB" w:eastAsia="en-GB"/>
        </w:rPr>
      </w:pPr>
      <w:r w:rsidRPr="009A1E6F">
        <w:rPr>
          <w:lang w:val="en-GB" w:eastAsia="en-GB"/>
        </w:rPr>
        <w:t>prepares SB business policy and development plan;</w:t>
      </w:r>
    </w:p>
    <w:p w14:paraId="2754D96F" w14:textId="77777777" w:rsidR="00EC708E" w:rsidRPr="009A1E6F" w:rsidRDefault="00EC708E" w:rsidP="00BB27D7">
      <w:pPr>
        <w:pStyle w:val="ListParagraph"/>
        <w:numPr>
          <w:ilvl w:val="0"/>
          <w:numId w:val="22"/>
        </w:numPr>
        <w:autoSpaceDE w:val="0"/>
        <w:autoSpaceDN w:val="0"/>
        <w:adjustRightInd w:val="0"/>
        <w:spacing w:line="276" w:lineRule="auto"/>
        <w:ind w:left="540"/>
        <w:jc w:val="both"/>
        <w:rPr>
          <w:lang w:val="en-GB" w:eastAsia="en-GB"/>
        </w:rPr>
      </w:pPr>
      <w:r w:rsidRPr="009A1E6F">
        <w:rPr>
          <w:lang w:val="en-GB" w:eastAsia="en-GB"/>
        </w:rPr>
        <w:t xml:space="preserve">prepares SB financial plan / Budget; </w:t>
      </w:r>
    </w:p>
    <w:p w14:paraId="7D264672" w14:textId="77777777" w:rsidR="00EC708E" w:rsidRPr="009A1E6F" w:rsidRDefault="00EC708E" w:rsidP="00BB27D7">
      <w:pPr>
        <w:pStyle w:val="ListParagraph"/>
        <w:numPr>
          <w:ilvl w:val="0"/>
          <w:numId w:val="22"/>
        </w:numPr>
        <w:autoSpaceDE w:val="0"/>
        <w:autoSpaceDN w:val="0"/>
        <w:adjustRightInd w:val="0"/>
        <w:spacing w:line="276" w:lineRule="auto"/>
        <w:ind w:left="540"/>
        <w:jc w:val="both"/>
        <w:rPr>
          <w:lang w:val="en-GB" w:eastAsia="en-GB"/>
        </w:rPr>
      </w:pPr>
      <w:r w:rsidRPr="009A1E6F">
        <w:rPr>
          <w:lang w:val="en-GB" w:eastAsia="en-GB"/>
        </w:rPr>
        <w:t>prepares SB information security policy;</w:t>
      </w:r>
    </w:p>
    <w:p w14:paraId="40697C6C" w14:textId="77777777" w:rsidR="00EC708E" w:rsidRPr="009A1E6F" w:rsidRDefault="00EC708E" w:rsidP="00BB27D7">
      <w:pPr>
        <w:pStyle w:val="ListParagraph"/>
        <w:numPr>
          <w:ilvl w:val="0"/>
          <w:numId w:val="22"/>
        </w:numPr>
        <w:autoSpaceDE w:val="0"/>
        <w:autoSpaceDN w:val="0"/>
        <w:adjustRightInd w:val="0"/>
        <w:spacing w:line="276" w:lineRule="auto"/>
        <w:ind w:left="540"/>
        <w:jc w:val="both"/>
        <w:rPr>
          <w:lang w:val="en-GB" w:eastAsia="en-GB"/>
        </w:rPr>
      </w:pPr>
      <w:r w:rsidRPr="009A1E6F">
        <w:rPr>
          <w:lang w:val="en-GB" w:eastAsia="en-GB"/>
        </w:rPr>
        <w:t>prepares an annual report on the SB operations and submits it to the Supervisory Board;</w:t>
      </w:r>
    </w:p>
    <w:p w14:paraId="628073C7" w14:textId="77777777" w:rsidR="00CC3D4F" w:rsidRDefault="00EC708E" w:rsidP="00BB27D7">
      <w:pPr>
        <w:pStyle w:val="ListParagraph"/>
        <w:numPr>
          <w:ilvl w:val="0"/>
          <w:numId w:val="22"/>
        </w:numPr>
        <w:autoSpaceDE w:val="0"/>
        <w:autoSpaceDN w:val="0"/>
        <w:adjustRightInd w:val="0"/>
        <w:spacing w:line="276" w:lineRule="auto"/>
        <w:ind w:left="540"/>
        <w:jc w:val="both"/>
        <w:rPr>
          <w:lang w:val="en-GB" w:eastAsia="en-GB"/>
        </w:rPr>
      </w:pPr>
      <w:r w:rsidRPr="009A1E6F">
        <w:rPr>
          <w:lang w:val="en-GB" w:eastAsia="en-GB"/>
        </w:rPr>
        <w:t xml:space="preserve">prepares a Code of Ethic of the bank; </w:t>
      </w:r>
    </w:p>
    <w:p w14:paraId="3D55B44C" w14:textId="5E6EFA2D" w:rsidR="00EC708E" w:rsidRPr="00CC3D4F" w:rsidRDefault="00EC708E" w:rsidP="00BB27D7">
      <w:pPr>
        <w:pStyle w:val="ListParagraph"/>
        <w:numPr>
          <w:ilvl w:val="0"/>
          <w:numId w:val="22"/>
        </w:numPr>
        <w:autoSpaceDE w:val="0"/>
        <w:autoSpaceDN w:val="0"/>
        <w:adjustRightInd w:val="0"/>
        <w:spacing w:line="276" w:lineRule="auto"/>
        <w:ind w:left="540"/>
        <w:jc w:val="both"/>
        <w:rPr>
          <w:lang w:val="en-GB" w:eastAsia="en-GB"/>
        </w:rPr>
      </w:pPr>
      <w:r w:rsidRPr="00CC3D4F">
        <w:rPr>
          <w:lang w:val="en-GB" w:eastAsia="en-GB"/>
        </w:rPr>
        <w:t>gives previous consent and submits proposals for partial or write off in full of claims to the Supervisory Board;</w:t>
      </w:r>
    </w:p>
    <w:p w14:paraId="1BF2941D" w14:textId="77777777" w:rsidR="00EC708E" w:rsidRPr="009A1E6F" w:rsidRDefault="00EC708E" w:rsidP="00BB27D7">
      <w:pPr>
        <w:pStyle w:val="ListParagraph"/>
        <w:numPr>
          <w:ilvl w:val="0"/>
          <w:numId w:val="22"/>
        </w:numPr>
        <w:autoSpaceDE w:val="0"/>
        <w:autoSpaceDN w:val="0"/>
        <w:adjustRightInd w:val="0"/>
        <w:spacing w:line="276" w:lineRule="auto"/>
        <w:ind w:left="540"/>
        <w:jc w:val="both"/>
        <w:rPr>
          <w:lang w:val="en-GB" w:eastAsia="en-GB"/>
        </w:rPr>
      </w:pPr>
      <w:r w:rsidRPr="009A1E6F">
        <w:rPr>
          <w:lang w:val="en-GB" w:eastAsia="en-GB"/>
        </w:rPr>
        <w:t>passes decision on sale of claims;  and</w:t>
      </w:r>
    </w:p>
    <w:p w14:paraId="4428E178" w14:textId="77777777" w:rsidR="00EC708E" w:rsidRPr="009A1E6F" w:rsidRDefault="00EC708E" w:rsidP="00BB27D7">
      <w:pPr>
        <w:pStyle w:val="ListParagraph"/>
        <w:numPr>
          <w:ilvl w:val="0"/>
          <w:numId w:val="22"/>
        </w:numPr>
        <w:spacing w:line="276" w:lineRule="auto"/>
        <w:ind w:left="540"/>
        <w:jc w:val="both"/>
      </w:pPr>
      <w:proofErr w:type="gramStart"/>
      <w:r w:rsidRPr="009A1E6F">
        <w:lastRenderedPageBreak/>
        <w:t>performs</w:t>
      </w:r>
      <w:proofErr w:type="gramEnd"/>
      <w:r w:rsidRPr="009A1E6F">
        <w:t xml:space="preserve"> other activities, in accordance with Law, this Statute and SB’s enactments.</w:t>
      </w:r>
    </w:p>
    <w:p w14:paraId="6F5E96A0" w14:textId="77777777" w:rsidR="00EC708E" w:rsidRPr="009A1E6F" w:rsidRDefault="00EC708E" w:rsidP="00BB27D7">
      <w:pPr>
        <w:pStyle w:val="ListParagraph"/>
        <w:spacing w:line="276" w:lineRule="auto"/>
        <w:ind w:left="1260"/>
        <w:jc w:val="both"/>
      </w:pPr>
    </w:p>
    <w:p w14:paraId="1AC576C2" w14:textId="77777777" w:rsidR="00EC708E" w:rsidRPr="009A1E6F" w:rsidRDefault="00EC708E" w:rsidP="00BB27D7">
      <w:pPr>
        <w:pStyle w:val="BodyText"/>
        <w:spacing w:line="276" w:lineRule="auto"/>
        <w:jc w:val="both"/>
        <w:rPr>
          <w:sz w:val="24"/>
          <w:szCs w:val="24"/>
        </w:rPr>
      </w:pPr>
      <w:r w:rsidRPr="009A1E6F">
        <w:rPr>
          <w:sz w:val="24"/>
          <w:szCs w:val="24"/>
        </w:rPr>
        <w:t xml:space="preserve">In order to assist the Board of Directors in executing the business plan of the Bank, SB have established Executive Committee that besides the Chief </w:t>
      </w:r>
      <w:proofErr w:type="gramStart"/>
      <w:r w:rsidRPr="009A1E6F">
        <w:rPr>
          <w:sz w:val="24"/>
          <w:szCs w:val="24"/>
        </w:rPr>
        <w:t>officers</w:t>
      </w:r>
      <w:proofErr w:type="gramEnd"/>
      <w:r w:rsidRPr="009A1E6F">
        <w:rPr>
          <w:sz w:val="24"/>
          <w:szCs w:val="24"/>
        </w:rPr>
        <w:t>, it includes</w:t>
      </w:r>
      <w:r w:rsidRPr="009A1E6F">
        <w:rPr>
          <w:sz w:val="24"/>
          <w:szCs w:val="24"/>
          <w:lang w:val="en-US"/>
        </w:rPr>
        <w:t>:</w:t>
      </w:r>
      <w:r w:rsidRPr="009A1E6F">
        <w:rPr>
          <w:sz w:val="24"/>
          <w:szCs w:val="24"/>
        </w:rPr>
        <w:t xml:space="preserve"> </w:t>
      </w:r>
    </w:p>
    <w:p w14:paraId="2469A30E" w14:textId="77777777" w:rsidR="00EC708E" w:rsidRPr="009A1E6F" w:rsidRDefault="00EC708E" w:rsidP="00BB27D7">
      <w:pPr>
        <w:pStyle w:val="BodyText"/>
        <w:numPr>
          <w:ilvl w:val="0"/>
          <w:numId w:val="26"/>
        </w:numPr>
        <w:spacing w:line="276" w:lineRule="auto"/>
        <w:jc w:val="both"/>
        <w:rPr>
          <w:sz w:val="24"/>
          <w:szCs w:val="24"/>
        </w:rPr>
      </w:pPr>
      <w:r w:rsidRPr="009A1E6F">
        <w:rPr>
          <w:sz w:val="24"/>
          <w:szCs w:val="24"/>
        </w:rPr>
        <w:t xml:space="preserve">Senior Manager for Treasury and Finance (Mirjana Trajanovska), </w:t>
      </w:r>
    </w:p>
    <w:p w14:paraId="03A11ADE" w14:textId="77777777" w:rsidR="00EC708E" w:rsidRPr="009A1E6F" w:rsidRDefault="00EC708E" w:rsidP="00BB27D7">
      <w:pPr>
        <w:pStyle w:val="BodyText"/>
        <w:numPr>
          <w:ilvl w:val="0"/>
          <w:numId w:val="26"/>
        </w:numPr>
        <w:spacing w:line="276" w:lineRule="auto"/>
        <w:jc w:val="both"/>
        <w:rPr>
          <w:sz w:val="24"/>
          <w:szCs w:val="24"/>
        </w:rPr>
      </w:pPr>
      <w:r w:rsidRPr="009A1E6F">
        <w:rPr>
          <w:sz w:val="24"/>
          <w:szCs w:val="24"/>
        </w:rPr>
        <w:t xml:space="preserve">Senior Manager for Operations (Radmila Maksimovic), </w:t>
      </w:r>
    </w:p>
    <w:p w14:paraId="569074C3" w14:textId="77777777" w:rsidR="00EC708E" w:rsidRPr="009A1E6F" w:rsidRDefault="00EC708E" w:rsidP="00BB27D7">
      <w:pPr>
        <w:pStyle w:val="BodyText"/>
        <w:numPr>
          <w:ilvl w:val="0"/>
          <w:numId w:val="26"/>
        </w:numPr>
        <w:spacing w:line="276" w:lineRule="auto"/>
        <w:jc w:val="both"/>
        <w:rPr>
          <w:sz w:val="24"/>
          <w:szCs w:val="24"/>
        </w:rPr>
      </w:pPr>
      <w:r w:rsidRPr="009A1E6F">
        <w:rPr>
          <w:sz w:val="24"/>
          <w:szCs w:val="24"/>
        </w:rPr>
        <w:t>Senior Manager for Corporate Banking (Vlado Treneski),</w:t>
      </w:r>
    </w:p>
    <w:p w14:paraId="7EDC4CEE" w14:textId="77777777" w:rsidR="00EC708E" w:rsidRPr="009A1E6F" w:rsidRDefault="00EC708E" w:rsidP="00BB27D7">
      <w:pPr>
        <w:pStyle w:val="BodyText"/>
        <w:numPr>
          <w:ilvl w:val="0"/>
          <w:numId w:val="26"/>
        </w:numPr>
        <w:spacing w:line="276" w:lineRule="auto"/>
        <w:jc w:val="both"/>
        <w:rPr>
          <w:sz w:val="24"/>
          <w:szCs w:val="24"/>
        </w:rPr>
      </w:pPr>
      <w:r w:rsidRPr="009A1E6F">
        <w:rPr>
          <w:sz w:val="24"/>
          <w:szCs w:val="24"/>
        </w:rPr>
        <w:t xml:space="preserve">Senior Manager for Sales and Branch Network (Tatjana Kalajdzieva), and </w:t>
      </w:r>
    </w:p>
    <w:p w14:paraId="64803C79" w14:textId="77777777" w:rsidR="00EC708E" w:rsidRPr="009A1E6F" w:rsidRDefault="00EC708E" w:rsidP="00BB27D7">
      <w:pPr>
        <w:pStyle w:val="BodyText"/>
        <w:numPr>
          <w:ilvl w:val="0"/>
          <w:numId w:val="26"/>
        </w:numPr>
        <w:spacing w:line="276" w:lineRule="auto"/>
        <w:jc w:val="both"/>
        <w:rPr>
          <w:sz w:val="24"/>
          <w:szCs w:val="24"/>
        </w:rPr>
      </w:pPr>
      <w:r w:rsidRPr="009A1E6F">
        <w:rPr>
          <w:sz w:val="24"/>
          <w:szCs w:val="24"/>
        </w:rPr>
        <w:t>Chief Credit Officer (Ilias Papadopoulos).</w:t>
      </w:r>
    </w:p>
    <w:p w14:paraId="269CCB18" w14:textId="77777777" w:rsidR="00EC708E" w:rsidRPr="009A1E6F" w:rsidRDefault="00EC708E" w:rsidP="00BB27D7">
      <w:pPr>
        <w:pStyle w:val="BodyText"/>
        <w:spacing w:line="276" w:lineRule="auto"/>
        <w:ind w:left="810"/>
        <w:jc w:val="both"/>
        <w:rPr>
          <w:sz w:val="24"/>
          <w:szCs w:val="24"/>
        </w:rPr>
      </w:pPr>
    </w:p>
    <w:p w14:paraId="68282917" w14:textId="77777777" w:rsidR="00EC708E" w:rsidRPr="009A1E6F" w:rsidRDefault="00EC708E" w:rsidP="00BB27D7">
      <w:pPr>
        <w:pStyle w:val="BodyText"/>
        <w:spacing w:line="276" w:lineRule="auto"/>
        <w:ind w:left="-90"/>
        <w:jc w:val="both"/>
        <w:rPr>
          <w:b/>
          <w:sz w:val="24"/>
          <w:szCs w:val="24"/>
        </w:rPr>
      </w:pPr>
      <w:r w:rsidRPr="009A1E6F">
        <w:rPr>
          <w:b/>
          <w:sz w:val="24"/>
          <w:szCs w:val="24"/>
        </w:rPr>
        <w:t>1.4. CREDIT COMMITTEES</w:t>
      </w:r>
    </w:p>
    <w:p w14:paraId="67BD3B3C"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Other SB bodies, determined with the Statute, are Credit Committees with the following, structure, and authorities, as at December 31, 202</w:t>
      </w:r>
      <w:r w:rsidRPr="009A1E6F">
        <w:rPr>
          <w:rFonts w:ascii="Times New Roman" w:eastAsia="Times New Roman" w:hAnsi="Times New Roman"/>
          <w:color w:val="000000"/>
          <w:sz w:val="24"/>
          <w:szCs w:val="24"/>
          <w:lang w:val="mk-MK" w:eastAsia="en-GB"/>
        </w:rPr>
        <w:t>2</w:t>
      </w:r>
      <w:r w:rsidRPr="009A1E6F">
        <w:rPr>
          <w:rFonts w:ascii="Times New Roman" w:eastAsia="Times New Roman" w:hAnsi="Times New Roman"/>
          <w:color w:val="000000"/>
          <w:sz w:val="24"/>
          <w:szCs w:val="24"/>
          <w:lang w:eastAsia="en-GB"/>
        </w:rPr>
        <w:t xml:space="preserve">: </w:t>
      </w:r>
    </w:p>
    <w:p w14:paraId="61964B81" w14:textId="77777777" w:rsidR="00EC708E" w:rsidRPr="009A1E6F" w:rsidRDefault="00EC708E" w:rsidP="00BB27D7">
      <w:pPr>
        <w:autoSpaceDE w:val="0"/>
        <w:autoSpaceDN w:val="0"/>
        <w:adjustRightInd w:val="0"/>
        <w:spacing w:after="0"/>
        <w:ind w:firstLine="720"/>
        <w:jc w:val="both"/>
        <w:rPr>
          <w:rFonts w:ascii="Times New Roman" w:eastAsia="Times New Roman" w:hAnsi="Times New Roman"/>
          <w:color w:val="000000"/>
          <w:sz w:val="24"/>
          <w:szCs w:val="24"/>
          <w:lang w:eastAsia="en-GB"/>
        </w:rPr>
      </w:pPr>
    </w:p>
    <w:p w14:paraId="5DDB847B" w14:textId="77777777" w:rsidR="00EC708E" w:rsidRPr="009A1E6F" w:rsidRDefault="00EC708E" w:rsidP="00BB27D7">
      <w:pPr>
        <w:pStyle w:val="BodyText"/>
        <w:numPr>
          <w:ilvl w:val="0"/>
          <w:numId w:val="30"/>
        </w:numPr>
        <w:spacing w:line="276" w:lineRule="auto"/>
        <w:ind w:left="450"/>
        <w:rPr>
          <w:sz w:val="24"/>
          <w:szCs w:val="24"/>
          <w:lang w:val="en-US"/>
        </w:rPr>
      </w:pPr>
      <w:r w:rsidRPr="009A1E6F">
        <w:rPr>
          <w:b/>
          <w:sz w:val="24"/>
          <w:szCs w:val="24"/>
          <w:u w:val="single"/>
          <w:lang w:val="en-US"/>
        </w:rPr>
        <w:t>Executive Corporate Credit Committee (ECCC):</w:t>
      </w:r>
      <w:r w:rsidRPr="009A1E6F">
        <w:rPr>
          <w:sz w:val="24"/>
          <w:szCs w:val="24"/>
          <w:lang w:val="en-US"/>
        </w:rPr>
        <w:t xml:space="preserve"> it consists of 6 members as follows:</w:t>
      </w:r>
    </w:p>
    <w:p w14:paraId="49763CBF" w14:textId="77777777" w:rsidR="00EC708E" w:rsidRPr="009A1E6F" w:rsidRDefault="00EC708E" w:rsidP="00BB27D7">
      <w:pPr>
        <w:pStyle w:val="BodyText2"/>
        <w:numPr>
          <w:ilvl w:val="0"/>
          <w:numId w:val="31"/>
        </w:numPr>
        <w:tabs>
          <w:tab w:val="clear" w:pos="1134"/>
          <w:tab w:val="left" w:pos="720"/>
          <w:tab w:val="left" w:pos="1170"/>
        </w:tabs>
        <w:spacing w:line="276" w:lineRule="auto"/>
        <w:jc w:val="both"/>
        <w:rPr>
          <w:rFonts w:ascii="Times New Roman" w:hAnsi="Times New Roman"/>
          <w:szCs w:val="24"/>
          <w:lang w:val="en-GB"/>
        </w:rPr>
      </w:pPr>
      <w:r w:rsidRPr="009A1E6F">
        <w:rPr>
          <w:rFonts w:ascii="Times New Roman" w:hAnsi="Times New Roman"/>
          <w:color w:val="000000"/>
          <w:szCs w:val="24"/>
          <w:lang w:eastAsia="en-GB"/>
        </w:rPr>
        <w:t>Diomidis Nikoletopoulos</w:t>
      </w:r>
      <w:r w:rsidRPr="009A1E6F">
        <w:rPr>
          <w:rFonts w:ascii="Times New Roman" w:hAnsi="Times New Roman"/>
          <w:szCs w:val="24"/>
          <w:lang w:val="en-GB"/>
        </w:rPr>
        <w:t>, CEO and Chairman of the Board of Directors of SB, Chairman,</w:t>
      </w:r>
    </w:p>
    <w:p w14:paraId="580551F6" w14:textId="77777777" w:rsidR="00EC708E" w:rsidRPr="009A1E6F" w:rsidRDefault="00EC708E" w:rsidP="00BB27D7">
      <w:pPr>
        <w:pStyle w:val="BodyText2"/>
        <w:numPr>
          <w:ilvl w:val="0"/>
          <w:numId w:val="31"/>
        </w:numPr>
        <w:tabs>
          <w:tab w:val="clear" w:pos="1134"/>
          <w:tab w:val="left" w:pos="720"/>
          <w:tab w:val="left" w:pos="1170"/>
        </w:tabs>
        <w:spacing w:line="276" w:lineRule="auto"/>
        <w:jc w:val="both"/>
        <w:rPr>
          <w:rFonts w:ascii="Times New Roman" w:hAnsi="Times New Roman"/>
          <w:szCs w:val="24"/>
          <w:lang w:val="en-GB"/>
        </w:rPr>
      </w:pPr>
      <w:r w:rsidRPr="009A1E6F">
        <w:rPr>
          <w:rFonts w:ascii="Times New Roman" w:hAnsi="Times New Roman"/>
          <w:color w:val="000000"/>
          <w:szCs w:val="24"/>
          <w:shd w:val="clear" w:color="auto" w:fill="FFFFFF"/>
        </w:rPr>
        <w:t xml:space="preserve">Ioannis Kagioulis, </w:t>
      </w:r>
      <w:r w:rsidRPr="009A1E6F">
        <w:rPr>
          <w:rFonts w:ascii="Times New Roman" w:hAnsi="Times New Roman"/>
          <w:szCs w:val="24"/>
          <w:lang w:val="en-GB"/>
        </w:rPr>
        <w:t xml:space="preserve">NBG Group executive appointed by the NBG Group Chief Credit Officer, member, </w:t>
      </w:r>
    </w:p>
    <w:p w14:paraId="5F263DC1" w14:textId="77777777" w:rsidR="00EC708E" w:rsidRPr="009A1E6F" w:rsidRDefault="00EC708E" w:rsidP="00BB27D7">
      <w:pPr>
        <w:pStyle w:val="BodyText2"/>
        <w:numPr>
          <w:ilvl w:val="0"/>
          <w:numId w:val="31"/>
        </w:numPr>
        <w:tabs>
          <w:tab w:val="clear" w:pos="1134"/>
          <w:tab w:val="left" w:pos="720"/>
          <w:tab w:val="left" w:pos="1170"/>
        </w:tabs>
        <w:spacing w:line="276" w:lineRule="auto"/>
        <w:jc w:val="both"/>
        <w:rPr>
          <w:rFonts w:ascii="Times New Roman" w:hAnsi="Times New Roman"/>
          <w:szCs w:val="24"/>
          <w:lang w:val="en-GB"/>
        </w:rPr>
      </w:pPr>
      <w:r w:rsidRPr="009A1E6F">
        <w:rPr>
          <w:rFonts w:ascii="Times New Roman" w:hAnsi="Times New Roman"/>
          <w:color w:val="000000"/>
          <w:szCs w:val="24"/>
          <w:lang w:eastAsia="en-GB"/>
        </w:rPr>
        <w:t>Toni Stojanovski</w:t>
      </w:r>
      <w:r w:rsidRPr="009A1E6F">
        <w:rPr>
          <w:rFonts w:ascii="Times New Roman" w:hAnsi="Times New Roman"/>
          <w:szCs w:val="24"/>
          <w:lang w:val="en-GB"/>
        </w:rPr>
        <w:t xml:space="preserve">, Chief Corporate Officer of SB and member of the Board of Directors, member, </w:t>
      </w:r>
    </w:p>
    <w:p w14:paraId="591C0AD3" w14:textId="77777777" w:rsidR="00EC708E" w:rsidRPr="009A1E6F" w:rsidRDefault="00EC708E" w:rsidP="00BB27D7">
      <w:pPr>
        <w:pStyle w:val="BodyText2"/>
        <w:numPr>
          <w:ilvl w:val="0"/>
          <w:numId w:val="31"/>
        </w:numPr>
        <w:tabs>
          <w:tab w:val="clear" w:pos="1134"/>
          <w:tab w:val="left" w:pos="720"/>
          <w:tab w:val="left" w:pos="1170"/>
        </w:tabs>
        <w:spacing w:line="276" w:lineRule="auto"/>
        <w:jc w:val="both"/>
        <w:rPr>
          <w:rFonts w:ascii="Times New Roman" w:hAnsi="Times New Roman"/>
          <w:szCs w:val="24"/>
          <w:lang w:val="en-GB"/>
        </w:rPr>
      </w:pPr>
      <w:r w:rsidRPr="009A1E6F">
        <w:rPr>
          <w:rFonts w:ascii="Times New Roman" w:hAnsi="Times New Roman"/>
          <w:szCs w:val="24"/>
          <w:lang w:val="en-GB"/>
        </w:rPr>
        <w:t xml:space="preserve">Bojan Stojanoski, Chief Risk Officer of SB and member of the Board of Directors, member, </w:t>
      </w:r>
    </w:p>
    <w:p w14:paraId="23D82835" w14:textId="77777777" w:rsidR="00EC708E" w:rsidRPr="009A1E6F" w:rsidRDefault="00EC708E" w:rsidP="00BB27D7">
      <w:pPr>
        <w:pStyle w:val="BodyText2"/>
        <w:numPr>
          <w:ilvl w:val="0"/>
          <w:numId w:val="31"/>
        </w:numPr>
        <w:tabs>
          <w:tab w:val="clear" w:pos="1134"/>
          <w:tab w:val="left" w:pos="720"/>
          <w:tab w:val="left" w:pos="1170"/>
        </w:tabs>
        <w:spacing w:line="276" w:lineRule="auto"/>
        <w:jc w:val="both"/>
        <w:rPr>
          <w:rStyle w:val="Emphasis"/>
          <w:rFonts w:ascii="Times New Roman" w:hAnsi="Times New Roman"/>
          <w:i w:val="0"/>
          <w:iCs w:val="0"/>
          <w:szCs w:val="24"/>
          <w:lang w:val="en-GB"/>
        </w:rPr>
      </w:pPr>
      <w:r w:rsidRPr="009A1E6F">
        <w:rPr>
          <w:rStyle w:val="Emphasis"/>
          <w:rFonts w:ascii="Times New Roman" w:hAnsi="Times New Roman"/>
          <w:bCs/>
          <w:i w:val="0"/>
          <w:iCs w:val="0"/>
          <w:szCs w:val="24"/>
          <w:shd w:val="clear" w:color="auto" w:fill="FFFFFF"/>
        </w:rPr>
        <w:t>Ilias Papadopoulos, Chief Credit Officer of SB, member, and</w:t>
      </w:r>
    </w:p>
    <w:p w14:paraId="368B2DC8" w14:textId="77777777" w:rsidR="00EC708E" w:rsidRPr="009A1E6F" w:rsidRDefault="00EC708E" w:rsidP="00BB27D7">
      <w:pPr>
        <w:pStyle w:val="BodyText2"/>
        <w:numPr>
          <w:ilvl w:val="0"/>
          <w:numId w:val="31"/>
        </w:numPr>
        <w:tabs>
          <w:tab w:val="clear" w:pos="1134"/>
          <w:tab w:val="left" w:pos="720"/>
          <w:tab w:val="left" w:pos="1170"/>
        </w:tabs>
        <w:spacing w:line="276" w:lineRule="auto"/>
        <w:jc w:val="both"/>
        <w:rPr>
          <w:rFonts w:ascii="Times New Roman" w:hAnsi="Times New Roman"/>
          <w:szCs w:val="24"/>
          <w:lang w:val="en-GB"/>
        </w:rPr>
      </w:pPr>
      <w:r w:rsidRPr="009A1E6F">
        <w:rPr>
          <w:rStyle w:val="Emphasis"/>
          <w:rFonts w:ascii="Times New Roman" w:hAnsi="Times New Roman"/>
          <w:bCs/>
          <w:i w:val="0"/>
          <w:iCs w:val="0"/>
          <w:szCs w:val="24"/>
          <w:shd w:val="clear" w:color="auto" w:fill="FFFFFF"/>
        </w:rPr>
        <w:t xml:space="preserve">Ioannis Bourmpakis, </w:t>
      </w:r>
      <w:r w:rsidRPr="009A1E6F">
        <w:rPr>
          <w:rFonts w:ascii="Times New Roman" w:hAnsi="Times New Roman"/>
          <w:szCs w:val="24"/>
          <w:lang w:val="en-GB"/>
        </w:rPr>
        <w:t>Representative of NBG International Activities Sector, member.</w:t>
      </w:r>
    </w:p>
    <w:p w14:paraId="146811CC" w14:textId="77777777" w:rsidR="00EC708E" w:rsidRPr="009A1E6F" w:rsidRDefault="00EC708E" w:rsidP="00BB27D7">
      <w:pPr>
        <w:pStyle w:val="BodyText2"/>
        <w:spacing w:line="276" w:lineRule="auto"/>
        <w:ind w:left="450"/>
        <w:rPr>
          <w:rFonts w:ascii="Times New Roman" w:hAnsi="Times New Roman"/>
          <w:szCs w:val="24"/>
          <w:lang w:val="en-GB"/>
        </w:rPr>
      </w:pPr>
    </w:p>
    <w:p w14:paraId="777F852A" w14:textId="77777777" w:rsidR="00EC708E" w:rsidRPr="009A1E6F" w:rsidRDefault="00EC708E" w:rsidP="00BB27D7">
      <w:pPr>
        <w:pStyle w:val="BodyText2"/>
        <w:spacing w:line="276" w:lineRule="auto"/>
        <w:jc w:val="both"/>
        <w:rPr>
          <w:rFonts w:ascii="Times New Roman" w:hAnsi="Times New Roman"/>
          <w:szCs w:val="24"/>
          <w:lang w:val="en-GB"/>
        </w:rPr>
      </w:pPr>
      <w:r w:rsidRPr="009A1E6F">
        <w:rPr>
          <w:rFonts w:ascii="Times New Roman" w:hAnsi="Times New Roman"/>
          <w:szCs w:val="24"/>
          <w:lang w:val="en-GB"/>
        </w:rPr>
        <w:t xml:space="preserve">The members </w:t>
      </w:r>
      <w:proofErr w:type="gramStart"/>
      <w:r w:rsidRPr="009A1E6F">
        <w:rPr>
          <w:rFonts w:ascii="Times New Roman" w:hAnsi="Times New Roman"/>
          <w:szCs w:val="24"/>
          <w:lang w:val="en-GB"/>
        </w:rPr>
        <w:t>are elected</w:t>
      </w:r>
      <w:proofErr w:type="gramEnd"/>
      <w:r w:rsidRPr="009A1E6F">
        <w:rPr>
          <w:rFonts w:ascii="Times New Roman" w:hAnsi="Times New Roman"/>
          <w:szCs w:val="24"/>
          <w:lang w:val="en-GB"/>
        </w:rPr>
        <w:t xml:space="preserve"> without limitation of the term of office.</w:t>
      </w:r>
    </w:p>
    <w:p w14:paraId="72249617" w14:textId="77777777" w:rsidR="00EC708E" w:rsidRPr="009A1E6F" w:rsidRDefault="00EC708E" w:rsidP="00BB27D7">
      <w:pPr>
        <w:pStyle w:val="BodyText2"/>
        <w:spacing w:line="276" w:lineRule="auto"/>
        <w:jc w:val="both"/>
        <w:rPr>
          <w:rFonts w:ascii="Times New Roman" w:hAnsi="Times New Roman"/>
          <w:szCs w:val="24"/>
          <w:lang w:val="en-GB"/>
        </w:rPr>
      </w:pPr>
    </w:p>
    <w:p w14:paraId="68C51AA1" w14:textId="256D0E64" w:rsidR="00EC708E" w:rsidRPr="009A1E6F" w:rsidRDefault="00EC708E" w:rsidP="00BB27D7">
      <w:pPr>
        <w:pStyle w:val="BodyText"/>
        <w:spacing w:line="276" w:lineRule="auto"/>
        <w:jc w:val="both"/>
        <w:rPr>
          <w:sz w:val="24"/>
          <w:szCs w:val="24"/>
          <w:lang w:val="en-US"/>
        </w:rPr>
      </w:pPr>
      <w:r w:rsidRPr="009A1E6F">
        <w:rPr>
          <w:sz w:val="24"/>
          <w:szCs w:val="24"/>
          <w:lang w:val="en-US"/>
        </w:rPr>
        <w:t xml:space="preserve">The ECCC decides on credit exposure towards single subject - legal entity for financing in the amount from EUR 5.000.001 up to EUR 10.000.000. All financing that exceeds EUR 10.000.001 OR 10% of SB own </w:t>
      </w:r>
      <w:proofErr w:type="gramStart"/>
      <w:r w:rsidRPr="009A1E6F">
        <w:rPr>
          <w:sz w:val="24"/>
          <w:szCs w:val="24"/>
          <w:lang w:val="en-US"/>
        </w:rPr>
        <w:t>funds shall be approved by SB Supervisory Board</w:t>
      </w:r>
      <w:proofErr w:type="gramEnd"/>
      <w:r w:rsidRPr="009A1E6F">
        <w:rPr>
          <w:color w:val="FF0000"/>
          <w:sz w:val="24"/>
          <w:szCs w:val="24"/>
          <w:lang w:val="en-US"/>
        </w:rPr>
        <w:t>.</w:t>
      </w:r>
      <w:r w:rsidRPr="009A1E6F">
        <w:rPr>
          <w:sz w:val="24"/>
          <w:szCs w:val="24"/>
          <w:lang w:val="en-US"/>
        </w:rPr>
        <w:t xml:space="preserve"> ECCC also approves restructuring of claims and regulating of claims in accordance with applicable credit policies and performs other activities determined with decisions of the Supervisory Board. The meetings </w:t>
      </w:r>
      <w:proofErr w:type="gramStart"/>
      <w:r w:rsidRPr="009A1E6F">
        <w:rPr>
          <w:sz w:val="24"/>
          <w:szCs w:val="24"/>
          <w:lang w:val="en-US"/>
        </w:rPr>
        <w:t>are held by teleconference or written statement when needed with a quorum of all of its members</w:t>
      </w:r>
      <w:proofErr w:type="gramEnd"/>
      <w:r w:rsidRPr="009A1E6F">
        <w:rPr>
          <w:sz w:val="24"/>
          <w:szCs w:val="24"/>
          <w:lang w:val="en-US"/>
        </w:rPr>
        <w:t xml:space="preserve"> and the decisions are passed unanimously; </w:t>
      </w:r>
    </w:p>
    <w:p w14:paraId="6C9B8C52" w14:textId="77777777" w:rsidR="00EC708E" w:rsidRPr="009A1E6F" w:rsidRDefault="00EC708E" w:rsidP="00BB27D7">
      <w:pPr>
        <w:pStyle w:val="BodyText"/>
        <w:numPr>
          <w:ilvl w:val="0"/>
          <w:numId w:val="30"/>
        </w:numPr>
        <w:spacing w:line="276" w:lineRule="auto"/>
        <w:ind w:left="630"/>
        <w:rPr>
          <w:sz w:val="24"/>
          <w:szCs w:val="24"/>
          <w:lang w:val="en-US"/>
        </w:rPr>
      </w:pPr>
      <w:r w:rsidRPr="009A1E6F">
        <w:rPr>
          <w:b/>
          <w:sz w:val="24"/>
          <w:szCs w:val="24"/>
          <w:u w:val="single"/>
          <w:lang w:val="en-US"/>
        </w:rPr>
        <w:t>Credit Committee (CC):</w:t>
      </w:r>
      <w:r w:rsidRPr="009A1E6F">
        <w:rPr>
          <w:sz w:val="24"/>
          <w:szCs w:val="24"/>
          <w:lang w:val="en-US"/>
        </w:rPr>
        <w:t xml:space="preserve"> it consists of 5 members as follows:</w:t>
      </w:r>
    </w:p>
    <w:p w14:paraId="2663186E" w14:textId="77777777" w:rsidR="00EC708E" w:rsidRPr="009A1E6F" w:rsidRDefault="00EC708E" w:rsidP="00BB27D7">
      <w:pPr>
        <w:pStyle w:val="BodyText"/>
        <w:numPr>
          <w:ilvl w:val="0"/>
          <w:numId w:val="34"/>
        </w:numPr>
        <w:spacing w:after="0" w:line="276" w:lineRule="auto"/>
        <w:ind w:left="720"/>
        <w:jc w:val="both"/>
        <w:rPr>
          <w:sz w:val="24"/>
          <w:szCs w:val="24"/>
          <w:lang w:val="en-US"/>
        </w:rPr>
      </w:pPr>
      <w:r w:rsidRPr="009A1E6F">
        <w:rPr>
          <w:color w:val="000000"/>
          <w:sz w:val="24"/>
          <w:szCs w:val="24"/>
          <w:lang w:eastAsia="en-GB"/>
        </w:rPr>
        <w:t xml:space="preserve">Diomidis Nikoletopoulos - </w:t>
      </w:r>
      <w:r w:rsidRPr="009A1E6F">
        <w:rPr>
          <w:sz w:val="24"/>
          <w:szCs w:val="24"/>
          <w:lang w:val="en-US"/>
        </w:rPr>
        <w:t>CEO and Chairman of the Board of Directors of SB, Chairman</w:t>
      </w:r>
    </w:p>
    <w:p w14:paraId="42AD0A81" w14:textId="77777777" w:rsidR="00EC708E" w:rsidRPr="009A1E6F" w:rsidRDefault="00EC708E" w:rsidP="00BB27D7">
      <w:pPr>
        <w:pStyle w:val="BodyText"/>
        <w:numPr>
          <w:ilvl w:val="0"/>
          <w:numId w:val="34"/>
        </w:numPr>
        <w:spacing w:after="0" w:line="276" w:lineRule="auto"/>
        <w:ind w:left="720"/>
        <w:jc w:val="both"/>
        <w:rPr>
          <w:sz w:val="24"/>
          <w:szCs w:val="24"/>
          <w:lang w:val="en-US"/>
        </w:rPr>
      </w:pPr>
      <w:r w:rsidRPr="009A1E6F">
        <w:rPr>
          <w:sz w:val="24"/>
          <w:szCs w:val="24"/>
          <w:lang w:val="en-GB"/>
        </w:rPr>
        <w:lastRenderedPageBreak/>
        <w:t>Bojan Stojanoski - Chief Risk Officer of SB and member of the Board of Directors, member</w:t>
      </w:r>
    </w:p>
    <w:p w14:paraId="0378C8D7" w14:textId="77777777" w:rsidR="00EC708E" w:rsidRPr="009A1E6F" w:rsidRDefault="00EC708E" w:rsidP="00BB27D7">
      <w:pPr>
        <w:pStyle w:val="BodyText"/>
        <w:numPr>
          <w:ilvl w:val="0"/>
          <w:numId w:val="34"/>
        </w:numPr>
        <w:spacing w:after="0" w:line="276" w:lineRule="auto"/>
        <w:ind w:left="720"/>
        <w:jc w:val="both"/>
        <w:rPr>
          <w:sz w:val="24"/>
          <w:szCs w:val="24"/>
          <w:lang w:val="en-US"/>
        </w:rPr>
      </w:pPr>
      <w:r w:rsidRPr="009A1E6F">
        <w:rPr>
          <w:sz w:val="24"/>
          <w:szCs w:val="24"/>
          <w:lang w:val="en-GB"/>
        </w:rPr>
        <w:t xml:space="preserve">Toni Stojanovski, Chief Corporate Officer of SB and member of the Board of Directors, member  </w:t>
      </w:r>
    </w:p>
    <w:p w14:paraId="4BBD88A4" w14:textId="77777777" w:rsidR="00EC708E" w:rsidRPr="009A1E6F" w:rsidRDefault="00EC708E" w:rsidP="00BB27D7">
      <w:pPr>
        <w:pStyle w:val="BodyText"/>
        <w:numPr>
          <w:ilvl w:val="0"/>
          <w:numId w:val="34"/>
        </w:numPr>
        <w:spacing w:after="0" w:line="276" w:lineRule="auto"/>
        <w:ind w:left="720"/>
        <w:jc w:val="both"/>
        <w:rPr>
          <w:sz w:val="24"/>
          <w:szCs w:val="24"/>
          <w:lang w:val="en-US"/>
        </w:rPr>
      </w:pPr>
      <w:r w:rsidRPr="009A1E6F">
        <w:rPr>
          <w:sz w:val="24"/>
          <w:szCs w:val="24"/>
          <w:lang w:val="en-GB"/>
        </w:rPr>
        <w:t>Ilias Papadopoulos, Chief Credit Officer of SB, member</w:t>
      </w:r>
    </w:p>
    <w:p w14:paraId="412FDFAF" w14:textId="77777777" w:rsidR="00EC708E" w:rsidRPr="009A1E6F" w:rsidRDefault="00EC708E" w:rsidP="00BB27D7">
      <w:pPr>
        <w:pStyle w:val="BodyText"/>
        <w:numPr>
          <w:ilvl w:val="0"/>
          <w:numId w:val="34"/>
        </w:numPr>
        <w:spacing w:after="0" w:line="276" w:lineRule="auto"/>
        <w:ind w:left="720"/>
        <w:jc w:val="both"/>
        <w:rPr>
          <w:sz w:val="24"/>
          <w:szCs w:val="24"/>
          <w:lang w:val="en-US"/>
        </w:rPr>
      </w:pPr>
      <w:r w:rsidRPr="009A1E6F">
        <w:rPr>
          <w:sz w:val="24"/>
          <w:szCs w:val="24"/>
          <w:lang w:val="en-US"/>
        </w:rPr>
        <w:t xml:space="preserve">Vladimir Treneski - Senior Manager of Corporate Banking of SB, member.  </w:t>
      </w:r>
    </w:p>
    <w:p w14:paraId="64A509D3" w14:textId="77777777" w:rsidR="00EC708E" w:rsidRPr="009A1E6F" w:rsidRDefault="00EC708E" w:rsidP="00BB27D7">
      <w:pPr>
        <w:pStyle w:val="BodyText"/>
        <w:spacing w:line="276" w:lineRule="auto"/>
        <w:ind w:left="1440" w:firstLine="720"/>
        <w:rPr>
          <w:sz w:val="24"/>
          <w:szCs w:val="24"/>
          <w:lang w:val="en-US"/>
        </w:rPr>
      </w:pPr>
    </w:p>
    <w:p w14:paraId="2A76C7E8" w14:textId="77777777" w:rsidR="00EC708E" w:rsidRPr="009A1E6F" w:rsidRDefault="00EC708E" w:rsidP="00BB27D7">
      <w:pPr>
        <w:pStyle w:val="BodyText2"/>
        <w:spacing w:line="276" w:lineRule="auto"/>
        <w:jc w:val="both"/>
        <w:rPr>
          <w:rFonts w:ascii="Times New Roman" w:hAnsi="Times New Roman"/>
          <w:szCs w:val="24"/>
          <w:lang w:val="en-GB"/>
        </w:rPr>
      </w:pPr>
      <w:r w:rsidRPr="009A1E6F">
        <w:rPr>
          <w:rFonts w:ascii="Times New Roman" w:hAnsi="Times New Roman"/>
          <w:szCs w:val="24"/>
          <w:lang w:val="en-GB"/>
        </w:rPr>
        <w:t xml:space="preserve">The members </w:t>
      </w:r>
      <w:proofErr w:type="gramStart"/>
      <w:r w:rsidRPr="009A1E6F">
        <w:rPr>
          <w:rFonts w:ascii="Times New Roman" w:hAnsi="Times New Roman"/>
          <w:szCs w:val="24"/>
          <w:lang w:val="en-GB"/>
        </w:rPr>
        <w:t>are elected</w:t>
      </w:r>
      <w:proofErr w:type="gramEnd"/>
      <w:r w:rsidRPr="009A1E6F">
        <w:rPr>
          <w:rFonts w:ascii="Times New Roman" w:hAnsi="Times New Roman"/>
          <w:szCs w:val="24"/>
          <w:lang w:val="en-GB"/>
        </w:rPr>
        <w:t xml:space="preserve"> without limitation of the term of office.</w:t>
      </w:r>
    </w:p>
    <w:p w14:paraId="29DFEA78" w14:textId="77777777" w:rsidR="00EC708E" w:rsidRPr="009A1E6F" w:rsidRDefault="00EC708E" w:rsidP="00BB27D7">
      <w:pPr>
        <w:pStyle w:val="BodyText2"/>
        <w:spacing w:line="276" w:lineRule="auto"/>
        <w:jc w:val="both"/>
        <w:rPr>
          <w:rFonts w:ascii="Times New Roman" w:hAnsi="Times New Roman"/>
          <w:szCs w:val="24"/>
          <w:lang w:val="en-GB"/>
        </w:rPr>
      </w:pPr>
    </w:p>
    <w:p w14:paraId="0E32D99C" w14:textId="77777777" w:rsidR="00EC708E" w:rsidRPr="009A1E6F" w:rsidRDefault="00EC708E" w:rsidP="00BB27D7">
      <w:pPr>
        <w:pStyle w:val="BodyText"/>
        <w:spacing w:line="276" w:lineRule="auto"/>
        <w:jc w:val="both"/>
        <w:rPr>
          <w:sz w:val="24"/>
          <w:szCs w:val="24"/>
          <w:lang w:val="en-US"/>
        </w:rPr>
      </w:pPr>
      <w:r w:rsidRPr="009A1E6F">
        <w:rPr>
          <w:sz w:val="24"/>
          <w:szCs w:val="24"/>
          <w:lang w:val="en-US"/>
        </w:rPr>
        <w:t xml:space="preserve">The CC, decides on credit exposure toward single subject - legal entity in the amount from EUR 2.000.001 up to EUR 5.000.000. CC also approves restructuring of claims and regulating of claims in accordance with applicable credit policies and performs other activities determined with decisions of the Supervisory Board. The meetings </w:t>
      </w:r>
      <w:proofErr w:type="gramStart"/>
      <w:r w:rsidRPr="009A1E6F">
        <w:rPr>
          <w:sz w:val="24"/>
          <w:szCs w:val="24"/>
          <w:lang w:val="en-US"/>
        </w:rPr>
        <w:t>are held by teleconference or written statement when needed with a quorum of all of its members</w:t>
      </w:r>
      <w:proofErr w:type="gramEnd"/>
      <w:r w:rsidRPr="009A1E6F">
        <w:rPr>
          <w:sz w:val="24"/>
          <w:szCs w:val="24"/>
          <w:lang w:val="en-US"/>
        </w:rPr>
        <w:t xml:space="preserve"> and the decisions are passed unanimously.</w:t>
      </w:r>
    </w:p>
    <w:p w14:paraId="4FD2EB3F" w14:textId="77777777" w:rsidR="00EC708E" w:rsidRPr="009A1E6F" w:rsidRDefault="00EC708E" w:rsidP="00BB27D7">
      <w:pPr>
        <w:pStyle w:val="BodyText"/>
        <w:spacing w:line="276" w:lineRule="auto"/>
        <w:jc w:val="both"/>
        <w:rPr>
          <w:sz w:val="24"/>
          <w:szCs w:val="24"/>
          <w:lang w:val="en-US"/>
        </w:rPr>
      </w:pPr>
    </w:p>
    <w:p w14:paraId="6997A4DA" w14:textId="77777777" w:rsidR="00EC708E" w:rsidRPr="009A1E6F" w:rsidRDefault="00EC708E" w:rsidP="00BB27D7">
      <w:pPr>
        <w:pStyle w:val="BodyText"/>
        <w:numPr>
          <w:ilvl w:val="0"/>
          <w:numId w:val="30"/>
        </w:numPr>
        <w:spacing w:line="276" w:lineRule="auto"/>
        <w:ind w:left="360"/>
        <w:rPr>
          <w:sz w:val="24"/>
          <w:szCs w:val="24"/>
          <w:lang w:val="en-US"/>
        </w:rPr>
      </w:pPr>
      <w:r w:rsidRPr="009A1E6F">
        <w:rPr>
          <w:b/>
          <w:sz w:val="24"/>
          <w:szCs w:val="24"/>
          <w:u w:val="single"/>
          <w:lang w:val="en-US"/>
        </w:rPr>
        <w:t>Commercial Clients Credit Committee (CCCC):</w:t>
      </w:r>
      <w:r w:rsidRPr="009A1E6F">
        <w:rPr>
          <w:sz w:val="24"/>
          <w:szCs w:val="24"/>
          <w:lang w:val="en-US"/>
        </w:rPr>
        <w:t>it consists of 5 members as follows:</w:t>
      </w:r>
    </w:p>
    <w:p w14:paraId="799C3EA5" w14:textId="77777777" w:rsidR="00EC708E" w:rsidRPr="009A1E6F" w:rsidRDefault="00EC708E" w:rsidP="00BB27D7">
      <w:pPr>
        <w:pStyle w:val="BodyText"/>
        <w:numPr>
          <w:ilvl w:val="0"/>
          <w:numId w:val="35"/>
        </w:numPr>
        <w:spacing w:after="0" w:line="276" w:lineRule="auto"/>
        <w:ind w:left="630"/>
        <w:jc w:val="both"/>
        <w:rPr>
          <w:sz w:val="24"/>
          <w:szCs w:val="24"/>
          <w:lang w:val="en-US"/>
        </w:rPr>
      </w:pPr>
      <w:r w:rsidRPr="009A1E6F">
        <w:rPr>
          <w:sz w:val="24"/>
          <w:szCs w:val="24"/>
          <w:lang w:val="en-US"/>
        </w:rPr>
        <w:t>Bojan Stojanoski</w:t>
      </w:r>
      <w:r w:rsidRPr="009A1E6F">
        <w:rPr>
          <w:sz w:val="24"/>
          <w:szCs w:val="24"/>
          <w:lang w:val="en-GB"/>
        </w:rPr>
        <w:t xml:space="preserve"> - Chief Risk Officer of SB and member of the Board of Directors</w:t>
      </w:r>
      <w:r w:rsidRPr="009A1E6F">
        <w:rPr>
          <w:sz w:val="24"/>
          <w:szCs w:val="24"/>
          <w:lang w:val="en-US"/>
        </w:rPr>
        <w:t>, Chairman</w:t>
      </w:r>
    </w:p>
    <w:p w14:paraId="7A1C3F04" w14:textId="77777777" w:rsidR="00EC708E" w:rsidRPr="009A1E6F" w:rsidRDefault="00EC708E" w:rsidP="00BB27D7">
      <w:pPr>
        <w:pStyle w:val="BodyText"/>
        <w:numPr>
          <w:ilvl w:val="0"/>
          <w:numId w:val="35"/>
        </w:numPr>
        <w:spacing w:after="0" w:line="276" w:lineRule="auto"/>
        <w:ind w:left="630"/>
        <w:jc w:val="both"/>
        <w:rPr>
          <w:sz w:val="24"/>
          <w:szCs w:val="24"/>
          <w:lang w:val="en-US"/>
        </w:rPr>
      </w:pPr>
      <w:r w:rsidRPr="009A1E6F">
        <w:rPr>
          <w:sz w:val="24"/>
          <w:szCs w:val="24"/>
          <w:lang w:val="en-GB"/>
        </w:rPr>
        <w:t xml:space="preserve">Toni Stojanovski, Chief Corporate Officer of SB and member of the Board of Directors, member </w:t>
      </w:r>
    </w:p>
    <w:p w14:paraId="28AA7F0E" w14:textId="77777777" w:rsidR="00EC708E" w:rsidRPr="009A1E6F" w:rsidRDefault="00EC708E" w:rsidP="00BB27D7">
      <w:pPr>
        <w:pStyle w:val="BodyText"/>
        <w:numPr>
          <w:ilvl w:val="0"/>
          <w:numId w:val="35"/>
        </w:numPr>
        <w:spacing w:after="0" w:line="276" w:lineRule="auto"/>
        <w:ind w:left="630"/>
        <w:jc w:val="both"/>
        <w:rPr>
          <w:sz w:val="24"/>
          <w:szCs w:val="24"/>
          <w:lang w:val="en-US"/>
        </w:rPr>
      </w:pPr>
      <w:r w:rsidRPr="009A1E6F">
        <w:rPr>
          <w:sz w:val="24"/>
          <w:szCs w:val="24"/>
          <w:lang w:val="en-GB"/>
        </w:rPr>
        <w:t>Ilias Papadopoulos, Chief Credit Officer of SB, member</w:t>
      </w:r>
    </w:p>
    <w:p w14:paraId="2FD906A4" w14:textId="77777777" w:rsidR="00EC708E" w:rsidRPr="009A1E6F" w:rsidRDefault="00EC708E" w:rsidP="00BB27D7">
      <w:pPr>
        <w:pStyle w:val="BodyText"/>
        <w:numPr>
          <w:ilvl w:val="0"/>
          <w:numId w:val="35"/>
        </w:numPr>
        <w:spacing w:after="0" w:line="276" w:lineRule="auto"/>
        <w:ind w:left="630"/>
        <w:jc w:val="both"/>
        <w:rPr>
          <w:sz w:val="24"/>
          <w:szCs w:val="24"/>
          <w:lang w:val="en-US"/>
        </w:rPr>
      </w:pPr>
      <w:r w:rsidRPr="009A1E6F">
        <w:rPr>
          <w:sz w:val="24"/>
          <w:szCs w:val="24"/>
          <w:lang w:val="en-US"/>
        </w:rPr>
        <w:t>Vladimir Treneski, Senior Manager of Corporate Banking, member</w:t>
      </w:r>
    </w:p>
    <w:p w14:paraId="33E09127" w14:textId="77777777" w:rsidR="00EC708E" w:rsidRPr="009A1E6F" w:rsidRDefault="00EC708E" w:rsidP="00BB27D7">
      <w:pPr>
        <w:pStyle w:val="BodyText"/>
        <w:numPr>
          <w:ilvl w:val="0"/>
          <w:numId w:val="35"/>
        </w:numPr>
        <w:spacing w:after="0" w:line="276" w:lineRule="auto"/>
        <w:ind w:left="630"/>
        <w:jc w:val="both"/>
        <w:rPr>
          <w:sz w:val="24"/>
          <w:szCs w:val="24"/>
          <w:lang w:val="en-US"/>
        </w:rPr>
      </w:pPr>
      <w:r w:rsidRPr="009A1E6F">
        <w:rPr>
          <w:sz w:val="24"/>
          <w:szCs w:val="24"/>
          <w:lang w:val="en-US"/>
        </w:rPr>
        <w:t>Lidija Rumenovska Sazdova - Manager of Underwriting Division, member.</w:t>
      </w:r>
    </w:p>
    <w:p w14:paraId="492D5B43" w14:textId="77777777" w:rsidR="00EC708E" w:rsidRPr="009A1E6F" w:rsidRDefault="00EC708E" w:rsidP="00BB27D7">
      <w:pPr>
        <w:pStyle w:val="BodyText"/>
        <w:spacing w:line="276" w:lineRule="auto"/>
        <w:ind w:left="1440" w:firstLine="720"/>
        <w:rPr>
          <w:sz w:val="24"/>
          <w:szCs w:val="24"/>
          <w:lang w:val="en-US"/>
        </w:rPr>
      </w:pPr>
    </w:p>
    <w:p w14:paraId="6C12E7DD" w14:textId="77777777" w:rsidR="00EC708E" w:rsidRPr="009A1E6F" w:rsidRDefault="00EC708E" w:rsidP="00BB27D7">
      <w:pPr>
        <w:pStyle w:val="BodyText2"/>
        <w:spacing w:line="276" w:lineRule="auto"/>
        <w:jc w:val="both"/>
        <w:rPr>
          <w:rFonts w:ascii="Times New Roman" w:hAnsi="Times New Roman"/>
          <w:szCs w:val="24"/>
          <w:lang w:val="en-GB"/>
        </w:rPr>
      </w:pPr>
      <w:r w:rsidRPr="009A1E6F">
        <w:rPr>
          <w:rFonts w:ascii="Times New Roman" w:hAnsi="Times New Roman"/>
          <w:szCs w:val="24"/>
          <w:lang w:val="en-GB"/>
        </w:rPr>
        <w:t xml:space="preserve">The members </w:t>
      </w:r>
      <w:proofErr w:type="gramStart"/>
      <w:r w:rsidRPr="009A1E6F">
        <w:rPr>
          <w:rFonts w:ascii="Times New Roman" w:hAnsi="Times New Roman"/>
          <w:szCs w:val="24"/>
          <w:lang w:val="en-GB"/>
        </w:rPr>
        <w:t>are elected</w:t>
      </w:r>
      <w:proofErr w:type="gramEnd"/>
      <w:r w:rsidRPr="009A1E6F">
        <w:rPr>
          <w:rFonts w:ascii="Times New Roman" w:hAnsi="Times New Roman"/>
          <w:szCs w:val="24"/>
          <w:lang w:val="en-GB"/>
        </w:rPr>
        <w:t xml:space="preserve"> without limitation of the term of office.</w:t>
      </w:r>
    </w:p>
    <w:p w14:paraId="2C55F0EA" w14:textId="77777777" w:rsidR="00EC708E" w:rsidRPr="009A1E6F" w:rsidRDefault="00EC708E" w:rsidP="00BB27D7">
      <w:pPr>
        <w:pStyle w:val="BodyText2"/>
        <w:spacing w:line="276" w:lineRule="auto"/>
        <w:jc w:val="both"/>
        <w:rPr>
          <w:rFonts w:ascii="Times New Roman" w:hAnsi="Times New Roman"/>
          <w:szCs w:val="24"/>
          <w:lang w:val="en-GB"/>
        </w:rPr>
      </w:pPr>
    </w:p>
    <w:p w14:paraId="7807FC93" w14:textId="77777777" w:rsidR="00EC708E" w:rsidRPr="009A1E6F" w:rsidRDefault="00EC708E" w:rsidP="00BB27D7">
      <w:pPr>
        <w:pStyle w:val="BodyText"/>
        <w:spacing w:line="276" w:lineRule="auto"/>
        <w:jc w:val="both"/>
        <w:rPr>
          <w:sz w:val="24"/>
          <w:szCs w:val="24"/>
          <w:lang w:val="en-US"/>
        </w:rPr>
      </w:pPr>
      <w:r w:rsidRPr="009A1E6F">
        <w:rPr>
          <w:sz w:val="24"/>
          <w:szCs w:val="24"/>
          <w:lang w:val="en-US"/>
        </w:rPr>
        <w:t xml:space="preserve">The CCCC decides on credit exposure toward single subject - legal entity up to EUR 2.000.000. CCCC also approves restructuring of claims and regulating of claims in accordance with applicable credit policies and performs other activities determined with decisions of the Supervisory Board. The meetings </w:t>
      </w:r>
      <w:proofErr w:type="gramStart"/>
      <w:r w:rsidRPr="009A1E6F">
        <w:rPr>
          <w:sz w:val="24"/>
          <w:szCs w:val="24"/>
          <w:lang w:val="en-US"/>
        </w:rPr>
        <w:t>are held by teleconference or written statement when needed with a quorum of all of its members</w:t>
      </w:r>
      <w:proofErr w:type="gramEnd"/>
      <w:r w:rsidRPr="009A1E6F">
        <w:rPr>
          <w:sz w:val="24"/>
          <w:szCs w:val="24"/>
          <w:lang w:val="en-US"/>
        </w:rPr>
        <w:t xml:space="preserve"> and the decisions are passed unanimously; </w:t>
      </w:r>
    </w:p>
    <w:p w14:paraId="65717CC0" w14:textId="77777777" w:rsidR="00EC708E" w:rsidRPr="009A1E6F" w:rsidRDefault="00EC708E" w:rsidP="00BB27D7">
      <w:pPr>
        <w:pStyle w:val="BodyText"/>
        <w:spacing w:line="276" w:lineRule="auto"/>
        <w:ind w:left="1440" w:firstLine="720"/>
        <w:rPr>
          <w:sz w:val="24"/>
          <w:szCs w:val="24"/>
          <w:lang w:val="en-US"/>
        </w:rPr>
      </w:pPr>
    </w:p>
    <w:p w14:paraId="4DCBBA93" w14:textId="77777777" w:rsidR="00EC708E" w:rsidRPr="009A1E6F" w:rsidRDefault="00EC708E" w:rsidP="00BB27D7">
      <w:pPr>
        <w:pStyle w:val="BodyText"/>
        <w:numPr>
          <w:ilvl w:val="0"/>
          <w:numId w:val="30"/>
        </w:numPr>
        <w:spacing w:line="276" w:lineRule="auto"/>
        <w:ind w:left="360"/>
        <w:jc w:val="both"/>
        <w:rPr>
          <w:sz w:val="24"/>
          <w:szCs w:val="24"/>
          <w:lang w:val="en-US"/>
        </w:rPr>
      </w:pPr>
      <w:r w:rsidRPr="009A1E6F">
        <w:rPr>
          <w:b/>
          <w:sz w:val="24"/>
          <w:szCs w:val="24"/>
          <w:u w:val="single"/>
          <w:lang w:val="en-US"/>
        </w:rPr>
        <w:t>Higher Small Banking Business Credit Committee (HSBBCC)</w:t>
      </w:r>
      <w:r w:rsidRPr="009A1E6F">
        <w:rPr>
          <w:sz w:val="24"/>
          <w:szCs w:val="24"/>
          <w:lang w:val="en-US"/>
        </w:rPr>
        <w:t>: it consists of 5 members, as follows:</w:t>
      </w:r>
    </w:p>
    <w:p w14:paraId="1BC177AA" w14:textId="77777777" w:rsidR="00EC708E" w:rsidRPr="009A1E6F" w:rsidRDefault="00EC708E" w:rsidP="00BB27D7">
      <w:pPr>
        <w:pStyle w:val="BodyText"/>
        <w:numPr>
          <w:ilvl w:val="0"/>
          <w:numId w:val="36"/>
        </w:numPr>
        <w:spacing w:after="0" w:line="276" w:lineRule="auto"/>
        <w:ind w:left="630" w:hanging="540"/>
        <w:jc w:val="both"/>
        <w:rPr>
          <w:sz w:val="24"/>
          <w:szCs w:val="24"/>
        </w:rPr>
      </w:pPr>
      <w:r w:rsidRPr="009A1E6F">
        <w:rPr>
          <w:sz w:val="24"/>
          <w:szCs w:val="24"/>
          <w:lang w:val="en-US"/>
        </w:rPr>
        <w:t>Bojan Stojanoski - Chief Risk Officer of SB and member of the Board of Directors, Chairman</w:t>
      </w:r>
    </w:p>
    <w:p w14:paraId="68187B90" w14:textId="77777777" w:rsidR="00EC708E" w:rsidRPr="009A1E6F" w:rsidRDefault="00EC708E" w:rsidP="00BB27D7">
      <w:pPr>
        <w:pStyle w:val="BodyText"/>
        <w:numPr>
          <w:ilvl w:val="0"/>
          <w:numId w:val="36"/>
        </w:numPr>
        <w:spacing w:after="0" w:line="276" w:lineRule="auto"/>
        <w:ind w:left="630" w:hanging="540"/>
        <w:jc w:val="both"/>
        <w:rPr>
          <w:sz w:val="24"/>
          <w:szCs w:val="24"/>
        </w:rPr>
      </w:pPr>
      <w:r w:rsidRPr="009A1E6F">
        <w:rPr>
          <w:sz w:val="24"/>
          <w:szCs w:val="24"/>
          <w:lang w:val="en-US"/>
        </w:rPr>
        <w:t>Milica Chaparovska – Jovanovska - Chief Retail Officer of SB and member of the Board of Directors, member</w:t>
      </w:r>
    </w:p>
    <w:p w14:paraId="0E49361B" w14:textId="77777777" w:rsidR="00EC708E" w:rsidRPr="009A1E6F" w:rsidRDefault="00EC708E" w:rsidP="00BB27D7">
      <w:pPr>
        <w:pStyle w:val="BodyText"/>
        <w:numPr>
          <w:ilvl w:val="0"/>
          <w:numId w:val="36"/>
        </w:numPr>
        <w:spacing w:after="0" w:line="276" w:lineRule="auto"/>
        <w:ind w:left="630" w:hanging="540"/>
        <w:jc w:val="both"/>
        <w:rPr>
          <w:sz w:val="24"/>
          <w:szCs w:val="24"/>
        </w:rPr>
      </w:pPr>
      <w:r w:rsidRPr="009A1E6F">
        <w:rPr>
          <w:sz w:val="24"/>
          <w:szCs w:val="24"/>
          <w:lang w:val="en-US"/>
        </w:rPr>
        <w:lastRenderedPageBreak/>
        <w:t>Ilias Papadopoulos – Chief Credit Officer of SB, member</w:t>
      </w:r>
    </w:p>
    <w:p w14:paraId="29AD67C7" w14:textId="77777777" w:rsidR="00EC708E" w:rsidRPr="009A1E6F" w:rsidRDefault="00EC708E" w:rsidP="00BB27D7">
      <w:pPr>
        <w:pStyle w:val="BodyText"/>
        <w:numPr>
          <w:ilvl w:val="0"/>
          <w:numId w:val="36"/>
        </w:numPr>
        <w:spacing w:after="0" w:line="276" w:lineRule="auto"/>
        <w:ind w:left="630" w:hanging="540"/>
        <w:jc w:val="both"/>
        <w:rPr>
          <w:sz w:val="24"/>
          <w:szCs w:val="24"/>
        </w:rPr>
      </w:pPr>
      <w:r w:rsidRPr="009A1E6F">
        <w:rPr>
          <w:sz w:val="24"/>
          <w:szCs w:val="24"/>
          <w:lang w:val="en-US"/>
        </w:rPr>
        <w:t xml:space="preserve">Dejan Krstevski - Manager of Small Banking Business Division, member </w:t>
      </w:r>
    </w:p>
    <w:p w14:paraId="7C72F915" w14:textId="77777777" w:rsidR="00EC708E" w:rsidRPr="009A1E6F" w:rsidRDefault="00EC708E" w:rsidP="00BB27D7">
      <w:pPr>
        <w:pStyle w:val="BodyText"/>
        <w:numPr>
          <w:ilvl w:val="0"/>
          <w:numId w:val="36"/>
        </w:numPr>
        <w:spacing w:after="0" w:line="276" w:lineRule="auto"/>
        <w:ind w:left="630" w:hanging="540"/>
        <w:jc w:val="both"/>
        <w:rPr>
          <w:sz w:val="24"/>
          <w:szCs w:val="24"/>
        </w:rPr>
      </w:pPr>
      <w:r w:rsidRPr="009A1E6F">
        <w:rPr>
          <w:sz w:val="24"/>
          <w:szCs w:val="24"/>
          <w:lang w:val="en-US"/>
        </w:rPr>
        <w:t>Emilija Stojanova - Ivanovska - Manager of Risk Management Division, member</w:t>
      </w:r>
    </w:p>
    <w:p w14:paraId="61CA98E2" w14:textId="77777777" w:rsidR="00EC708E" w:rsidRPr="009A1E6F" w:rsidRDefault="00EC708E" w:rsidP="00BB27D7">
      <w:pPr>
        <w:pStyle w:val="BodyText2"/>
        <w:spacing w:line="276" w:lineRule="auto"/>
        <w:rPr>
          <w:rFonts w:ascii="Times New Roman" w:hAnsi="Times New Roman"/>
          <w:szCs w:val="24"/>
          <w:lang w:val="en-GB"/>
        </w:rPr>
      </w:pPr>
    </w:p>
    <w:p w14:paraId="3457F27D" w14:textId="77777777" w:rsidR="00EC708E" w:rsidRPr="009A1E6F" w:rsidRDefault="00EC708E" w:rsidP="00BB27D7">
      <w:pPr>
        <w:pStyle w:val="BodyText2"/>
        <w:spacing w:line="276" w:lineRule="auto"/>
        <w:jc w:val="both"/>
        <w:rPr>
          <w:rFonts w:ascii="Times New Roman" w:hAnsi="Times New Roman"/>
          <w:szCs w:val="24"/>
          <w:lang w:val="en-GB"/>
        </w:rPr>
      </w:pPr>
      <w:r w:rsidRPr="009A1E6F">
        <w:rPr>
          <w:rFonts w:ascii="Times New Roman" w:hAnsi="Times New Roman"/>
          <w:szCs w:val="24"/>
          <w:lang w:val="en-GB"/>
        </w:rPr>
        <w:t xml:space="preserve">The members </w:t>
      </w:r>
      <w:proofErr w:type="gramStart"/>
      <w:r w:rsidRPr="009A1E6F">
        <w:rPr>
          <w:rFonts w:ascii="Times New Roman" w:hAnsi="Times New Roman"/>
          <w:szCs w:val="24"/>
          <w:lang w:val="en-GB"/>
        </w:rPr>
        <w:t>are elected</w:t>
      </w:r>
      <w:proofErr w:type="gramEnd"/>
      <w:r w:rsidRPr="009A1E6F">
        <w:rPr>
          <w:rFonts w:ascii="Times New Roman" w:hAnsi="Times New Roman"/>
          <w:szCs w:val="24"/>
          <w:lang w:val="en-GB"/>
        </w:rPr>
        <w:t xml:space="preserve"> without limitation of the term of office.</w:t>
      </w:r>
    </w:p>
    <w:p w14:paraId="2CFE7DD4" w14:textId="77777777" w:rsidR="00EC708E" w:rsidRPr="009A1E6F" w:rsidRDefault="00EC708E" w:rsidP="00BB27D7">
      <w:pPr>
        <w:pStyle w:val="BodyText2"/>
        <w:spacing w:line="276" w:lineRule="auto"/>
        <w:jc w:val="both"/>
        <w:rPr>
          <w:rFonts w:ascii="Times New Roman" w:hAnsi="Times New Roman"/>
          <w:szCs w:val="24"/>
          <w:lang w:val="en-GB"/>
        </w:rPr>
      </w:pPr>
    </w:p>
    <w:p w14:paraId="3A2DEE61" w14:textId="77777777" w:rsidR="00EC708E" w:rsidRPr="009A1E6F" w:rsidRDefault="00EC708E" w:rsidP="00BB27D7">
      <w:pPr>
        <w:pStyle w:val="BodyText"/>
        <w:spacing w:line="276" w:lineRule="auto"/>
        <w:jc w:val="both"/>
        <w:rPr>
          <w:sz w:val="24"/>
          <w:szCs w:val="24"/>
          <w:lang w:val="en-US"/>
        </w:rPr>
      </w:pPr>
      <w:r w:rsidRPr="009A1E6F">
        <w:rPr>
          <w:sz w:val="24"/>
          <w:szCs w:val="24"/>
          <w:lang w:val="en-US"/>
        </w:rPr>
        <w:t xml:space="preserve">The HSBBCC decides on credit exposure toward single subject – legal entity from EUR 100.001 up to EUR 500.000 and toward single subject – individual from EUR 100.001. HSBBCC also approves restructuring of claims and regulating of claims in accordance with applicable credit policies and performs other activities determined with decisions of the Supervisory Board. The meetings </w:t>
      </w:r>
      <w:proofErr w:type="gramStart"/>
      <w:r w:rsidRPr="009A1E6F">
        <w:rPr>
          <w:sz w:val="24"/>
          <w:szCs w:val="24"/>
          <w:lang w:val="en-US"/>
        </w:rPr>
        <w:t>are held by teleconference or written statement when needed with a quorum of all of its members</w:t>
      </w:r>
      <w:proofErr w:type="gramEnd"/>
      <w:r w:rsidRPr="009A1E6F">
        <w:rPr>
          <w:sz w:val="24"/>
          <w:szCs w:val="24"/>
          <w:lang w:val="en-US"/>
        </w:rPr>
        <w:t xml:space="preserve"> and the decisions are passed unanimously; </w:t>
      </w:r>
    </w:p>
    <w:p w14:paraId="0F1EDA34" w14:textId="77777777" w:rsidR="00EC708E" w:rsidRPr="009A1E6F" w:rsidRDefault="00EC708E" w:rsidP="00BB27D7">
      <w:pPr>
        <w:pStyle w:val="BodyText"/>
        <w:numPr>
          <w:ilvl w:val="0"/>
          <w:numId w:val="30"/>
        </w:numPr>
        <w:tabs>
          <w:tab w:val="left" w:pos="360"/>
        </w:tabs>
        <w:spacing w:line="276" w:lineRule="auto"/>
        <w:ind w:left="360"/>
        <w:rPr>
          <w:sz w:val="24"/>
          <w:szCs w:val="24"/>
          <w:lang w:val="en-US"/>
        </w:rPr>
      </w:pPr>
      <w:r w:rsidRPr="009A1E6F">
        <w:rPr>
          <w:b/>
          <w:sz w:val="24"/>
          <w:szCs w:val="24"/>
          <w:u w:val="single"/>
          <w:lang w:val="en-US"/>
        </w:rPr>
        <w:t>Small Banking Business Credit Committee</w:t>
      </w:r>
      <w:r w:rsidRPr="009A1E6F">
        <w:rPr>
          <w:sz w:val="24"/>
          <w:szCs w:val="24"/>
          <w:u w:val="single"/>
          <w:lang w:val="en-US"/>
        </w:rPr>
        <w:t xml:space="preserve"> (SBBCC): </w:t>
      </w:r>
      <w:r w:rsidRPr="009A1E6F">
        <w:rPr>
          <w:sz w:val="24"/>
          <w:szCs w:val="24"/>
          <w:lang w:val="en-US"/>
        </w:rPr>
        <w:t>it consists of 5 members as follows:</w:t>
      </w:r>
    </w:p>
    <w:p w14:paraId="2DA5C400" w14:textId="77777777" w:rsidR="00EC708E" w:rsidRPr="009A1E6F" w:rsidRDefault="00EC708E" w:rsidP="00BB27D7">
      <w:pPr>
        <w:pStyle w:val="BodyText"/>
        <w:numPr>
          <w:ilvl w:val="0"/>
          <w:numId w:val="36"/>
        </w:numPr>
        <w:spacing w:after="0" w:line="276" w:lineRule="auto"/>
        <w:ind w:left="810" w:hanging="450"/>
        <w:jc w:val="both"/>
        <w:rPr>
          <w:sz w:val="24"/>
          <w:szCs w:val="24"/>
          <w:lang w:val="en-US"/>
        </w:rPr>
      </w:pPr>
      <w:r w:rsidRPr="009A1E6F">
        <w:rPr>
          <w:sz w:val="24"/>
          <w:szCs w:val="24"/>
          <w:lang w:val="en-US"/>
        </w:rPr>
        <w:t>Milica Chaparovska - Jovanovska - Chief Retail Officer of SB and member of the Board of Directors, Chairman</w:t>
      </w:r>
    </w:p>
    <w:p w14:paraId="4B5CF5F0" w14:textId="77777777" w:rsidR="00EC708E" w:rsidRPr="009A1E6F" w:rsidRDefault="00EC708E" w:rsidP="00BB27D7">
      <w:pPr>
        <w:pStyle w:val="BodyText"/>
        <w:numPr>
          <w:ilvl w:val="0"/>
          <w:numId w:val="36"/>
        </w:numPr>
        <w:spacing w:after="0" w:line="276" w:lineRule="auto"/>
        <w:ind w:left="810" w:hanging="450"/>
        <w:jc w:val="both"/>
        <w:rPr>
          <w:sz w:val="24"/>
          <w:szCs w:val="24"/>
          <w:lang w:val="en-US"/>
        </w:rPr>
      </w:pPr>
      <w:r w:rsidRPr="009A1E6F">
        <w:rPr>
          <w:sz w:val="24"/>
          <w:szCs w:val="24"/>
          <w:lang w:val="en-US"/>
        </w:rPr>
        <w:t>Dejan Krstevski - Manager of Small Banking Business Division, member</w:t>
      </w:r>
    </w:p>
    <w:p w14:paraId="4853CC08" w14:textId="77777777" w:rsidR="00EC708E" w:rsidRPr="009A1E6F" w:rsidRDefault="00EC708E" w:rsidP="00BB27D7">
      <w:pPr>
        <w:pStyle w:val="BodyText"/>
        <w:numPr>
          <w:ilvl w:val="0"/>
          <w:numId w:val="36"/>
        </w:numPr>
        <w:spacing w:after="0" w:line="276" w:lineRule="auto"/>
        <w:ind w:left="810" w:hanging="450"/>
        <w:jc w:val="both"/>
        <w:rPr>
          <w:sz w:val="24"/>
          <w:szCs w:val="24"/>
          <w:lang w:val="en-US"/>
        </w:rPr>
      </w:pPr>
      <w:r w:rsidRPr="009A1E6F">
        <w:rPr>
          <w:sz w:val="24"/>
          <w:szCs w:val="24"/>
          <w:lang w:val="en-US"/>
        </w:rPr>
        <w:t>Barbara Brezovska - Ponjavic or Dragan Mihajlov -Manager or Deputy Manager of Product Management and Clients Segment Division, member</w:t>
      </w:r>
    </w:p>
    <w:p w14:paraId="51C7328F" w14:textId="77777777" w:rsidR="00EC708E" w:rsidRPr="009A1E6F" w:rsidRDefault="00EC708E" w:rsidP="00BB27D7">
      <w:pPr>
        <w:pStyle w:val="BodyText"/>
        <w:numPr>
          <w:ilvl w:val="0"/>
          <w:numId w:val="36"/>
        </w:numPr>
        <w:spacing w:after="0" w:line="276" w:lineRule="auto"/>
        <w:ind w:left="810" w:hanging="450"/>
        <w:jc w:val="both"/>
        <w:rPr>
          <w:sz w:val="24"/>
          <w:szCs w:val="24"/>
          <w:lang w:val="en-US"/>
        </w:rPr>
      </w:pPr>
      <w:r w:rsidRPr="009A1E6F">
        <w:rPr>
          <w:sz w:val="24"/>
          <w:szCs w:val="24"/>
          <w:lang w:val="en-US"/>
        </w:rPr>
        <w:t>Mihaela Atanasovska Stoicovska  - Manager of Credit Division</w:t>
      </w:r>
    </w:p>
    <w:p w14:paraId="61EB881D" w14:textId="77777777" w:rsidR="00EC708E" w:rsidRPr="009A1E6F" w:rsidRDefault="00EC708E" w:rsidP="00BB27D7">
      <w:pPr>
        <w:pStyle w:val="BodyText"/>
        <w:numPr>
          <w:ilvl w:val="0"/>
          <w:numId w:val="36"/>
        </w:numPr>
        <w:spacing w:after="0" w:line="276" w:lineRule="auto"/>
        <w:ind w:left="810" w:hanging="450"/>
        <w:jc w:val="both"/>
        <w:rPr>
          <w:sz w:val="24"/>
          <w:szCs w:val="24"/>
          <w:lang w:val="en-US"/>
        </w:rPr>
      </w:pPr>
      <w:r w:rsidRPr="009A1E6F">
        <w:rPr>
          <w:sz w:val="24"/>
          <w:szCs w:val="24"/>
          <w:lang w:val="en-US"/>
        </w:rPr>
        <w:t xml:space="preserve">Maja Rusovska – Manager of SBB Credit Department. </w:t>
      </w:r>
    </w:p>
    <w:p w14:paraId="23D1BD85" w14:textId="77777777" w:rsidR="00EC708E" w:rsidRPr="009A1E6F" w:rsidRDefault="00EC708E" w:rsidP="00BB27D7">
      <w:pPr>
        <w:pStyle w:val="BodyText"/>
        <w:spacing w:after="0" w:line="276" w:lineRule="auto"/>
        <w:ind w:left="1440" w:firstLine="720"/>
        <w:rPr>
          <w:sz w:val="24"/>
          <w:szCs w:val="24"/>
          <w:lang w:val="en-US"/>
        </w:rPr>
      </w:pPr>
    </w:p>
    <w:p w14:paraId="406049E5" w14:textId="77777777" w:rsidR="00EC708E" w:rsidRPr="009A1E6F" w:rsidRDefault="00EC708E" w:rsidP="00BB27D7">
      <w:pPr>
        <w:pStyle w:val="BodyText2"/>
        <w:spacing w:line="276" w:lineRule="auto"/>
        <w:rPr>
          <w:rFonts w:ascii="Times New Roman" w:hAnsi="Times New Roman"/>
          <w:szCs w:val="24"/>
          <w:lang w:val="en-GB"/>
        </w:rPr>
      </w:pPr>
      <w:r w:rsidRPr="009A1E6F">
        <w:rPr>
          <w:rFonts w:ascii="Times New Roman" w:hAnsi="Times New Roman"/>
          <w:szCs w:val="24"/>
          <w:lang w:val="en-GB"/>
        </w:rPr>
        <w:t xml:space="preserve">The members </w:t>
      </w:r>
      <w:proofErr w:type="gramStart"/>
      <w:r w:rsidRPr="009A1E6F">
        <w:rPr>
          <w:rFonts w:ascii="Times New Roman" w:hAnsi="Times New Roman"/>
          <w:szCs w:val="24"/>
          <w:lang w:val="en-GB"/>
        </w:rPr>
        <w:t>are elected</w:t>
      </w:r>
      <w:proofErr w:type="gramEnd"/>
      <w:r w:rsidRPr="009A1E6F">
        <w:rPr>
          <w:rFonts w:ascii="Times New Roman" w:hAnsi="Times New Roman"/>
          <w:szCs w:val="24"/>
          <w:lang w:val="en-GB"/>
        </w:rPr>
        <w:t xml:space="preserve"> without limitation of the term of office.</w:t>
      </w:r>
    </w:p>
    <w:p w14:paraId="48FFA0F8" w14:textId="77777777" w:rsidR="00EC708E" w:rsidRPr="009A1E6F" w:rsidRDefault="00EC708E" w:rsidP="00BB27D7">
      <w:pPr>
        <w:pStyle w:val="BodyText2"/>
        <w:spacing w:line="276" w:lineRule="auto"/>
        <w:jc w:val="both"/>
        <w:rPr>
          <w:rFonts w:ascii="Times New Roman" w:hAnsi="Times New Roman"/>
          <w:szCs w:val="24"/>
          <w:lang w:val="en-GB"/>
        </w:rPr>
      </w:pPr>
    </w:p>
    <w:p w14:paraId="11CF2E93" w14:textId="77777777" w:rsidR="00EC708E" w:rsidRPr="009A1E6F" w:rsidRDefault="00EC708E" w:rsidP="00BB27D7">
      <w:pPr>
        <w:pStyle w:val="BodyText"/>
        <w:spacing w:line="276" w:lineRule="auto"/>
        <w:jc w:val="both"/>
        <w:rPr>
          <w:sz w:val="24"/>
          <w:szCs w:val="24"/>
          <w:lang w:val="en-US"/>
        </w:rPr>
      </w:pPr>
      <w:r w:rsidRPr="009A1E6F">
        <w:rPr>
          <w:sz w:val="24"/>
          <w:szCs w:val="24"/>
          <w:lang w:val="en-US"/>
        </w:rPr>
        <w:t xml:space="preserve">The SBBCC decides on credit exposure toward single subject – legal entity in the amount up to EUR 100.000. SBBCC also approves restructuring of claims and regulating of claims in accordance with applicable credit policies and performs other activities determined with decisions of the Supervisory Board. The meetings </w:t>
      </w:r>
      <w:proofErr w:type="gramStart"/>
      <w:r w:rsidRPr="009A1E6F">
        <w:rPr>
          <w:sz w:val="24"/>
          <w:szCs w:val="24"/>
          <w:lang w:val="en-US"/>
        </w:rPr>
        <w:t>are held by teleconference or written statement when needed with a quorum of all of its members</w:t>
      </w:r>
      <w:proofErr w:type="gramEnd"/>
      <w:r w:rsidRPr="009A1E6F">
        <w:rPr>
          <w:sz w:val="24"/>
          <w:szCs w:val="24"/>
          <w:lang w:val="en-US"/>
        </w:rPr>
        <w:t xml:space="preserve"> and the decisions are passed unanimously.</w:t>
      </w:r>
    </w:p>
    <w:p w14:paraId="543A8722" w14:textId="77777777" w:rsidR="00EC708E" w:rsidRPr="009A1E6F" w:rsidRDefault="00EC708E" w:rsidP="00BB27D7">
      <w:pPr>
        <w:pStyle w:val="BodyText"/>
        <w:spacing w:line="276" w:lineRule="auto"/>
        <w:jc w:val="both"/>
        <w:rPr>
          <w:sz w:val="24"/>
          <w:szCs w:val="24"/>
          <w:lang w:val="en-US"/>
        </w:rPr>
      </w:pPr>
      <w:r w:rsidRPr="009A1E6F">
        <w:rPr>
          <w:sz w:val="24"/>
          <w:szCs w:val="24"/>
          <w:lang w:val="en-US"/>
        </w:rPr>
        <w:t>Lower approval levels can be determined with decision of the Supervisory Board or by approval of the relevant credit policy.</w:t>
      </w:r>
    </w:p>
    <w:p w14:paraId="645EF300" w14:textId="77777777" w:rsidR="00EC708E" w:rsidRPr="009A1E6F" w:rsidRDefault="00EC708E" w:rsidP="00BB27D7">
      <w:pPr>
        <w:pStyle w:val="BodyText"/>
        <w:numPr>
          <w:ilvl w:val="0"/>
          <w:numId w:val="30"/>
        </w:numPr>
        <w:spacing w:line="276" w:lineRule="auto"/>
        <w:ind w:left="360"/>
        <w:rPr>
          <w:sz w:val="24"/>
          <w:szCs w:val="24"/>
          <w:lang w:val="en-US"/>
        </w:rPr>
      </w:pPr>
      <w:r w:rsidRPr="009A1E6F">
        <w:rPr>
          <w:b/>
          <w:sz w:val="24"/>
          <w:szCs w:val="24"/>
          <w:u w:val="single"/>
          <w:lang w:val="en-US"/>
        </w:rPr>
        <w:t>Retail Credit Committee (RCC):</w:t>
      </w:r>
      <w:r w:rsidRPr="009A1E6F">
        <w:rPr>
          <w:sz w:val="24"/>
          <w:szCs w:val="24"/>
          <w:lang w:val="en-US"/>
        </w:rPr>
        <w:t>it consists of 5 members as follows:</w:t>
      </w:r>
    </w:p>
    <w:p w14:paraId="299D2410" w14:textId="77777777" w:rsidR="00EC708E" w:rsidRPr="009A1E6F" w:rsidRDefault="00EC708E" w:rsidP="00BB27D7">
      <w:pPr>
        <w:pStyle w:val="BodyText"/>
        <w:numPr>
          <w:ilvl w:val="0"/>
          <w:numId w:val="37"/>
        </w:numPr>
        <w:spacing w:after="0" w:line="276" w:lineRule="auto"/>
        <w:ind w:left="720" w:hanging="540"/>
        <w:jc w:val="both"/>
        <w:rPr>
          <w:sz w:val="24"/>
          <w:szCs w:val="24"/>
          <w:lang w:val="en-US"/>
        </w:rPr>
      </w:pPr>
      <w:r w:rsidRPr="009A1E6F">
        <w:rPr>
          <w:sz w:val="24"/>
          <w:szCs w:val="24"/>
        </w:rPr>
        <w:t xml:space="preserve">Milica Chaparovska - Jovanovska - Chief Retail Officer of SB </w:t>
      </w:r>
      <w:r w:rsidRPr="009A1E6F">
        <w:rPr>
          <w:sz w:val="24"/>
          <w:szCs w:val="24"/>
          <w:lang w:val="en-GB"/>
        </w:rPr>
        <w:t>and member of the Board of Directors</w:t>
      </w:r>
      <w:r w:rsidRPr="009A1E6F">
        <w:rPr>
          <w:sz w:val="24"/>
          <w:szCs w:val="24"/>
          <w:lang w:val="en-US"/>
        </w:rPr>
        <w:t>, Chairman</w:t>
      </w:r>
    </w:p>
    <w:p w14:paraId="0C7D4438" w14:textId="77777777" w:rsidR="00EC708E" w:rsidRPr="009A1E6F" w:rsidRDefault="00EC708E" w:rsidP="00BB27D7">
      <w:pPr>
        <w:pStyle w:val="BodyText"/>
        <w:numPr>
          <w:ilvl w:val="0"/>
          <w:numId w:val="37"/>
        </w:numPr>
        <w:spacing w:after="0" w:line="276" w:lineRule="auto"/>
        <w:ind w:left="720" w:hanging="540"/>
        <w:jc w:val="both"/>
        <w:rPr>
          <w:sz w:val="24"/>
          <w:szCs w:val="24"/>
          <w:lang w:val="en-US"/>
        </w:rPr>
      </w:pPr>
      <w:r w:rsidRPr="009A1E6F">
        <w:rPr>
          <w:sz w:val="24"/>
          <w:szCs w:val="24"/>
          <w:lang w:val="en-US"/>
        </w:rPr>
        <w:t>Barbara Brezovska – Ponjavic or Dragan Mihajlov -Manager or Deputy Manager of Product Management Division, member</w:t>
      </w:r>
    </w:p>
    <w:p w14:paraId="3CAED9FB" w14:textId="77777777" w:rsidR="00EC708E" w:rsidRPr="009A1E6F" w:rsidRDefault="00EC708E" w:rsidP="00BB27D7">
      <w:pPr>
        <w:pStyle w:val="BodyText"/>
        <w:numPr>
          <w:ilvl w:val="0"/>
          <w:numId w:val="37"/>
        </w:numPr>
        <w:spacing w:after="0" w:line="276" w:lineRule="auto"/>
        <w:ind w:left="720" w:hanging="540"/>
        <w:jc w:val="both"/>
        <w:rPr>
          <w:sz w:val="24"/>
          <w:szCs w:val="24"/>
          <w:lang w:val="en-US"/>
        </w:rPr>
      </w:pPr>
      <w:r w:rsidRPr="009A1E6F">
        <w:rPr>
          <w:sz w:val="24"/>
          <w:szCs w:val="24"/>
          <w:lang w:val="en-US"/>
        </w:rPr>
        <w:t xml:space="preserve">Mihaela Atanasovska Stoicovska  - Manager of Credit Division of SB, member </w:t>
      </w:r>
    </w:p>
    <w:p w14:paraId="1AED5085" w14:textId="77777777" w:rsidR="00EC708E" w:rsidRPr="009A1E6F" w:rsidRDefault="00EC708E" w:rsidP="00BB27D7">
      <w:pPr>
        <w:pStyle w:val="BodyText"/>
        <w:numPr>
          <w:ilvl w:val="0"/>
          <w:numId w:val="37"/>
        </w:numPr>
        <w:spacing w:after="0" w:line="276" w:lineRule="auto"/>
        <w:ind w:left="720" w:hanging="540"/>
        <w:jc w:val="both"/>
        <w:rPr>
          <w:sz w:val="24"/>
          <w:szCs w:val="24"/>
          <w:lang w:val="en-US"/>
        </w:rPr>
      </w:pPr>
      <w:r w:rsidRPr="009A1E6F">
        <w:rPr>
          <w:sz w:val="24"/>
          <w:szCs w:val="24"/>
          <w:lang w:val="en-US"/>
        </w:rPr>
        <w:t>Tatjana Kalajdzieva - Senior Manager of Sales and Branch Network, member</w:t>
      </w:r>
    </w:p>
    <w:p w14:paraId="1D36CC18" w14:textId="77777777" w:rsidR="00EC708E" w:rsidRPr="009A1E6F" w:rsidRDefault="00EC708E" w:rsidP="00BB27D7">
      <w:pPr>
        <w:pStyle w:val="BodyText"/>
        <w:numPr>
          <w:ilvl w:val="0"/>
          <w:numId w:val="37"/>
        </w:numPr>
        <w:spacing w:after="0" w:line="276" w:lineRule="auto"/>
        <w:ind w:left="720" w:hanging="540"/>
        <w:jc w:val="both"/>
        <w:rPr>
          <w:sz w:val="24"/>
          <w:szCs w:val="24"/>
          <w:lang w:val="en-US"/>
        </w:rPr>
      </w:pPr>
      <w:r w:rsidRPr="009A1E6F">
        <w:rPr>
          <w:sz w:val="24"/>
          <w:szCs w:val="24"/>
          <w:lang w:val="en-US"/>
        </w:rPr>
        <w:t>Violeta Zatenko - Manager of Retail Credit Department of SB, member.</w:t>
      </w:r>
    </w:p>
    <w:p w14:paraId="5A407D06" w14:textId="77777777" w:rsidR="00EC708E" w:rsidRPr="009A1E6F" w:rsidRDefault="00EC708E" w:rsidP="00BB27D7">
      <w:pPr>
        <w:pStyle w:val="BodyText"/>
        <w:spacing w:after="0" w:line="276" w:lineRule="auto"/>
        <w:ind w:left="720"/>
        <w:jc w:val="both"/>
        <w:rPr>
          <w:sz w:val="24"/>
          <w:szCs w:val="24"/>
          <w:lang w:val="en-US"/>
        </w:rPr>
      </w:pPr>
    </w:p>
    <w:p w14:paraId="770933E1" w14:textId="77777777" w:rsidR="00EC708E" w:rsidRPr="009A1E6F" w:rsidRDefault="00EC708E" w:rsidP="00BB27D7">
      <w:pPr>
        <w:pStyle w:val="BodyText2"/>
        <w:spacing w:line="276" w:lineRule="auto"/>
        <w:rPr>
          <w:rFonts w:ascii="Times New Roman" w:hAnsi="Times New Roman"/>
          <w:szCs w:val="24"/>
          <w:lang w:val="en-GB"/>
        </w:rPr>
      </w:pPr>
      <w:r w:rsidRPr="009A1E6F">
        <w:rPr>
          <w:rFonts w:ascii="Times New Roman" w:hAnsi="Times New Roman"/>
          <w:szCs w:val="24"/>
          <w:lang w:val="en-GB"/>
        </w:rPr>
        <w:t xml:space="preserve">The members </w:t>
      </w:r>
      <w:proofErr w:type="gramStart"/>
      <w:r w:rsidRPr="009A1E6F">
        <w:rPr>
          <w:rFonts w:ascii="Times New Roman" w:hAnsi="Times New Roman"/>
          <w:szCs w:val="24"/>
          <w:lang w:val="en-GB"/>
        </w:rPr>
        <w:t>are elected</w:t>
      </w:r>
      <w:proofErr w:type="gramEnd"/>
      <w:r w:rsidRPr="009A1E6F">
        <w:rPr>
          <w:rFonts w:ascii="Times New Roman" w:hAnsi="Times New Roman"/>
          <w:szCs w:val="24"/>
          <w:lang w:val="en-GB"/>
        </w:rPr>
        <w:t xml:space="preserve"> without limitation of the term of office.</w:t>
      </w:r>
    </w:p>
    <w:p w14:paraId="371843BD" w14:textId="77777777" w:rsidR="00EC708E" w:rsidRPr="009A1E6F" w:rsidRDefault="00EC708E" w:rsidP="00BB27D7">
      <w:pPr>
        <w:pStyle w:val="BodyText"/>
        <w:spacing w:after="0" w:line="276" w:lineRule="auto"/>
        <w:rPr>
          <w:sz w:val="24"/>
          <w:szCs w:val="24"/>
          <w:lang w:val="en-GB"/>
        </w:rPr>
      </w:pPr>
    </w:p>
    <w:p w14:paraId="38EB6D05" w14:textId="77777777" w:rsidR="00EC708E" w:rsidRPr="009A1E6F" w:rsidRDefault="00EC708E" w:rsidP="00BB27D7">
      <w:pPr>
        <w:pStyle w:val="BodyText"/>
        <w:spacing w:line="276" w:lineRule="auto"/>
        <w:jc w:val="both"/>
        <w:rPr>
          <w:sz w:val="24"/>
          <w:szCs w:val="24"/>
          <w:lang w:val="en-US"/>
        </w:rPr>
      </w:pPr>
      <w:r w:rsidRPr="009A1E6F">
        <w:rPr>
          <w:sz w:val="24"/>
          <w:szCs w:val="24"/>
          <w:lang w:val="en-US"/>
        </w:rPr>
        <w:t xml:space="preserve">The RCC decides on credit exposure toward single subject – individual in the amount up to EUR 100.000. RCC also approves restructuring of claims and regulating of claims in accordance with applicable credit policies and performs other activities determined with decisions of the Supervisory Board. The meetings </w:t>
      </w:r>
      <w:proofErr w:type="gramStart"/>
      <w:r w:rsidRPr="009A1E6F">
        <w:rPr>
          <w:sz w:val="24"/>
          <w:szCs w:val="24"/>
          <w:lang w:val="en-US"/>
        </w:rPr>
        <w:t>are held by teleconference or written statement when needed with a quorum of all of its members</w:t>
      </w:r>
      <w:proofErr w:type="gramEnd"/>
      <w:r w:rsidRPr="009A1E6F">
        <w:rPr>
          <w:sz w:val="24"/>
          <w:szCs w:val="24"/>
          <w:lang w:val="en-US"/>
        </w:rPr>
        <w:t xml:space="preserve"> and the decisions are passed unanimously; </w:t>
      </w:r>
    </w:p>
    <w:p w14:paraId="3AC23DF8" w14:textId="77777777" w:rsidR="00EC708E" w:rsidRPr="009A1E6F" w:rsidRDefault="00EC708E" w:rsidP="00BB27D7">
      <w:pPr>
        <w:pStyle w:val="BodyText"/>
        <w:spacing w:line="276" w:lineRule="auto"/>
        <w:jc w:val="both"/>
        <w:rPr>
          <w:sz w:val="24"/>
          <w:szCs w:val="24"/>
          <w:lang w:val="en-US"/>
        </w:rPr>
      </w:pPr>
      <w:r w:rsidRPr="009A1E6F">
        <w:rPr>
          <w:sz w:val="24"/>
          <w:szCs w:val="24"/>
          <w:lang w:val="en-US"/>
        </w:rPr>
        <w:t>Lower approval levels can be determined with decision of the Supervisory Board</w:t>
      </w:r>
      <w:r w:rsidRPr="009A1E6F">
        <w:rPr>
          <w:sz w:val="24"/>
          <w:szCs w:val="24"/>
          <w:lang w:val="mk-MK"/>
        </w:rPr>
        <w:t xml:space="preserve"> </w:t>
      </w:r>
      <w:r w:rsidRPr="009A1E6F">
        <w:rPr>
          <w:sz w:val="24"/>
          <w:szCs w:val="24"/>
          <w:lang w:val="en-US"/>
        </w:rPr>
        <w:t>or by approval of the relevant credit policy.</w:t>
      </w:r>
    </w:p>
    <w:p w14:paraId="48D0352D" w14:textId="77777777" w:rsidR="00EC708E" w:rsidRPr="009A1E6F" w:rsidRDefault="00EC708E" w:rsidP="00BB27D7">
      <w:pPr>
        <w:pStyle w:val="BodyText"/>
        <w:spacing w:line="276" w:lineRule="auto"/>
        <w:jc w:val="both"/>
        <w:rPr>
          <w:sz w:val="24"/>
          <w:szCs w:val="24"/>
          <w:lang w:val="en-US"/>
        </w:rPr>
      </w:pPr>
      <w:r w:rsidRPr="009A1E6F">
        <w:rPr>
          <w:sz w:val="24"/>
          <w:szCs w:val="24"/>
          <w:lang w:val="en-US"/>
        </w:rPr>
        <w:t xml:space="preserve">*The Credit Committees operate in accordance with the relevant credit policy adopted by the Supervisory Board. Members of the Credit Committees are persons with special rights and responsibilities in SB, or other employees of SB, or other </w:t>
      </w:r>
      <w:proofErr w:type="gramStart"/>
      <w:r w:rsidRPr="009A1E6F">
        <w:rPr>
          <w:sz w:val="24"/>
          <w:szCs w:val="24"/>
          <w:lang w:val="en-US"/>
        </w:rPr>
        <w:t>persons which</w:t>
      </w:r>
      <w:proofErr w:type="gramEnd"/>
      <w:r w:rsidRPr="009A1E6F">
        <w:rPr>
          <w:sz w:val="24"/>
          <w:szCs w:val="24"/>
          <w:lang w:val="en-US"/>
        </w:rPr>
        <w:t xml:space="preserve"> are evaluated as sufficiently knowledgeable and experienced in the credit area in question. </w:t>
      </w:r>
    </w:p>
    <w:p w14:paraId="0D204AA7" w14:textId="2601886A" w:rsidR="00EC708E" w:rsidRDefault="00EC708E" w:rsidP="00BB27D7">
      <w:pPr>
        <w:pStyle w:val="BodyText"/>
        <w:spacing w:line="276" w:lineRule="auto"/>
        <w:jc w:val="both"/>
        <w:rPr>
          <w:b/>
          <w:sz w:val="24"/>
          <w:szCs w:val="24"/>
          <w:lang w:val="en-US"/>
        </w:rPr>
      </w:pPr>
      <w:r>
        <w:rPr>
          <w:b/>
          <w:sz w:val="24"/>
          <w:szCs w:val="24"/>
          <w:lang w:val="mk-MK"/>
        </w:rPr>
        <w:t xml:space="preserve">1.5.  </w:t>
      </w:r>
      <w:r>
        <w:rPr>
          <w:b/>
          <w:sz w:val="24"/>
          <w:szCs w:val="24"/>
          <w:lang w:val="en-US"/>
        </w:rPr>
        <w:t>Succession Policy</w:t>
      </w:r>
    </w:p>
    <w:p w14:paraId="2ADC9148" w14:textId="77777777" w:rsidR="00EC708E" w:rsidRPr="0020267E" w:rsidRDefault="00EC708E" w:rsidP="00BB27D7">
      <w:pPr>
        <w:pStyle w:val="BodyText"/>
        <w:spacing w:line="276" w:lineRule="auto"/>
        <w:jc w:val="both"/>
        <w:rPr>
          <w:sz w:val="24"/>
          <w:szCs w:val="24"/>
          <w:lang w:val="en-US"/>
        </w:rPr>
      </w:pPr>
      <w:r w:rsidRPr="0020267E">
        <w:rPr>
          <w:sz w:val="24"/>
          <w:szCs w:val="24"/>
          <w:lang w:val="en-US"/>
        </w:rPr>
        <w:t xml:space="preserve">Succession </w:t>
      </w:r>
      <w:r>
        <w:rPr>
          <w:sz w:val="24"/>
          <w:szCs w:val="24"/>
          <w:lang w:val="en-US"/>
        </w:rPr>
        <w:t>planning</w:t>
      </w:r>
      <w:r w:rsidRPr="0020267E">
        <w:rPr>
          <w:sz w:val="24"/>
          <w:szCs w:val="24"/>
          <w:lang w:val="en-US"/>
        </w:rPr>
        <w:t xml:space="preserve"> is an essential component for the development of any corporation. The planning of this segment is a tool for good management of the organization in order to ensure continuous effective operation through continuity of leadership. A good </w:t>
      </w:r>
      <w:proofErr w:type="gramStart"/>
      <w:r w:rsidRPr="0020267E">
        <w:rPr>
          <w:sz w:val="24"/>
          <w:szCs w:val="24"/>
          <w:lang w:val="en-US"/>
        </w:rPr>
        <w:t>succession planning</w:t>
      </w:r>
      <w:proofErr w:type="gramEnd"/>
      <w:r w:rsidRPr="0020267E">
        <w:rPr>
          <w:sz w:val="24"/>
          <w:szCs w:val="24"/>
          <w:lang w:val="en-US"/>
        </w:rPr>
        <w:t xml:space="preserve"> program aims to identify employees/individuals with high potential and ambition, train them and ensure available talent for future operations.</w:t>
      </w:r>
    </w:p>
    <w:p w14:paraId="6ABE3BDD" w14:textId="77777777" w:rsidR="00EC708E" w:rsidRPr="0020267E" w:rsidRDefault="00EC708E" w:rsidP="00BB27D7">
      <w:pPr>
        <w:pStyle w:val="BodyText"/>
        <w:spacing w:line="276" w:lineRule="auto"/>
        <w:jc w:val="both"/>
        <w:rPr>
          <w:sz w:val="24"/>
          <w:szCs w:val="24"/>
          <w:lang w:val="en-US"/>
        </w:rPr>
      </w:pPr>
      <w:r w:rsidRPr="0020267E">
        <w:rPr>
          <w:sz w:val="24"/>
          <w:szCs w:val="24"/>
          <w:lang w:val="en-US"/>
        </w:rPr>
        <w:t xml:space="preserve">The Bank recognizes the importance of a succession planning process to ensure continuity in a </w:t>
      </w:r>
      <w:r>
        <w:rPr>
          <w:sz w:val="24"/>
          <w:szCs w:val="24"/>
          <w:lang w:val="en-US"/>
        </w:rPr>
        <w:t>sustainable</w:t>
      </w:r>
      <w:r w:rsidRPr="0020267E">
        <w:rPr>
          <w:sz w:val="24"/>
          <w:szCs w:val="24"/>
          <w:lang w:val="en-US"/>
        </w:rPr>
        <w:t>, highly successful operation. There are certain positions in t</w:t>
      </w:r>
      <w:r>
        <w:rPr>
          <w:sz w:val="24"/>
          <w:szCs w:val="24"/>
          <w:lang w:val="en-US"/>
        </w:rPr>
        <w:t>he Bank that are crucial for its</w:t>
      </w:r>
      <w:r w:rsidRPr="0020267E">
        <w:rPr>
          <w:sz w:val="24"/>
          <w:szCs w:val="24"/>
          <w:lang w:val="en-US"/>
        </w:rPr>
        <w:t xml:space="preserve"> current and future growth. Therefore, it is important that these positions are awarded to appropriately qualified and the best possible individuals. It is critical that such positions </w:t>
      </w:r>
      <w:proofErr w:type="gramStart"/>
      <w:r w:rsidRPr="0020267E">
        <w:rPr>
          <w:sz w:val="24"/>
          <w:szCs w:val="24"/>
          <w:lang w:val="en-US"/>
        </w:rPr>
        <w:t>are filled</w:t>
      </w:r>
      <w:proofErr w:type="gramEnd"/>
      <w:r w:rsidRPr="0020267E">
        <w:rPr>
          <w:sz w:val="24"/>
          <w:szCs w:val="24"/>
          <w:lang w:val="en-US"/>
        </w:rPr>
        <w:t xml:space="preserve"> in a timely </w:t>
      </w:r>
      <w:r>
        <w:rPr>
          <w:sz w:val="24"/>
          <w:szCs w:val="24"/>
          <w:lang w:val="en-US"/>
        </w:rPr>
        <w:t>manner to avoid any leadership gap</w:t>
      </w:r>
      <w:r w:rsidRPr="0020267E">
        <w:rPr>
          <w:sz w:val="24"/>
          <w:szCs w:val="24"/>
          <w:lang w:val="en-US"/>
        </w:rPr>
        <w:t>.</w:t>
      </w:r>
    </w:p>
    <w:p w14:paraId="1F0B7CC8" w14:textId="77777777" w:rsidR="00EC708E" w:rsidRPr="0020267E" w:rsidRDefault="00EC708E" w:rsidP="00BB27D7">
      <w:pPr>
        <w:pStyle w:val="BodyText"/>
        <w:spacing w:line="276" w:lineRule="auto"/>
        <w:jc w:val="both"/>
        <w:rPr>
          <w:sz w:val="24"/>
          <w:szCs w:val="24"/>
          <w:lang w:val="en-US"/>
        </w:rPr>
      </w:pPr>
      <w:r w:rsidRPr="0020267E">
        <w:rPr>
          <w:sz w:val="24"/>
          <w:szCs w:val="24"/>
          <w:lang w:val="en-US"/>
        </w:rPr>
        <w:t xml:space="preserve">During 2022, the Bank undertook preparatory activities for </w:t>
      </w:r>
      <w:r>
        <w:rPr>
          <w:sz w:val="24"/>
          <w:szCs w:val="24"/>
          <w:lang w:val="en-US"/>
        </w:rPr>
        <w:t>adoption</w:t>
      </w:r>
      <w:r w:rsidRPr="0020267E">
        <w:rPr>
          <w:sz w:val="24"/>
          <w:szCs w:val="24"/>
          <w:lang w:val="en-US"/>
        </w:rPr>
        <w:t xml:space="preserve"> of the Succession Policy of the NBG Group, including its adaptation to the Bank's model and needs as well as to domestic legislation.</w:t>
      </w:r>
    </w:p>
    <w:p w14:paraId="16BEC2ED" w14:textId="77777777" w:rsidR="00EC708E" w:rsidRPr="0020267E" w:rsidRDefault="00EC708E" w:rsidP="00BB27D7">
      <w:pPr>
        <w:pStyle w:val="BodyText"/>
        <w:spacing w:line="276" w:lineRule="auto"/>
        <w:jc w:val="both"/>
        <w:rPr>
          <w:sz w:val="24"/>
          <w:szCs w:val="24"/>
          <w:lang w:val="en-US"/>
        </w:rPr>
      </w:pPr>
      <w:r>
        <w:rPr>
          <w:sz w:val="24"/>
          <w:szCs w:val="24"/>
          <w:lang w:val="en-US"/>
        </w:rPr>
        <w:t>The Policy</w:t>
      </w:r>
      <w:r w:rsidRPr="0020267E">
        <w:rPr>
          <w:sz w:val="24"/>
          <w:szCs w:val="24"/>
          <w:lang w:val="en-US"/>
        </w:rPr>
        <w:t xml:space="preserve"> </w:t>
      </w:r>
      <w:proofErr w:type="gramStart"/>
      <w:r w:rsidRPr="0020267E">
        <w:rPr>
          <w:sz w:val="24"/>
          <w:szCs w:val="24"/>
          <w:lang w:val="en-US"/>
        </w:rPr>
        <w:t>will be applied</w:t>
      </w:r>
      <w:proofErr w:type="gramEnd"/>
      <w:r w:rsidRPr="0020267E">
        <w:rPr>
          <w:sz w:val="24"/>
          <w:szCs w:val="24"/>
          <w:lang w:val="en-US"/>
        </w:rPr>
        <w:t xml:space="preserve"> from 2023.</w:t>
      </w:r>
    </w:p>
    <w:p w14:paraId="2F48AF67" w14:textId="77777777" w:rsidR="00EC708E" w:rsidRPr="009A1E6F" w:rsidRDefault="00EC708E" w:rsidP="00BB27D7">
      <w:pPr>
        <w:autoSpaceDE w:val="0"/>
        <w:autoSpaceDN w:val="0"/>
        <w:adjustRightInd w:val="0"/>
        <w:spacing w:before="240"/>
        <w:jc w:val="both"/>
        <w:rPr>
          <w:rFonts w:ascii="Times New Roman" w:eastAsia="Times New Roman" w:hAnsi="Times New Roman"/>
          <w:b/>
          <w:bCs/>
          <w:color w:val="000000"/>
          <w:sz w:val="24"/>
          <w:szCs w:val="24"/>
          <w:lang w:eastAsia="en-GB"/>
        </w:rPr>
      </w:pPr>
      <w:r w:rsidRPr="009A1E6F">
        <w:rPr>
          <w:rFonts w:ascii="Times New Roman" w:eastAsia="Times New Roman" w:hAnsi="Times New Roman"/>
          <w:b/>
          <w:bCs/>
          <w:color w:val="000000"/>
          <w:sz w:val="24"/>
          <w:szCs w:val="24"/>
          <w:lang w:eastAsia="en-GB"/>
        </w:rPr>
        <w:t xml:space="preserve">2. Organizational Structure </w:t>
      </w:r>
    </w:p>
    <w:p w14:paraId="127DC9D4" w14:textId="77777777" w:rsidR="00EC708E" w:rsidRPr="009A1E6F" w:rsidRDefault="00EC708E" w:rsidP="00BB27D7">
      <w:pPr>
        <w:autoSpaceDE w:val="0"/>
        <w:autoSpaceDN w:val="0"/>
        <w:spacing w:after="0"/>
        <w:jc w:val="both"/>
        <w:rPr>
          <w:rFonts w:ascii="Times New Roman" w:hAnsi="Times New Roman"/>
          <w:color w:val="000000"/>
          <w:sz w:val="24"/>
          <w:szCs w:val="24"/>
          <w:lang w:eastAsia="en-GB"/>
        </w:rPr>
      </w:pPr>
      <w:r w:rsidRPr="009A1E6F">
        <w:rPr>
          <w:rFonts w:ascii="Times New Roman" w:hAnsi="Times New Roman"/>
          <w:color w:val="000000"/>
          <w:sz w:val="24"/>
          <w:szCs w:val="24"/>
          <w:lang w:eastAsia="en-GB"/>
        </w:rPr>
        <w:t xml:space="preserve">The organizational structure of the Bank is following the best corporate governance standards and requirements and is tailored to optimize its business processes in order to be faster, cheaper and safer for all involved stakeholders. According to SB Statute, the organizational structure of the Bank is determined with a decision by the Supervisory Board, on proposal by the management. As of 31.12.2022, the Bank </w:t>
      </w:r>
      <w:proofErr w:type="gramStart"/>
      <w:r w:rsidRPr="009A1E6F">
        <w:rPr>
          <w:rFonts w:ascii="Times New Roman" w:hAnsi="Times New Roman"/>
          <w:color w:val="000000"/>
          <w:sz w:val="24"/>
          <w:szCs w:val="24"/>
          <w:lang w:eastAsia="en-GB"/>
        </w:rPr>
        <w:t>is organized</w:t>
      </w:r>
      <w:proofErr w:type="gramEnd"/>
      <w:r w:rsidRPr="009A1E6F">
        <w:rPr>
          <w:rFonts w:ascii="Times New Roman" w:hAnsi="Times New Roman"/>
          <w:color w:val="000000"/>
          <w:sz w:val="24"/>
          <w:szCs w:val="24"/>
          <w:lang w:eastAsia="en-GB"/>
        </w:rPr>
        <w:t xml:space="preserve"> in 21 divisions and 62 branches. </w:t>
      </w:r>
    </w:p>
    <w:p w14:paraId="7EB48176" w14:textId="77777777" w:rsidR="00EC708E" w:rsidRPr="009A1E6F" w:rsidRDefault="00EC708E" w:rsidP="00BB27D7">
      <w:pPr>
        <w:autoSpaceDE w:val="0"/>
        <w:autoSpaceDN w:val="0"/>
        <w:spacing w:after="0"/>
        <w:jc w:val="both"/>
        <w:rPr>
          <w:rFonts w:ascii="Times New Roman" w:hAnsi="Times New Roman"/>
          <w:color w:val="000000"/>
          <w:sz w:val="24"/>
          <w:szCs w:val="24"/>
          <w:lang w:eastAsia="en-GB"/>
        </w:rPr>
      </w:pPr>
    </w:p>
    <w:p w14:paraId="576799C1" w14:textId="77777777" w:rsidR="00EC708E" w:rsidRDefault="00EC708E" w:rsidP="00BB27D7">
      <w:pPr>
        <w:autoSpaceDE w:val="0"/>
        <w:autoSpaceDN w:val="0"/>
        <w:spacing w:after="0"/>
        <w:jc w:val="both"/>
        <w:rPr>
          <w:rFonts w:ascii="Times New Roman" w:hAnsi="Times New Roman"/>
          <w:color w:val="000000"/>
          <w:sz w:val="24"/>
          <w:szCs w:val="24"/>
          <w:lang w:eastAsia="en-GB"/>
        </w:rPr>
      </w:pPr>
      <w:r w:rsidRPr="009A1E6F">
        <w:rPr>
          <w:rFonts w:ascii="Times New Roman" w:hAnsi="Times New Roman"/>
          <w:color w:val="000000"/>
          <w:sz w:val="24"/>
          <w:szCs w:val="24"/>
          <w:lang w:eastAsia="en-GB"/>
        </w:rPr>
        <w:t xml:space="preserve">The organizational structure </w:t>
      </w:r>
      <w:proofErr w:type="gramStart"/>
      <w:r w:rsidRPr="009A1E6F">
        <w:rPr>
          <w:rFonts w:ascii="Times New Roman" w:hAnsi="Times New Roman"/>
          <w:color w:val="000000"/>
          <w:sz w:val="24"/>
          <w:szCs w:val="24"/>
          <w:lang w:eastAsia="en-GB"/>
        </w:rPr>
        <w:t>is published</w:t>
      </w:r>
      <w:proofErr w:type="gramEnd"/>
      <w:r w:rsidRPr="009A1E6F">
        <w:rPr>
          <w:rFonts w:ascii="Times New Roman" w:hAnsi="Times New Roman"/>
          <w:color w:val="000000"/>
          <w:sz w:val="24"/>
          <w:szCs w:val="24"/>
          <w:lang w:eastAsia="en-GB"/>
        </w:rPr>
        <w:t xml:space="preserve"> on SB website.  </w:t>
      </w:r>
    </w:p>
    <w:p w14:paraId="3C8254F5" w14:textId="77777777" w:rsidR="00EC708E" w:rsidRDefault="00EC708E" w:rsidP="00BB27D7">
      <w:pPr>
        <w:autoSpaceDE w:val="0"/>
        <w:autoSpaceDN w:val="0"/>
        <w:spacing w:after="0"/>
        <w:jc w:val="both"/>
        <w:rPr>
          <w:rFonts w:ascii="Times New Roman" w:hAnsi="Times New Roman"/>
          <w:color w:val="000000"/>
          <w:sz w:val="24"/>
          <w:szCs w:val="24"/>
          <w:lang w:eastAsia="en-GB"/>
        </w:rPr>
      </w:pPr>
    </w:p>
    <w:p w14:paraId="6F021EA8" w14:textId="77777777" w:rsidR="00EC708E" w:rsidRPr="009A1E6F" w:rsidRDefault="00EC708E" w:rsidP="00BB27D7">
      <w:pPr>
        <w:spacing w:after="0"/>
        <w:jc w:val="both"/>
        <w:rPr>
          <w:rFonts w:ascii="Times New Roman" w:hAnsi="Times New Roman"/>
          <w:b/>
          <w:sz w:val="24"/>
          <w:szCs w:val="24"/>
        </w:rPr>
      </w:pPr>
      <w:r>
        <w:rPr>
          <w:rFonts w:ascii="Times New Roman" w:hAnsi="Times New Roman"/>
          <w:b/>
          <w:sz w:val="24"/>
          <w:szCs w:val="24"/>
          <w:lang w:val="mk-MK"/>
        </w:rPr>
        <w:t>2.a.</w:t>
      </w:r>
      <w:r w:rsidRPr="009A1E6F">
        <w:rPr>
          <w:rFonts w:ascii="Times New Roman" w:hAnsi="Times New Roman"/>
          <w:b/>
          <w:sz w:val="24"/>
          <w:szCs w:val="24"/>
          <w:lang w:val="mk-MK"/>
        </w:rPr>
        <w:t xml:space="preserve"> </w:t>
      </w:r>
      <w:r w:rsidRPr="009A1E6F">
        <w:rPr>
          <w:rFonts w:ascii="Times New Roman" w:hAnsi="Times New Roman"/>
          <w:b/>
          <w:sz w:val="24"/>
          <w:szCs w:val="24"/>
        </w:rPr>
        <w:t>Stopanska Leasing DOOEL Skopje</w:t>
      </w:r>
    </w:p>
    <w:p w14:paraId="3F5F0333" w14:textId="77777777" w:rsidR="00EC708E" w:rsidRPr="009A1E6F" w:rsidRDefault="00EC708E" w:rsidP="00BB27D7">
      <w:pPr>
        <w:spacing w:after="0"/>
        <w:jc w:val="both"/>
        <w:rPr>
          <w:rFonts w:ascii="Times New Roman" w:hAnsi="Times New Roman"/>
          <w:b/>
          <w:sz w:val="24"/>
          <w:szCs w:val="24"/>
        </w:rPr>
      </w:pPr>
    </w:p>
    <w:p w14:paraId="3B0A9238" w14:textId="77777777" w:rsidR="00EC708E" w:rsidRPr="00133B8E" w:rsidRDefault="00EC708E" w:rsidP="00BB27D7">
      <w:pPr>
        <w:pStyle w:val="ListParagraph"/>
        <w:spacing w:line="276" w:lineRule="auto"/>
        <w:ind w:left="0" w:right="540"/>
        <w:jc w:val="both"/>
        <w:rPr>
          <w:szCs w:val="22"/>
        </w:rPr>
      </w:pPr>
      <w:r w:rsidRPr="00133B8E">
        <w:rPr>
          <w:szCs w:val="22"/>
        </w:rPr>
        <w:t xml:space="preserve">In accordance with the ambitious business strategy, Stopanska </w:t>
      </w:r>
      <w:proofErr w:type="gramStart"/>
      <w:r w:rsidRPr="00133B8E">
        <w:rPr>
          <w:szCs w:val="22"/>
        </w:rPr>
        <w:t>banka</w:t>
      </w:r>
      <w:proofErr w:type="gramEnd"/>
      <w:r w:rsidRPr="00133B8E">
        <w:rPr>
          <w:szCs w:val="22"/>
        </w:rPr>
        <w:t xml:space="preserve"> </w:t>
      </w:r>
      <w:r>
        <w:rPr>
          <w:szCs w:val="22"/>
        </w:rPr>
        <w:t>decided</w:t>
      </w:r>
      <w:r w:rsidRPr="00133B8E">
        <w:rPr>
          <w:szCs w:val="22"/>
        </w:rPr>
        <w:t xml:space="preserve"> to invest in the establishment of a non-banking financial institution - a provider of financial leasing, thereby enriching the offer of financial services for customers and obtaining an additional source of income.</w:t>
      </w:r>
    </w:p>
    <w:p w14:paraId="1F984E41" w14:textId="77777777" w:rsidR="00EC708E" w:rsidRPr="00133B8E" w:rsidRDefault="00EC708E" w:rsidP="00BB27D7">
      <w:pPr>
        <w:pStyle w:val="ListParagraph"/>
        <w:spacing w:line="276" w:lineRule="auto"/>
        <w:ind w:left="0" w:right="540"/>
        <w:jc w:val="both"/>
        <w:rPr>
          <w:szCs w:val="22"/>
        </w:rPr>
      </w:pPr>
    </w:p>
    <w:p w14:paraId="30FEDA46" w14:textId="77777777" w:rsidR="00EC708E" w:rsidRPr="00133B8E" w:rsidRDefault="00EC708E" w:rsidP="00BB27D7">
      <w:pPr>
        <w:pStyle w:val="ListParagraph"/>
        <w:spacing w:line="276" w:lineRule="auto"/>
        <w:ind w:left="0" w:right="540"/>
        <w:jc w:val="both"/>
        <w:rPr>
          <w:szCs w:val="22"/>
        </w:rPr>
      </w:pPr>
      <w:r w:rsidRPr="00133B8E">
        <w:rPr>
          <w:szCs w:val="22"/>
        </w:rPr>
        <w:t xml:space="preserve">Namely, according to the Decision of the Ministry of Finance no. 13-11054/2 of 11.2.2022, the Bank successfully established the company for financial leasing, Stopanska </w:t>
      </w:r>
      <w:r>
        <w:rPr>
          <w:szCs w:val="22"/>
        </w:rPr>
        <w:t xml:space="preserve">Leasing </w:t>
      </w:r>
      <w:r w:rsidRPr="00133B8E">
        <w:rPr>
          <w:szCs w:val="22"/>
        </w:rPr>
        <w:t>DOOEL Skopje, fully (100%) owned by SB. The company started operating on July 1, 2022.</w:t>
      </w:r>
    </w:p>
    <w:p w14:paraId="3C086DEC" w14:textId="77777777" w:rsidR="00EC708E" w:rsidRPr="00133B8E" w:rsidRDefault="00EC708E" w:rsidP="00BB27D7">
      <w:pPr>
        <w:pStyle w:val="ListParagraph"/>
        <w:spacing w:line="276" w:lineRule="auto"/>
        <w:ind w:left="0" w:right="540"/>
        <w:jc w:val="both"/>
        <w:rPr>
          <w:szCs w:val="22"/>
        </w:rPr>
      </w:pPr>
    </w:p>
    <w:p w14:paraId="2A6DBCF2" w14:textId="77777777" w:rsidR="00EC708E" w:rsidRPr="00133B8E" w:rsidRDefault="00EC708E" w:rsidP="00BB27D7">
      <w:pPr>
        <w:pStyle w:val="ListParagraph"/>
        <w:spacing w:line="276" w:lineRule="auto"/>
        <w:ind w:left="0" w:right="540"/>
        <w:jc w:val="both"/>
        <w:rPr>
          <w:szCs w:val="22"/>
        </w:rPr>
      </w:pPr>
      <w:proofErr w:type="gramStart"/>
      <w:r w:rsidRPr="00133B8E">
        <w:rPr>
          <w:szCs w:val="22"/>
        </w:rPr>
        <w:t>The operation of the Company is controlled by a Supervisory Board consisting of four members</w:t>
      </w:r>
      <w:proofErr w:type="gramEnd"/>
      <w:r w:rsidRPr="00133B8E">
        <w:rPr>
          <w:szCs w:val="22"/>
        </w:rPr>
        <w:t>:</w:t>
      </w:r>
    </w:p>
    <w:p w14:paraId="4EF64AF5" w14:textId="77777777" w:rsidR="00EC708E" w:rsidRPr="00133B8E" w:rsidRDefault="00EC708E" w:rsidP="00BB27D7">
      <w:pPr>
        <w:pStyle w:val="ListParagraph"/>
        <w:numPr>
          <w:ilvl w:val="0"/>
          <w:numId w:val="32"/>
        </w:numPr>
        <w:spacing w:line="276" w:lineRule="auto"/>
        <w:ind w:right="540"/>
        <w:jc w:val="both"/>
        <w:rPr>
          <w:szCs w:val="22"/>
        </w:rPr>
      </w:pPr>
      <w:r w:rsidRPr="00133B8E">
        <w:rPr>
          <w:szCs w:val="22"/>
        </w:rPr>
        <w:t xml:space="preserve">Toni Stojanovski, </w:t>
      </w:r>
      <w:r>
        <w:rPr>
          <w:szCs w:val="22"/>
        </w:rPr>
        <w:t>Chief Corporate Officer</w:t>
      </w:r>
      <w:r w:rsidRPr="00133B8E">
        <w:rPr>
          <w:szCs w:val="22"/>
        </w:rPr>
        <w:t xml:space="preserve"> and member of the </w:t>
      </w:r>
      <w:r>
        <w:rPr>
          <w:szCs w:val="22"/>
        </w:rPr>
        <w:t>Board of Directors of Stopanska B</w:t>
      </w:r>
      <w:r w:rsidRPr="00133B8E">
        <w:rPr>
          <w:szCs w:val="22"/>
        </w:rPr>
        <w:t>ank</w:t>
      </w:r>
      <w:r>
        <w:rPr>
          <w:szCs w:val="22"/>
        </w:rPr>
        <w:t>a AD - Skopje - Chairman</w:t>
      </w:r>
      <w:r w:rsidRPr="00133B8E">
        <w:rPr>
          <w:szCs w:val="22"/>
        </w:rPr>
        <w:t>,</w:t>
      </w:r>
    </w:p>
    <w:p w14:paraId="59A677F0" w14:textId="77777777" w:rsidR="00EC708E" w:rsidRPr="00133B8E" w:rsidRDefault="00EC708E" w:rsidP="00BB27D7">
      <w:pPr>
        <w:pStyle w:val="ListParagraph"/>
        <w:numPr>
          <w:ilvl w:val="0"/>
          <w:numId w:val="32"/>
        </w:numPr>
        <w:spacing w:line="276" w:lineRule="auto"/>
        <w:ind w:right="540"/>
        <w:jc w:val="both"/>
        <w:rPr>
          <w:szCs w:val="22"/>
        </w:rPr>
      </w:pPr>
      <w:r w:rsidRPr="00133B8E">
        <w:rPr>
          <w:szCs w:val="22"/>
        </w:rPr>
        <w:t xml:space="preserve">Milica Chaparovska – Jovanovska, </w:t>
      </w:r>
      <w:r>
        <w:rPr>
          <w:szCs w:val="22"/>
        </w:rPr>
        <w:t>Chief Retail Officer</w:t>
      </w:r>
      <w:r w:rsidRPr="00133B8E">
        <w:rPr>
          <w:szCs w:val="22"/>
        </w:rPr>
        <w:t xml:space="preserve"> and member of the Board</w:t>
      </w:r>
      <w:r>
        <w:rPr>
          <w:szCs w:val="22"/>
        </w:rPr>
        <w:t xml:space="preserve"> of Directors</w:t>
      </w:r>
      <w:r w:rsidRPr="00133B8E">
        <w:rPr>
          <w:szCs w:val="22"/>
        </w:rPr>
        <w:t xml:space="preserve"> of Stopanska banka AD – Skopje – member,</w:t>
      </w:r>
    </w:p>
    <w:p w14:paraId="62541158" w14:textId="77777777" w:rsidR="00EC708E" w:rsidRPr="00186568" w:rsidRDefault="00EC708E" w:rsidP="00BB27D7">
      <w:pPr>
        <w:pStyle w:val="ListParagraph"/>
        <w:numPr>
          <w:ilvl w:val="0"/>
          <w:numId w:val="32"/>
        </w:numPr>
        <w:spacing w:line="276" w:lineRule="auto"/>
        <w:ind w:right="540"/>
        <w:jc w:val="both"/>
      </w:pPr>
      <w:r w:rsidRPr="00186568">
        <w:t>Theodoros Spyropoulos – Chief Executive Officer of NBG Leasing – member, and</w:t>
      </w:r>
    </w:p>
    <w:p w14:paraId="4E2A5108" w14:textId="77777777" w:rsidR="00EC708E" w:rsidRPr="00186568" w:rsidRDefault="00EC708E" w:rsidP="00BB27D7">
      <w:pPr>
        <w:pStyle w:val="ListParagraph"/>
        <w:numPr>
          <w:ilvl w:val="0"/>
          <w:numId w:val="32"/>
        </w:numPr>
        <w:spacing w:line="276" w:lineRule="auto"/>
        <w:ind w:right="540"/>
        <w:jc w:val="both"/>
      </w:pPr>
      <w:r w:rsidRPr="00186568">
        <w:t>Evangelia Kalouptsi – Deputy Director of NBG In</w:t>
      </w:r>
      <w:r>
        <w:t>ternational Activities Division</w:t>
      </w:r>
      <w:r w:rsidRPr="00186568">
        <w:t xml:space="preserve"> - member.</w:t>
      </w:r>
    </w:p>
    <w:p w14:paraId="4873879B" w14:textId="77777777" w:rsidR="00EC708E" w:rsidRPr="00133B8E" w:rsidRDefault="00EC708E" w:rsidP="00BB27D7">
      <w:pPr>
        <w:pStyle w:val="ListParagraph"/>
        <w:spacing w:line="276" w:lineRule="auto"/>
        <w:ind w:left="0" w:right="540"/>
        <w:jc w:val="both"/>
        <w:rPr>
          <w:szCs w:val="22"/>
        </w:rPr>
      </w:pPr>
    </w:p>
    <w:p w14:paraId="13262E23" w14:textId="77777777" w:rsidR="00EC708E" w:rsidRPr="00133B8E" w:rsidRDefault="00EC708E" w:rsidP="00BB27D7">
      <w:pPr>
        <w:pStyle w:val="ListParagraph"/>
        <w:spacing w:line="276" w:lineRule="auto"/>
        <w:ind w:left="0" w:right="540"/>
        <w:jc w:val="both"/>
        <w:rPr>
          <w:szCs w:val="22"/>
        </w:rPr>
      </w:pPr>
      <w:r w:rsidRPr="00133B8E">
        <w:rPr>
          <w:szCs w:val="22"/>
        </w:rPr>
        <w:t xml:space="preserve">In accordance with the Law on </w:t>
      </w:r>
      <w:r>
        <w:rPr>
          <w:szCs w:val="22"/>
        </w:rPr>
        <w:t>Trade Companies</w:t>
      </w:r>
      <w:r w:rsidRPr="00133B8E">
        <w:rPr>
          <w:szCs w:val="22"/>
        </w:rPr>
        <w:t>, the Supervisory Board audits the Company's annual account and other financial reports, the proposal for the distribution of profit, reviews the annual report regarding the operations in the business year and performs other activities in accordance with the law.</w:t>
      </w:r>
    </w:p>
    <w:p w14:paraId="3AC4AC9D" w14:textId="77777777" w:rsidR="00EC708E" w:rsidRPr="00133B8E" w:rsidRDefault="00EC708E" w:rsidP="00BB27D7">
      <w:pPr>
        <w:pStyle w:val="ListParagraph"/>
        <w:spacing w:line="276" w:lineRule="auto"/>
        <w:ind w:left="0" w:right="540"/>
        <w:jc w:val="both"/>
        <w:rPr>
          <w:szCs w:val="22"/>
        </w:rPr>
      </w:pPr>
      <w:r w:rsidRPr="00133B8E">
        <w:rPr>
          <w:szCs w:val="22"/>
        </w:rPr>
        <w:t>In addition, Stopanska Leasing is managed by a manager appointed by the Management Bo</w:t>
      </w:r>
      <w:r>
        <w:rPr>
          <w:szCs w:val="22"/>
        </w:rPr>
        <w:t>ard of Stopanska B</w:t>
      </w:r>
      <w:r w:rsidRPr="00133B8E">
        <w:rPr>
          <w:szCs w:val="22"/>
        </w:rPr>
        <w:t>anka AD - Skopje. We are talking about Zharko Krzhalovski, who has been working in the leasing business in management positions for more than 13 years and has a reputation as one of the best sellers in the country.</w:t>
      </w:r>
    </w:p>
    <w:p w14:paraId="261EC9D8" w14:textId="77777777" w:rsidR="00EC708E" w:rsidRPr="00133B8E" w:rsidRDefault="00EC708E" w:rsidP="00BB27D7">
      <w:pPr>
        <w:pStyle w:val="ListParagraph"/>
        <w:spacing w:line="276" w:lineRule="auto"/>
        <w:ind w:left="0" w:right="540"/>
        <w:jc w:val="both"/>
        <w:rPr>
          <w:szCs w:val="22"/>
        </w:rPr>
      </w:pPr>
    </w:p>
    <w:p w14:paraId="06322FE6" w14:textId="159471F4" w:rsidR="00EC708E" w:rsidRDefault="00EC708E" w:rsidP="00BB27D7">
      <w:pPr>
        <w:pStyle w:val="ListParagraph"/>
        <w:spacing w:line="276" w:lineRule="auto"/>
        <w:ind w:left="0" w:right="540"/>
        <w:jc w:val="both"/>
        <w:rPr>
          <w:szCs w:val="22"/>
        </w:rPr>
      </w:pPr>
      <w:r w:rsidRPr="00133B8E">
        <w:rPr>
          <w:szCs w:val="22"/>
        </w:rPr>
        <w:t xml:space="preserve">In addition to the financial implications, a systemically important bank with a tradition and a brand like Stopanska </w:t>
      </w:r>
      <w:proofErr w:type="gramStart"/>
      <w:r w:rsidRPr="00133B8E">
        <w:rPr>
          <w:szCs w:val="22"/>
        </w:rPr>
        <w:t>banka</w:t>
      </w:r>
      <w:proofErr w:type="gramEnd"/>
      <w:r w:rsidRPr="00133B8E">
        <w:rPr>
          <w:szCs w:val="22"/>
        </w:rPr>
        <w:t xml:space="preserve"> AD - Skopje, as well as its operational, managerial and financial capacity, is expected to have a wide range of financial services on the market in the country. The offering of financial leasing through a separate company for this financial activity has enriched the Bank's offer for its customers and will have a positive impact on the balance sheets of SB and on the overall leasing market in the Republic of S. Macedonia. </w:t>
      </w:r>
    </w:p>
    <w:p w14:paraId="7AE4566F" w14:textId="1E42CC19" w:rsidR="002B6B59" w:rsidRDefault="002B6B59" w:rsidP="00BB27D7">
      <w:pPr>
        <w:pStyle w:val="ListParagraph"/>
        <w:spacing w:line="276" w:lineRule="auto"/>
        <w:ind w:left="0" w:right="540"/>
        <w:jc w:val="both"/>
        <w:rPr>
          <w:szCs w:val="22"/>
        </w:rPr>
      </w:pPr>
    </w:p>
    <w:p w14:paraId="039C9767" w14:textId="77777777" w:rsidR="00BF259F" w:rsidRPr="00133B8E" w:rsidRDefault="00BF259F" w:rsidP="00BB27D7">
      <w:pPr>
        <w:pStyle w:val="ListParagraph"/>
        <w:spacing w:line="276" w:lineRule="auto"/>
        <w:ind w:left="0" w:right="540"/>
        <w:jc w:val="both"/>
        <w:rPr>
          <w:szCs w:val="22"/>
        </w:rPr>
      </w:pPr>
    </w:p>
    <w:p w14:paraId="4E644885" w14:textId="77777777" w:rsidR="00EC708E" w:rsidRPr="009A1E6F" w:rsidRDefault="00EC708E" w:rsidP="00BB27D7">
      <w:pPr>
        <w:autoSpaceDE w:val="0"/>
        <w:autoSpaceDN w:val="0"/>
        <w:adjustRightInd w:val="0"/>
        <w:spacing w:before="240"/>
        <w:jc w:val="both"/>
        <w:rPr>
          <w:rFonts w:ascii="Times New Roman" w:eastAsia="Times New Roman" w:hAnsi="Times New Roman"/>
          <w:b/>
          <w:bCs/>
          <w:color w:val="000000"/>
          <w:sz w:val="24"/>
          <w:szCs w:val="24"/>
          <w:lang w:eastAsia="en-GB"/>
        </w:rPr>
      </w:pPr>
      <w:r w:rsidRPr="009A1E6F">
        <w:rPr>
          <w:rFonts w:ascii="Times New Roman" w:eastAsia="Times New Roman" w:hAnsi="Times New Roman"/>
          <w:b/>
          <w:bCs/>
          <w:color w:val="000000"/>
          <w:sz w:val="24"/>
          <w:szCs w:val="24"/>
          <w:lang w:eastAsia="en-GB"/>
        </w:rPr>
        <w:lastRenderedPageBreak/>
        <w:t xml:space="preserve">3. Shareholder Structure </w:t>
      </w:r>
    </w:p>
    <w:p w14:paraId="783EF878" w14:textId="77777777" w:rsidR="00EC708E" w:rsidRDefault="00EC708E" w:rsidP="00BB27D7">
      <w:pPr>
        <w:autoSpaceDE w:val="0"/>
        <w:autoSpaceDN w:val="0"/>
        <w:adjustRightInd w:val="0"/>
        <w:spacing w:before="120" w:after="12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During 2022</w:t>
      </w:r>
      <w:r>
        <w:rPr>
          <w:rFonts w:ascii="Times New Roman" w:eastAsia="Times New Roman" w:hAnsi="Times New Roman"/>
          <w:color w:val="000000"/>
          <w:sz w:val="24"/>
          <w:szCs w:val="24"/>
          <w:lang w:val="mk-MK" w:eastAsia="en-GB"/>
        </w:rPr>
        <w:t>,</w:t>
      </w:r>
      <w:r w:rsidRPr="009A1E6F">
        <w:rPr>
          <w:rFonts w:ascii="Times New Roman" w:eastAsia="Times New Roman" w:hAnsi="Times New Roman"/>
          <w:color w:val="000000"/>
          <w:sz w:val="24"/>
          <w:szCs w:val="24"/>
          <w:lang w:eastAsia="en-GB"/>
        </w:rPr>
        <w:t xml:space="preserve"> there are no significant changes in the shareholder structure: National Bank of Greece S.A. – Athens (NBG) owns 94</w:t>
      </w:r>
      <w:r w:rsidRPr="009A1E6F">
        <w:rPr>
          <w:rFonts w:ascii="Times New Roman" w:eastAsia="Times New Roman" w:hAnsi="Times New Roman"/>
          <w:color w:val="000000"/>
          <w:sz w:val="24"/>
          <w:szCs w:val="24"/>
          <w:lang w:val="mk-MK" w:eastAsia="en-GB"/>
        </w:rPr>
        <w:t>.6</w:t>
      </w:r>
      <w:r w:rsidRPr="009A1E6F">
        <w:rPr>
          <w:rFonts w:ascii="Times New Roman" w:eastAsia="Times New Roman" w:hAnsi="Times New Roman"/>
          <w:color w:val="000000"/>
          <w:sz w:val="24"/>
          <w:szCs w:val="24"/>
          <w:lang w:eastAsia="en-GB"/>
        </w:rPr>
        <w:t xml:space="preserve">% of the ordinary shares, while </w:t>
      </w:r>
      <w:proofErr w:type="gramStart"/>
      <w:r w:rsidRPr="009A1E6F">
        <w:rPr>
          <w:rFonts w:ascii="Times New Roman" w:eastAsia="Times New Roman" w:hAnsi="Times New Roman"/>
          <w:color w:val="000000"/>
          <w:sz w:val="24"/>
          <w:szCs w:val="24"/>
          <w:lang w:eastAsia="en-GB"/>
        </w:rPr>
        <w:t>5.4% of the shares are held by other minority shareholders</w:t>
      </w:r>
      <w:proofErr w:type="gramEnd"/>
      <w:r w:rsidRPr="009A1E6F">
        <w:rPr>
          <w:rFonts w:ascii="Times New Roman" w:eastAsia="Times New Roman" w:hAnsi="Times New Roman"/>
          <w:color w:val="000000"/>
          <w:sz w:val="24"/>
          <w:szCs w:val="24"/>
          <w:lang w:eastAsia="en-GB"/>
        </w:rPr>
        <w:t xml:space="preserve">. NBG are represented with </w:t>
      </w:r>
      <w:proofErr w:type="gramStart"/>
      <w:r w:rsidRPr="009A1E6F">
        <w:rPr>
          <w:rFonts w:ascii="Times New Roman" w:eastAsia="Times New Roman" w:hAnsi="Times New Roman"/>
          <w:color w:val="000000"/>
          <w:sz w:val="24"/>
          <w:szCs w:val="24"/>
          <w:lang w:eastAsia="en-GB"/>
        </w:rPr>
        <w:t>5</w:t>
      </w:r>
      <w:proofErr w:type="gramEnd"/>
      <w:r w:rsidRPr="009A1E6F">
        <w:rPr>
          <w:rFonts w:ascii="Times New Roman" w:eastAsia="Times New Roman" w:hAnsi="Times New Roman"/>
          <w:color w:val="000000"/>
          <w:sz w:val="24"/>
          <w:szCs w:val="24"/>
          <w:lang w:eastAsia="en-GB"/>
        </w:rPr>
        <w:t xml:space="preserve"> members in the Supervisory Board, while the other 2 members are independent. </w:t>
      </w:r>
    </w:p>
    <w:p w14:paraId="22CF11DA" w14:textId="77777777" w:rsidR="00EC708E" w:rsidRPr="00551E86" w:rsidRDefault="00EC708E" w:rsidP="00BB27D7">
      <w:pPr>
        <w:autoSpaceDE w:val="0"/>
        <w:autoSpaceDN w:val="0"/>
        <w:adjustRightInd w:val="0"/>
        <w:spacing w:before="120" w:after="120"/>
        <w:jc w:val="both"/>
        <w:rPr>
          <w:rFonts w:ascii="Times New Roman" w:eastAsia="Times New Roman" w:hAnsi="Times New Roman"/>
          <w:color w:val="000000"/>
          <w:sz w:val="24"/>
          <w:szCs w:val="24"/>
          <w:lang w:val="mk-MK" w:eastAsia="en-GB"/>
        </w:rPr>
      </w:pPr>
      <w:r>
        <w:rPr>
          <w:rFonts w:ascii="Times New Roman" w:eastAsia="Times New Roman" w:hAnsi="Times New Roman"/>
          <w:color w:val="000000"/>
          <w:sz w:val="24"/>
          <w:szCs w:val="24"/>
          <w:lang w:eastAsia="en-GB"/>
        </w:rPr>
        <w:t xml:space="preserve">As of 31 December 2022, no member of Supervisory Board or Board of Directors hold any common shares with right to vote of Stopanska Banka AD – Skopje. Concerning priority cumulative shares without the right to vote, one member of the Supervisory Board and one member of Board of Directors hold small insignificant amount of shares (less than </w:t>
      </w:r>
      <w:r>
        <w:rPr>
          <w:rFonts w:ascii="Times New Roman" w:eastAsia="Times New Roman" w:hAnsi="Times New Roman"/>
          <w:color w:val="000000"/>
          <w:sz w:val="24"/>
          <w:szCs w:val="24"/>
          <w:lang w:val="mk-MK" w:eastAsia="en-GB"/>
        </w:rPr>
        <w:t xml:space="preserve">0.1%). </w:t>
      </w:r>
      <w:r>
        <w:rPr>
          <w:rFonts w:ascii="Times New Roman" w:eastAsia="Times New Roman" w:hAnsi="Times New Roman"/>
          <w:color w:val="000000"/>
          <w:sz w:val="24"/>
          <w:szCs w:val="24"/>
          <w:lang w:eastAsia="en-GB"/>
        </w:rPr>
        <w:t xml:space="preserve"> </w:t>
      </w:r>
    </w:p>
    <w:p w14:paraId="7CEC8E37" w14:textId="77777777" w:rsidR="00EC708E" w:rsidRPr="009A1E6F" w:rsidRDefault="00EC708E" w:rsidP="00BB27D7">
      <w:pPr>
        <w:autoSpaceDE w:val="0"/>
        <w:autoSpaceDN w:val="0"/>
        <w:adjustRightInd w:val="0"/>
        <w:spacing w:before="120" w:after="120"/>
        <w:jc w:val="both"/>
        <w:rPr>
          <w:rFonts w:ascii="Times New Roman" w:hAnsi="Times New Roman"/>
          <w:sz w:val="24"/>
          <w:szCs w:val="24"/>
          <w:lang w:val="en-GB"/>
        </w:rPr>
      </w:pPr>
      <w:r>
        <w:rPr>
          <w:rFonts w:ascii="Times New Roman" w:eastAsia="Times New Roman" w:hAnsi="Times New Roman"/>
          <w:color w:val="000000"/>
          <w:sz w:val="24"/>
          <w:szCs w:val="24"/>
          <w:lang w:eastAsia="en-GB"/>
        </w:rPr>
        <w:t>As of 31 December 2022</w:t>
      </w:r>
      <w:r w:rsidRPr="009A1E6F">
        <w:rPr>
          <w:rFonts w:ascii="Times New Roman" w:eastAsia="Times New Roman" w:hAnsi="Times New Roman"/>
          <w:color w:val="000000"/>
          <w:sz w:val="24"/>
          <w:szCs w:val="24"/>
          <w:lang w:eastAsia="en-GB"/>
        </w:rPr>
        <w:t xml:space="preserve">, the initial capital (basic capital) consisted of 17,460,180 ordinary shares at the nominal value of MKD 201.1 per share and 227,444 preferred shares at the nominal value of MKD 400.00 per share. The same are registered and lead by the Central Securities Depository. </w:t>
      </w:r>
      <w:r w:rsidRPr="009A1E6F">
        <w:rPr>
          <w:rFonts w:ascii="Times New Roman" w:hAnsi="Times New Roman"/>
          <w:sz w:val="24"/>
          <w:szCs w:val="24"/>
          <w:lang w:val="en-GB"/>
        </w:rPr>
        <w:t>The shares of the Bank quoted at the Official Market of the Macedonian Stock Exchange, sub segment Mandatory Listing, and the code under which they are quoted is: STB (common share) ISIN number MKSTBS101014 and STB (preferred</w:t>
      </w:r>
      <w:r w:rsidRPr="009A1E6F">
        <w:rPr>
          <w:rFonts w:ascii="Times New Roman" w:hAnsi="Times New Roman"/>
          <w:sz w:val="24"/>
          <w:szCs w:val="24"/>
        </w:rPr>
        <w:t xml:space="preserve"> cumulative</w:t>
      </w:r>
      <w:r w:rsidRPr="009A1E6F">
        <w:rPr>
          <w:rFonts w:ascii="Times New Roman" w:hAnsi="Times New Roman"/>
          <w:sz w:val="24"/>
          <w:szCs w:val="24"/>
          <w:lang w:val="en-GB"/>
        </w:rPr>
        <w:t xml:space="preserve"> share) ISIN number MKSTBS120014.</w:t>
      </w:r>
    </w:p>
    <w:p w14:paraId="1A18D2C3" w14:textId="77777777" w:rsidR="00EC708E" w:rsidRPr="009A1E6F" w:rsidRDefault="00EC708E" w:rsidP="00BB27D7">
      <w:pPr>
        <w:autoSpaceDE w:val="0"/>
        <w:autoSpaceDN w:val="0"/>
        <w:adjustRightInd w:val="0"/>
        <w:spacing w:after="0"/>
        <w:ind w:firstLine="720"/>
        <w:jc w:val="both"/>
        <w:rPr>
          <w:rFonts w:ascii="Times New Roman" w:eastAsia="Times New Roman" w:hAnsi="Times New Roman"/>
          <w:color w:val="000000"/>
          <w:sz w:val="24"/>
          <w:szCs w:val="24"/>
          <w:lang w:eastAsia="en-GB"/>
        </w:rPr>
      </w:pPr>
    </w:p>
    <w:p w14:paraId="455A4334" w14:textId="77777777" w:rsidR="00EC708E" w:rsidRPr="009A1E6F" w:rsidRDefault="00EC708E" w:rsidP="00BB27D7">
      <w:pPr>
        <w:autoSpaceDE w:val="0"/>
        <w:autoSpaceDN w:val="0"/>
        <w:adjustRightInd w:val="0"/>
        <w:spacing w:after="0"/>
        <w:jc w:val="both"/>
        <w:rPr>
          <w:rFonts w:ascii="Times New Roman" w:eastAsia="Times New Roman" w:hAnsi="Times New Roman"/>
          <w:b/>
          <w:bCs/>
          <w:color w:val="000000"/>
          <w:sz w:val="24"/>
          <w:szCs w:val="24"/>
          <w:lang w:eastAsia="en-GB"/>
        </w:rPr>
      </w:pPr>
      <w:r w:rsidRPr="009A1E6F">
        <w:rPr>
          <w:rFonts w:ascii="Times New Roman" w:eastAsia="Times New Roman" w:hAnsi="Times New Roman"/>
          <w:b/>
          <w:bCs/>
          <w:color w:val="000000"/>
          <w:sz w:val="24"/>
          <w:szCs w:val="24"/>
          <w:lang w:eastAsia="en-GB"/>
        </w:rPr>
        <w:t>4. Dividend Disbursement &amp; Dividend Policy</w:t>
      </w:r>
    </w:p>
    <w:p w14:paraId="32D0FCDB" w14:textId="77777777" w:rsidR="00EC708E" w:rsidRPr="009A1E6F" w:rsidRDefault="00EC708E" w:rsidP="00BB27D7">
      <w:pPr>
        <w:shd w:val="clear" w:color="auto" w:fill="FFFFFF" w:themeFill="background1"/>
        <w:spacing w:after="0"/>
        <w:ind w:firstLine="720"/>
        <w:jc w:val="both"/>
        <w:rPr>
          <w:rFonts w:ascii="Times New Roman" w:hAnsi="Times New Roman"/>
          <w:sz w:val="24"/>
          <w:szCs w:val="24"/>
        </w:rPr>
      </w:pPr>
    </w:p>
    <w:p w14:paraId="168124AB" w14:textId="77777777" w:rsidR="00EC708E" w:rsidRPr="009A1E6F" w:rsidRDefault="00EC708E" w:rsidP="00BB27D7">
      <w:pPr>
        <w:jc w:val="both"/>
        <w:rPr>
          <w:rFonts w:ascii="Times New Roman" w:hAnsi="Times New Roman"/>
          <w:sz w:val="24"/>
          <w:szCs w:val="24"/>
        </w:rPr>
      </w:pPr>
      <w:r w:rsidRPr="009A1E6F">
        <w:rPr>
          <w:rFonts w:ascii="Times New Roman" w:hAnsi="Times New Roman"/>
          <w:sz w:val="24"/>
          <w:szCs w:val="24"/>
        </w:rPr>
        <w:t xml:space="preserve">After the acquisition of Stopanska Banka in year 2000, the primary objectives of the main shareholders were to restructure the Bank into stable, solid and reliable factor in the economy that will be pillar and counterparty of the clients. After long period of restructuring and cleaning the losses from the past, the Bank started creating profit, which </w:t>
      </w:r>
      <w:proofErr w:type="gramStart"/>
      <w:r w:rsidRPr="009A1E6F">
        <w:rPr>
          <w:rFonts w:ascii="Times New Roman" w:hAnsi="Times New Roman"/>
          <w:sz w:val="24"/>
          <w:szCs w:val="24"/>
        </w:rPr>
        <w:t>was re-invested</w:t>
      </w:r>
      <w:proofErr w:type="gramEnd"/>
      <w:r w:rsidRPr="009A1E6F">
        <w:rPr>
          <w:rFonts w:ascii="Times New Roman" w:hAnsi="Times New Roman"/>
          <w:sz w:val="24"/>
          <w:szCs w:val="24"/>
        </w:rPr>
        <w:t xml:space="preserve"> for growth in the years to come that secured its leading position today. </w:t>
      </w:r>
    </w:p>
    <w:p w14:paraId="7368760E" w14:textId="77777777" w:rsidR="00EC708E" w:rsidRPr="009A1E6F" w:rsidRDefault="00EC708E" w:rsidP="00BB27D7">
      <w:pPr>
        <w:jc w:val="both"/>
        <w:rPr>
          <w:rFonts w:ascii="Times New Roman" w:eastAsia="Times New Roman" w:hAnsi="Times New Roman"/>
          <w:color w:val="000000"/>
          <w:sz w:val="24"/>
          <w:szCs w:val="24"/>
        </w:rPr>
      </w:pPr>
      <w:r w:rsidRPr="009A1E6F">
        <w:rPr>
          <w:rFonts w:ascii="Times New Roman" w:eastAsia="Times New Roman" w:hAnsi="Times New Roman"/>
          <w:color w:val="000000"/>
          <w:sz w:val="24"/>
          <w:szCs w:val="24"/>
        </w:rPr>
        <w:t>Stopanska Banka has issued two types of shares:</w:t>
      </w:r>
    </w:p>
    <w:p w14:paraId="0985F14C" w14:textId="77777777" w:rsidR="00EC708E" w:rsidRPr="009A1E6F" w:rsidRDefault="00EC708E" w:rsidP="00BB27D7">
      <w:pPr>
        <w:pStyle w:val="ListParagraph"/>
        <w:numPr>
          <w:ilvl w:val="0"/>
          <w:numId w:val="33"/>
        </w:numPr>
        <w:spacing w:line="276" w:lineRule="auto"/>
        <w:jc w:val="both"/>
        <w:rPr>
          <w:color w:val="000000"/>
        </w:rPr>
      </w:pPr>
      <w:r w:rsidRPr="009A1E6F">
        <w:rPr>
          <w:color w:val="000000"/>
        </w:rPr>
        <w:t xml:space="preserve">Ordinary shares with right to vote: 17.460.180 with a nominal value of MKD 201.1; </w:t>
      </w:r>
    </w:p>
    <w:p w14:paraId="7286ADF9" w14:textId="77777777" w:rsidR="00EC708E" w:rsidRPr="009A1E6F" w:rsidRDefault="00EC708E" w:rsidP="00BB27D7">
      <w:pPr>
        <w:pStyle w:val="ListParagraph"/>
        <w:numPr>
          <w:ilvl w:val="0"/>
          <w:numId w:val="33"/>
        </w:numPr>
        <w:spacing w:line="276" w:lineRule="auto"/>
        <w:jc w:val="both"/>
        <w:rPr>
          <w:color w:val="000000"/>
        </w:rPr>
      </w:pPr>
      <w:r w:rsidRPr="009A1E6F">
        <w:rPr>
          <w:color w:val="000000"/>
        </w:rPr>
        <w:t xml:space="preserve">Priority shares without voting right: 227.444 with a nominal value MKD 400. </w:t>
      </w:r>
    </w:p>
    <w:p w14:paraId="33CD2098" w14:textId="77777777" w:rsidR="00EC708E" w:rsidRPr="009A1E6F" w:rsidRDefault="00EC708E" w:rsidP="00BB27D7">
      <w:pPr>
        <w:spacing w:before="120" w:after="120"/>
        <w:jc w:val="both"/>
        <w:rPr>
          <w:rFonts w:ascii="Times New Roman" w:hAnsi="Times New Roman"/>
          <w:sz w:val="24"/>
          <w:szCs w:val="24"/>
        </w:rPr>
      </w:pPr>
      <w:r w:rsidRPr="009A1E6F">
        <w:rPr>
          <w:rFonts w:ascii="Times New Roman" w:hAnsi="Times New Roman"/>
          <w:sz w:val="24"/>
          <w:szCs w:val="24"/>
        </w:rPr>
        <w:t xml:space="preserve">The right to dividend for the priority share is determined in the Decision on issuing shares of the Second issue AD No. 32/20.06.1991 and the Decision on issuing shares of the Fourth issue AD No. 102/30.05.1996. In accordance with these decisions adopted by the Shareholders Assembly the dividend on the priority shares is determined in the amount of the interest on retail MKD time deposits for a period of 1 (one) year, increased by the appropriate percentage point. In accordance with these decisions on issuance of the shares and the Law on Trade Companies, the priority shareholders has a right to guaranteed cumulative dividend, thus the Bank is in compliance with the same. </w:t>
      </w:r>
    </w:p>
    <w:p w14:paraId="5F6839DD" w14:textId="77777777" w:rsidR="00EC708E" w:rsidRPr="009A1E6F" w:rsidRDefault="00EC708E" w:rsidP="00BB27D7">
      <w:pPr>
        <w:spacing w:before="120" w:after="120"/>
        <w:jc w:val="both"/>
        <w:rPr>
          <w:rFonts w:ascii="Times New Roman" w:hAnsi="Times New Roman"/>
          <w:color w:val="000000"/>
          <w:sz w:val="24"/>
          <w:szCs w:val="24"/>
        </w:rPr>
      </w:pPr>
      <w:r w:rsidRPr="009A1E6F">
        <w:rPr>
          <w:rFonts w:ascii="Times New Roman" w:hAnsi="Times New Roman"/>
          <w:sz w:val="24"/>
          <w:szCs w:val="24"/>
        </w:rPr>
        <w:lastRenderedPageBreak/>
        <w:t xml:space="preserve">The Bank has stable and predictable dividend policy for the priority shares i.e. determinable fixed interest rate based on the defined market based interest rate that serve as a reference that provides to the shareholders information in advance for the dividend that they will receive.  </w:t>
      </w:r>
    </w:p>
    <w:p w14:paraId="3C80BA89" w14:textId="77777777" w:rsidR="00EC708E" w:rsidRPr="009A1E6F" w:rsidRDefault="00EC708E" w:rsidP="00BB27D7">
      <w:pPr>
        <w:spacing w:before="120" w:after="120"/>
        <w:jc w:val="both"/>
        <w:rPr>
          <w:rFonts w:ascii="Times New Roman" w:eastAsia="Times New Roman" w:hAnsi="Times New Roman"/>
          <w:color w:val="000000"/>
          <w:sz w:val="24"/>
          <w:szCs w:val="24"/>
        </w:rPr>
      </w:pPr>
      <w:r w:rsidRPr="009A1E6F">
        <w:rPr>
          <w:rFonts w:ascii="Times New Roman" w:hAnsi="Times New Roman"/>
          <w:sz w:val="24"/>
          <w:szCs w:val="24"/>
        </w:rPr>
        <w:t xml:space="preserve">Regarding the dividend policy related to the ordinary shares, the Bank is taking into account the capital and other regulatory requirements that should support the business needs and growth aspects. After securing the mentioned priorities, whatever remains is subject to </w:t>
      </w:r>
      <w:r w:rsidRPr="009A1E6F">
        <w:rPr>
          <w:rFonts w:ascii="Times New Roman" w:eastAsia="Times New Roman" w:hAnsi="Times New Roman"/>
          <w:color w:val="000000"/>
          <w:sz w:val="24"/>
          <w:szCs w:val="24"/>
        </w:rPr>
        <w:t>discretion of the shareholders based on a decision passed by the Shareholders Assembly.</w:t>
      </w:r>
    </w:p>
    <w:p w14:paraId="3180FF26" w14:textId="304D2391" w:rsidR="00EC708E" w:rsidRPr="009A1E6F" w:rsidRDefault="00EC708E" w:rsidP="00BB27D7">
      <w:pPr>
        <w:spacing w:before="120" w:after="120"/>
        <w:jc w:val="both"/>
        <w:rPr>
          <w:rFonts w:ascii="Times New Roman" w:hAnsi="Times New Roman"/>
          <w:sz w:val="24"/>
          <w:szCs w:val="24"/>
        </w:rPr>
      </w:pPr>
      <w:r w:rsidRPr="009A1E6F">
        <w:rPr>
          <w:rFonts w:ascii="Times New Roman" w:eastAsia="Times New Roman" w:hAnsi="Times New Roman"/>
          <w:color w:val="000000"/>
          <w:sz w:val="24"/>
          <w:szCs w:val="24"/>
        </w:rPr>
        <w:t xml:space="preserve">Considering the uncertainties in the macro-economic environment during 2022, Stopanska Banka withdraw from any decision on dividend disbursement for the common shareholders. </w:t>
      </w:r>
      <w:proofErr w:type="gramStart"/>
      <w:r w:rsidRPr="009A1E6F">
        <w:rPr>
          <w:rFonts w:ascii="Times New Roman" w:eastAsia="Times New Roman" w:hAnsi="Times New Roman"/>
          <w:color w:val="000000"/>
          <w:sz w:val="24"/>
          <w:szCs w:val="24"/>
        </w:rPr>
        <w:t>In addition, as strategic priority, during the distribution of the profit, the Bank prioritizes the provision of capital needed to cover all risks, so during 2022, at the Assembly of Shareholders, a decision was made to redistribute the accumulated profit from 2019 or an amount of 307,500 .000 denars in accumulated profit that will not be available for the payment of dividends to shareholders in the future, as well as the distribution of an amount of 1,543,456 thousand denars from the profit realized in 2021, also intended for regulatory capital, i.e. a total of 1,850,956 thousand denars (~ 30 million euros), in order to ensure a high le</w:t>
      </w:r>
      <w:r w:rsidR="00BB27D7">
        <w:rPr>
          <w:rFonts w:ascii="Times New Roman" w:eastAsia="Times New Roman" w:hAnsi="Times New Roman"/>
          <w:color w:val="000000"/>
          <w:sz w:val="24"/>
          <w:szCs w:val="24"/>
        </w:rPr>
        <w:t>vel of capital adequacy of 16.6</w:t>
      </w:r>
      <w:r w:rsidRPr="009A1E6F">
        <w:rPr>
          <w:rFonts w:ascii="Times New Roman" w:eastAsia="Times New Roman" w:hAnsi="Times New Roman"/>
          <w:color w:val="000000"/>
          <w:sz w:val="24"/>
          <w:szCs w:val="24"/>
        </w:rPr>
        <w:t>% and to support the Bank's Business Plan in the coming period.</w:t>
      </w:r>
      <w:proofErr w:type="gramEnd"/>
    </w:p>
    <w:p w14:paraId="3CC9256E" w14:textId="77777777" w:rsidR="00EC708E" w:rsidRPr="009A1E6F" w:rsidRDefault="00EC708E" w:rsidP="00BB27D7">
      <w:pPr>
        <w:spacing w:before="120" w:after="120"/>
        <w:jc w:val="both"/>
        <w:rPr>
          <w:rFonts w:ascii="Times New Roman" w:eastAsia="Times New Roman" w:hAnsi="Times New Roman"/>
          <w:color w:val="000000"/>
          <w:sz w:val="24"/>
          <w:szCs w:val="24"/>
        </w:rPr>
      </w:pPr>
      <w:r w:rsidRPr="009A1E6F">
        <w:rPr>
          <w:rFonts w:ascii="Times New Roman" w:eastAsia="Times New Roman" w:hAnsi="Times New Roman"/>
          <w:color w:val="000000"/>
          <w:sz w:val="24"/>
          <w:szCs w:val="24"/>
        </w:rPr>
        <w:t xml:space="preserve">Concerning the dividend for the priority shares, and following the Decisions on issuance of shares, the Shareholders Assembly approved disbursement of dividend for the priority shares in total amount of MKD 1.137.220 or gross dividend of MKD 5 per share. </w:t>
      </w:r>
    </w:p>
    <w:p w14:paraId="0BADB186" w14:textId="77777777" w:rsidR="00EC708E" w:rsidRPr="009A1E6F" w:rsidRDefault="00EC708E" w:rsidP="00BB27D7">
      <w:pPr>
        <w:spacing w:before="120" w:after="120"/>
        <w:jc w:val="both"/>
        <w:rPr>
          <w:rFonts w:ascii="Times New Roman" w:eastAsia="Times New Roman" w:hAnsi="Times New Roman"/>
          <w:color w:val="000000"/>
          <w:sz w:val="24"/>
          <w:szCs w:val="24"/>
        </w:rPr>
      </w:pPr>
      <w:r w:rsidRPr="009A1E6F">
        <w:rPr>
          <w:rFonts w:ascii="Times New Roman" w:eastAsia="Times New Roman" w:hAnsi="Times New Roman"/>
          <w:color w:val="000000"/>
          <w:sz w:val="24"/>
          <w:szCs w:val="24"/>
        </w:rPr>
        <w:t xml:space="preserve">This approach of the Bank concerning the dividend policy is highly prudential, approaching cautiously the next period, and following the guidelines and recommendations of the Central Bank concerning the dividend disbursement, thus protecting the entire banking system from more serious consequences of the crisis. </w:t>
      </w:r>
    </w:p>
    <w:p w14:paraId="21801CE0" w14:textId="77777777" w:rsidR="00EC708E" w:rsidRPr="009A1E6F" w:rsidRDefault="00EC708E" w:rsidP="00BB27D7">
      <w:pPr>
        <w:autoSpaceDE w:val="0"/>
        <w:autoSpaceDN w:val="0"/>
        <w:adjustRightInd w:val="0"/>
        <w:spacing w:before="480" w:after="0"/>
        <w:jc w:val="both"/>
        <w:rPr>
          <w:rFonts w:ascii="Times New Roman" w:eastAsia="Times New Roman" w:hAnsi="Times New Roman"/>
          <w:b/>
          <w:bCs/>
          <w:color w:val="000000"/>
          <w:sz w:val="24"/>
          <w:szCs w:val="24"/>
          <w:lang w:eastAsia="en-GB"/>
        </w:rPr>
      </w:pPr>
      <w:r w:rsidRPr="009A1E6F">
        <w:rPr>
          <w:rFonts w:ascii="Times New Roman" w:eastAsia="Times New Roman" w:hAnsi="Times New Roman"/>
          <w:b/>
          <w:bCs/>
          <w:color w:val="000000"/>
          <w:sz w:val="24"/>
          <w:szCs w:val="24"/>
          <w:lang w:eastAsia="en-GB"/>
        </w:rPr>
        <w:t xml:space="preserve">5. Corporate Governance Code </w:t>
      </w:r>
    </w:p>
    <w:p w14:paraId="4AE083E2" w14:textId="77777777" w:rsidR="00EC708E" w:rsidRPr="009A1E6F" w:rsidRDefault="00EC708E" w:rsidP="00BB27D7">
      <w:pPr>
        <w:autoSpaceDE w:val="0"/>
        <w:autoSpaceDN w:val="0"/>
        <w:adjustRightInd w:val="0"/>
        <w:spacing w:after="0"/>
        <w:ind w:firstLine="720"/>
        <w:jc w:val="both"/>
        <w:rPr>
          <w:rFonts w:ascii="Times New Roman" w:eastAsia="Times New Roman" w:hAnsi="Times New Roman"/>
          <w:color w:val="000000"/>
          <w:sz w:val="24"/>
          <w:szCs w:val="24"/>
          <w:lang w:eastAsia="en-GB"/>
        </w:rPr>
      </w:pPr>
    </w:p>
    <w:p w14:paraId="22304C05"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 xml:space="preserve">SB is fully committed to ensuring a corporate governance framework in accordance with the statutory provisions and the international standards. </w:t>
      </w:r>
    </w:p>
    <w:p w14:paraId="31E12A44"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p>
    <w:p w14:paraId="261F535D"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 xml:space="preserve">Thus, the Corporate Governance Code of SB </w:t>
      </w:r>
      <w:proofErr w:type="gramStart"/>
      <w:r w:rsidRPr="009A1E6F">
        <w:rPr>
          <w:rFonts w:ascii="Times New Roman" w:eastAsia="Times New Roman" w:hAnsi="Times New Roman"/>
          <w:color w:val="000000"/>
          <w:sz w:val="24"/>
          <w:szCs w:val="24"/>
          <w:lang w:eastAsia="en-GB"/>
        </w:rPr>
        <w:t>is prepared</w:t>
      </w:r>
      <w:proofErr w:type="gramEnd"/>
      <w:r w:rsidRPr="009A1E6F">
        <w:rPr>
          <w:rFonts w:ascii="Times New Roman" w:eastAsia="Times New Roman" w:hAnsi="Times New Roman"/>
          <w:color w:val="000000"/>
          <w:sz w:val="24"/>
          <w:szCs w:val="24"/>
          <w:lang w:eastAsia="en-GB"/>
        </w:rPr>
        <w:t xml:space="preserve"> in accordance with the relevant regulatory requirements as well as the NBG Group corporate governance standards and is adopted by the Supervisory Board. The governance structure, shareholders rights, duties and responsibilities, the manner of operations of the bodies of the Bank, etc. that are determined in the Corporate Governance Code are implemented, respected and promoted by the members of the bodies of the Bank. </w:t>
      </w:r>
    </w:p>
    <w:p w14:paraId="1ACDD667"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p>
    <w:p w14:paraId="65A6E90F"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 xml:space="preserve">Furthermore, as a listed company on the Macedonian Stock Exchange, Stopanska Banka is following the Corporate Governance Code for the listed companies that </w:t>
      </w:r>
      <w:proofErr w:type="gramStart"/>
      <w:r w:rsidRPr="009A1E6F">
        <w:rPr>
          <w:rFonts w:ascii="Times New Roman" w:eastAsia="Times New Roman" w:hAnsi="Times New Roman"/>
          <w:color w:val="000000"/>
          <w:sz w:val="24"/>
          <w:szCs w:val="24"/>
          <w:lang w:eastAsia="en-GB"/>
        </w:rPr>
        <w:t>was adopted</w:t>
      </w:r>
      <w:proofErr w:type="gramEnd"/>
      <w:r w:rsidRPr="009A1E6F">
        <w:rPr>
          <w:rFonts w:ascii="Times New Roman" w:eastAsia="Times New Roman" w:hAnsi="Times New Roman"/>
          <w:color w:val="000000"/>
          <w:sz w:val="24"/>
          <w:szCs w:val="24"/>
          <w:lang w:eastAsia="en-GB"/>
        </w:rPr>
        <w:t xml:space="preserve"> in October </w:t>
      </w:r>
      <w:r w:rsidRPr="009A1E6F">
        <w:rPr>
          <w:rFonts w:ascii="Times New Roman" w:eastAsia="Times New Roman" w:hAnsi="Times New Roman"/>
          <w:color w:val="000000"/>
          <w:sz w:val="24"/>
          <w:szCs w:val="24"/>
          <w:lang w:eastAsia="en-GB"/>
        </w:rPr>
        <w:lastRenderedPageBreak/>
        <w:t xml:space="preserve">2021. For more details on the implementation of this </w:t>
      </w:r>
      <w:proofErr w:type="gramStart"/>
      <w:r w:rsidRPr="009A1E6F">
        <w:rPr>
          <w:rFonts w:ascii="Times New Roman" w:eastAsia="Times New Roman" w:hAnsi="Times New Roman"/>
          <w:color w:val="000000"/>
          <w:sz w:val="24"/>
          <w:szCs w:val="24"/>
          <w:lang w:eastAsia="en-GB"/>
        </w:rPr>
        <w:t>Code</w:t>
      </w:r>
      <w:proofErr w:type="gramEnd"/>
      <w:r w:rsidRPr="009A1E6F">
        <w:rPr>
          <w:rFonts w:ascii="Times New Roman" w:eastAsia="Times New Roman" w:hAnsi="Times New Roman"/>
          <w:color w:val="000000"/>
          <w:sz w:val="24"/>
          <w:szCs w:val="24"/>
          <w:lang w:eastAsia="en-GB"/>
        </w:rPr>
        <w:t xml:space="preserve"> please see the self-assessment Questionnaires published on SB website. </w:t>
      </w:r>
    </w:p>
    <w:p w14:paraId="4F47D4C4"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p>
    <w:p w14:paraId="11BA47C3"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proofErr w:type="gramStart"/>
      <w:r w:rsidRPr="009A1E6F">
        <w:rPr>
          <w:rFonts w:ascii="Times New Roman" w:eastAsia="Times New Roman" w:hAnsi="Times New Roman"/>
          <w:color w:val="000000"/>
          <w:sz w:val="24"/>
          <w:szCs w:val="24"/>
          <w:lang w:eastAsia="en-GB"/>
        </w:rPr>
        <w:t>As integral part of this Report, and in respect to article 384-a of the Law on Trade Companies and article 42-a of the Listing Rules on the Macedonian Stock Exchange, the Board of Directors issue their Statements on implementation of the Corporate Governance Code of SB and the Statement on implementation of the Corporate Governance Code for companies listed on the Macedonian Stock Exchange.</w:t>
      </w:r>
      <w:proofErr w:type="gramEnd"/>
      <w:r w:rsidRPr="009A1E6F">
        <w:rPr>
          <w:rFonts w:ascii="Times New Roman" w:eastAsia="Times New Roman" w:hAnsi="Times New Roman"/>
          <w:color w:val="000000"/>
          <w:sz w:val="24"/>
          <w:szCs w:val="24"/>
          <w:lang w:eastAsia="en-GB"/>
        </w:rPr>
        <w:t xml:space="preserve"> Both Statements are integral part of this Report (please see appendix 1 below).  </w:t>
      </w:r>
    </w:p>
    <w:p w14:paraId="325FAE2D" w14:textId="77777777" w:rsidR="00EC708E" w:rsidRPr="009A1E6F" w:rsidRDefault="00EC708E" w:rsidP="00BB27D7">
      <w:pPr>
        <w:autoSpaceDE w:val="0"/>
        <w:autoSpaceDN w:val="0"/>
        <w:adjustRightInd w:val="0"/>
        <w:spacing w:before="480" w:after="0"/>
        <w:jc w:val="both"/>
        <w:rPr>
          <w:rFonts w:ascii="Times New Roman" w:eastAsia="Times New Roman" w:hAnsi="Times New Roman"/>
          <w:b/>
          <w:bCs/>
          <w:color w:val="000000"/>
          <w:sz w:val="24"/>
          <w:szCs w:val="24"/>
          <w:lang w:eastAsia="en-GB"/>
        </w:rPr>
      </w:pPr>
      <w:r w:rsidRPr="009A1E6F">
        <w:rPr>
          <w:rFonts w:ascii="Times New Roman" w:eastAsia="Times New Roman" w:hAnsi="Times New Roman"/>
          <w:b/>
          <w:bCs/>
          <w:color w:val="000000"/>
          <w:sz w:val="24"/>
          <w:szCs w:val="24"/>
          <w:lang w:eastAsia="en-GB"/>
        </w:rPr>
        <w:t xml:space="preserve">6. Conflict of Interest Policy </w:t>
      </w:r>
    </w:p>
    <w:p w14:paraId="1BA9BFE1" w14:textId="77777777" w:rsidR="00EC708E" w:rsidRPr="009A1E6F" w:rsidRDefault="00EC708E" w:rsidP="00BB27D7">
      <w:pPr>
        <w:autoSpaceDE w:val="0"/>
        <w:autoSpaceDN w:val="0"/>
        <w:adjustRightInd w:val="0"/>
        <w:spacing w:after="0"/>
        <w:ind w:firstLine="720"/>
        <w:jc w:val="both"/>
        <w:rPr>
          <w:rFonts w:ascii="Times New Roman" w:eastAsia="Times New Roman" w:hAnsi="Times New Roman"/>
          <w:color w:val="000000"/>
          <w:sz w:val="24"/>
          <w:szCs w:val="24"/>
          <w:lang w:eastAsia="en-GB"/>
        </w:rPr>
      </w:pPr>
    </w:p>
    <w:p w14:paraId="5A32D1CF" w14:textId="77777777" w:rsidR="00EC708E" w:rsidRPr="009A1E6F" w:rsidRDefault="00EC708E" w:rsidP="00BB27D7">
      <w:pPr>
        <w:autoSpaceDE w:val="0"/>
        <w:autoSpaceDN w:val="0"/>
        <w:adjustRightInd w:val="0"/>
        <w:spacing w:after="0"/>
        <w:jc w:val="both"/>
        <w:rPr>
          <w:rFonts w:ascii="Times New Roman" w:eastAsia="Times New Roman" w:hAnsi="Times New Roman"/>
          <w:color w:val="000000"/>
          <w:sz w:val="24"/>
          <w:szCs w:val="24"/>
          <w:lang w:eastAsia="en-GB"/>
        </w:rPr>
      </w:pPr>
      <w:r w:rsidRPr="009A1E6F">
        <w:rPr>
          <w:rFonts w:ascii="Times New Roman" w:eastAsia="Times New Roman" w:hAnsi="Times New Roman"/>
          <w:color w:val="000000"/>
          <w:sz w:val="24"/>
          <w:szCs w:val="24"/>
          <w:lang w:eastAsia="en-GB"/>
        </w:rPr>
        <w:t xml:space="preserve">The conflict resolution policy is determined in accordance with the Banking Law and SB Statute and stipulates that the persons with special rights and responsibilities shall give a written statement on the existence, if any, of a conflict of their personal interest with the interest of SB, every six months. The personal interest shall also include interests of the related parties connected thereto, as defined by the Banking Law. Conflict between the personal and the Bank's interest shall exist when financial, or any other type of business or family interests of the persons are concerned by the adoption of decisions, concluding agreements or performing other business activities. Financial, business and family interest shall imply generation of monetary or other type of benefit, directly or indirectly, by the persons. </w:t>
      </w:r>
      <w:proofErr w:type="gramStart"/>
      <w:r w:rsidRPr="009A1E6F">
        <w:rPr>
          <w:rFonts w:ascii="Times New Roman" w:eastAsia="Times New Roman" w:hAnsi="Times New Roman"/>
          <w:color w:val="000000"/>
          <w:sz w:val="24"/>
          <w:szCs w:val="24"/>
          <w:lang w:eastAsia="en-GB"/>
        </w:rPr>
        <w:t>The persons shall not attend the discussion and adoption of decisions, conclude agreements, or perform other business activities if their objectivity is questionable due to the existence of a conflict between their personal interest and the interest of SB. Statement on existence of a conflict of interests shall also be given before the meeting for discussing and adopting decisions, concluding agreements, or performing other business activity.</w:t>
      </w:r>
      <w:proofErr w:type="gramEnd"/>
      <w:r w:rsidRPr="009A1E6F">
        <w:rPr>
          <w:rFonts w:ascii="Times New Roman" w:eastAsia="Times New Roman" w:hAnsi="Times New Roman"/>
          <w:color w:val="000000"/>
          <w:sz w:val="24"/>
          <w:szCs w:val="24"/>
          <w:lang w:eastAsia="en-GB"/>
        </w:rPr>
        <w:t xml:space="preserve"> The written statement </w:t>
      </w:r>
      <w:proofErr w:type="gramStart"/>
      <w:r w:rsidRPr="009A1E6F">
        <w:rPr>
          <w:rFonts w:ascii="Times New Roman" w:eastAsia="Times New Roman" w:hAnsi="Times New Roman"/>
          <w:color w:val="000000"/>
          <w:sz w:val="24"/>
          <w:szCs w:val="24"/>
          <w:lang w:eastAsia="en-GB"/>
        </w:rPr>
        <w:t>shall be submitted</w:t>
      </w:r>
      <w:proofErr w:type="gramEnd"/>
      <w:r w:rsidRPr="009A1E6F">
        <w:rPr>
          <w:rFonts w:ascii="Times New Roman" w:eastAsia="Times New Roman" w:hAnsi="Times New Roman"/>
          <w:color w:val="000000"/>
          <w:sz w:val="24"/>
          <w:szCs w:val="24"/>
          <w:lang w:eastAsia="en-GB"/>
        </w:rPr>
        <w:t xml:space="preserve"> to SB Supervisory Board and Board of Directors, indicating the reason underlying the conflict between the personal and SB interest. </w:t>
      </w:r>
    </w:p>
    <w:p w14:paraId="6AA7DF71" w14:textId="77777777" w:rsidR="00EC708E" w:rsidRPr="009A1E6F" w:rsidRDefault="00EC708E" w:rsidP="00BB27D7">
      <w:pPr>
        <w:autoSpaceDE w:val="0"/>
        <w:autoSpaceDN w:val="0"/>
        <w:adjustRightInd w:val="0"/>
        <w:spacing w:after="0"/>
        <w:ind w:firstLine="720"/>
        <w:jc w:val="both"/>
        <w:rPr>
          <w:rFonts w:ascii="Times New Roman" w:eastAsia="Times New Roman" w:hAnsi="Times New Roman"/>
          <w:color w:val="000000"/>
          <w:sz w:val="24"/>
          <w:szCs w:val="24"/>
          <w:lang w:eastAsia="en-GB"/>
        </w:rPr>
      </w:pPr>
    </w:p>
    <w:p w14:paraId="4533EBCF" w14:textId="77777777" w:rsidR="00EC708E" w:rsidRDefault="00EC708E" w:rsidP="00BB27D7">
      <w:pPr>
        <w:tabs>
          <w:tab w:val="left" w:pos="720"/>
        </w:tabs>
        <w:autoSpaceDE w:val="0"/>
        <w:autoSpaceDN w:val="0"/>
        <w:adjustRightInd w:val="0"/>
        <w:jc w:val="both"/>
        <w:rPr>
          <w:rFonts w:ascii="Times New Roman" w:hAnsi="Times New Roman"/>
          <w:color w:val="000000"/>
          <w:sz w:val="24"/>
          <w:szCs w:val="24"/>
          <w:lang w:eastAsia="en-GB"/>
        </w:rPr>
      </w:pPr>
      <w:r w:rsidRPr="009A1E6F">
        <w:rPr>
          <w:rFonts w:ascii="Times New Roman" w:hAnsi="Times New Roman"/>
          <w:color w:val="000000"/>
          <w:sz w:val="24"/>
          <w:szCs w:val="24"/>
          <w:lang w:eastAsia="en-GB"/>
        </w:rPr>
        <w:t xml:space="preserve">During </w:t>
      </w:r>
      <w:proofErr w:type="gramStart"/>
      <w:r w:rsidRPr="009A1E6F">
        <w:rPr>
          <w:rFonts w:ascii="Times New Roman" w:hAnsi="Times New Roman"/>
          <w:color w:val="000000"/>
          <w:sz w:val="24"/>
          <w:szCs w:val="24"/>
          <w:lang w:eastAsia="en-GB"/>
        </w:rPr>
        <w:t>2022</w:t>
      </w:r>
      <w:proofErr w:type="gramEnd"/>
      <w:r w:rsidRPr="009A1E6F">
        <w:rPr>
          <w:rFonts w:ascii="Times New Roman" w:hAnsi="Times New Roman"/>
          <w:color w:val="000000"/>
          <w:sz w:val="24"/>
          <w:szCs w:val="24"/>
          <w:lang w:eastAsia="en-GB"/>
        </w:rPr>
        <w:t xml:space="preserve"> no conflict of interest was reported by the members of the Supervisory Board, Board of Directors or by any other member of the bodies of SB.  </w:t>
      </w:r>
    </w:p>
    <w:p w14:paraId="73EA4468" w14:textId="77777777" w:rsidR="00EC708E" w:rsidRPr="009A1E6F" w:rsidRDefault="00EC708E" w:rsidP="00BB27D7">
      <w:pPr>
        <w:pStyle w:val="ListParagraph"/>
        <w:numPr>
          <w:ilvl w:val="0"/>
          <w:numId w:val="30"/>
        </w:numPr>
        <w:autoSpaceDE w:val="0"/>
        <w:autoSpaceDN w:val="0"/>
        <w:adjustRightInd w:val="0"/>
        <w:spacing w:line="276" w:lineRule="auto"/>
        <w:ind w:left="0" w:firstLine="0"/>
        <w:jc w:val="both"/>
        <w:rPr>
          <w:b/>
          <w:color w:val="000000"/>
          <w:lang w:eastAsia="en-GB"/>
        </w:rPr>
      </w:pPr>
      <w:r w:rsidRPr="009A1E6F">
        <w:rPr>
          <w:b/>
          <w:color w:val="000000"/>
          <w:lang w:eastAsia="en-GB"/>
        </w:rPr>
        <w:t xml:space="preserve">Outsourced services </w:t>
      </w:r>
    </w:p>
    <w:p w14:paraId="7D4F2C4F" w14:textId="77777777" w:rsidR="00EC708E" w:rsidRPr="009A1E6F" w:rsidRDefault="00EC708E" w:rsidP="00BB27D7">
      <w:pPr>
        <w:pStyle w:val="ListParagraph"/>
        <w:autoSpaceDE w:val="0"/>
        <w:autoSpaceDN w:val="0"/>
        <w:adjustRightInd w:val="0"/>
        <w:spacing w:line="276" w:lineRule="auto"/>
        <w:ind w:left="900"/>
        <w:jc w:val="both"/>
        <w:rPr>
          <w:b/>
          <w:color w:val="000000"/>
          <w:lang w:eastAsia="en-GB"/>
        </w:rPr>
      </w:pPr>
    </w:p>
    <w:p w14:paraId="6163CD81" w14:textId="77777777" w:rsidR="00EC708E" w:rsidRPr="009A1E6F" w:rsidRDefault="00EC708E" w:rsidP="00BB27D7">
      <w:pPr>
        <w:autoSpaceDE w:val="0"/>
        <w:autoSpaceDN w:val="0"/>
        <w:adjustRightInd w:val="0"/>
        <w:jc w:val="both"/>
        <w:rPr>
          <w:rFonts w:ascii="Times New Roman" w:hAnsi="Times New Roman"/>
          <w:color w:val="000000"/>
          <w:sz w:val="24"/>
          <w:szCs w:val="24"/>
          <w:lang w:eastAsia="en-GB"/>
        </w:rPr>
      </w:pPr>
      <w:r w:rsidRPr="009A1E6F">
        <w:rPr>
          <w:rFonts w:ascii="Times New Roman" w:hAnsi="Times New Roman"/>
          <w:color w:val="000000"/>
          <w:sz w:val="24"/>
          <w:szCs w:val="24"/>
          <w:lang w:eastAsia="en-GB"/>
        </w:rPr>
        <w:t xml:space="preserve">Supervisory Board of Stopanska Banka adopts the Outsourcing Policy that </w:t>
      </w:r>
      <w:proofErr w:type="gramStart"/>
      <w:r w:rsidRPr="009A1E6F">
        <w:rPr>
          <w:rFonts w:ascii="Times New Roman" w:hAnsi="Times New Roman"/>
          <w:color w:val="000000"/>
          <w:sz w:val="24"/>
          <w:szCs w:val="24"/>
          <w:lang w:eastAsia="en-GB"/>
        </w:rPr>
        <w:t>is aligned</w:t>
      </w:r>
      <w:proofErr w:type="gramEnd"/>
      <w:r w:rsidRPr="009A1E6F">
        <w:rPr>
          <w:rFonts w:ascii="Times New Roman" w:hAnsi="Times New Roman"/>
          <w:color w:val="000000"/>
          <w:sz w:val="24"/>
          <w:szCs w:val="24"/>
          <w:lang w:eastAsia="en-GB"/>
        </w:rPr>
        <w:t xml:space="preserve"> with the NBG Group standards and the national legislation, including the relevant by-laws on the National Bank of Republic of N. Macedonia. </w:t>
      </w:r>
    </w:p>
    <w:p w14:paraId="4CCFC2FA" w14:textId="77777777" w:rsidR="00EC708E" w:rsidRPr="009A1E6F" w:rsidRDefault="00EC708E" w:rsidP="00BB27D7">
      <w:pPr>
        <w:autoSpaceDE w:val="0"/>
        <w:autoSpaceDN w:val="0"/>
        <w:adjustRightInd w:val="0"/>
        <w:jc w:val="both"/>
        <w:rPr>
          <w:rFonts w:ascii="Times New Roman" w:hAnsi="Times New Roman"/>
          <w:color w:val="000000"/>
          <w:sz w:val="24"/>
          <w:szCs w:val="24"/>
          <w:lang w:eastAsia="en-GB"/>
        </w:rPr>
      </w:pPr>
      <w:r w:rsidRPr="009A1E6F">
        <w:rPr>
          <w:rFonts w:ascii="Times New Roman" w:hAnsi="Times New Roman"/>
          <w:color w:val="000000"/>
          <w:sz w:val="24"/>
          <w:szCs w:val="24"/>
          <w:lang w:eastAsia="en-GB"/>
        </w:rPr>
        <w:t>In accordance with the Outsourcing Policy, the Risk Management Committee reviewed the List of outsourced activities and determined the critical/important functions outsourced for which special care is undertaken. More precisely, the following services are determined as critical/important functions:</w:t>
      </w:r>
    </w:p>
    <w:p w14:paraId="5977C6FD" w14:textId="77777777" w:rsidR="00EC708E" w:rsidRPr="009A1E6F" w:rsidRDefault="00EC708E" w:rsidP="00BB27D7">
      <w:pPr>
        <w:pStyle w:val="ListParagraph"/>
        <w:numPr>
          <w:ilvl w:val="0"/>
          <w:numId w:val="32"/>
        </w:numPr>
        <w:autoSpaceDE w:val="0"/>
        <w:autoSpaceDN w:val="0"/>
        <w:adjustRightInd w:val="0"/>
        <w:spacing w:line="276" w:lineRule="auto"/>
        <w:jc w:val="both"/>
        <w:rPr>
          <w:color w:val="000000"/>
          <w:lang w:eastAsia="en-GB"/>
        </w:rPr>
      </w:pPr>
      <w:r w:rsidRPr="009A1E6F">
        <w:rPr>
          <w:color w:val="000000"/>
          <w:lang w:eastAsia="en-GB"/>
        </w:rPr>
        <w:lastRenderedPageBreak/>
        <w:t xml:space="preserve">IT services (Hosting, maintenance and operational support of the core system T24, SAP, SWIFT, card management systems and other systems of SB, Software development in SAP and Software development in T24); </w:t>
      </w:r>
    </w:p>
    <w:p w14:paraId="6319AD67" w14:textId="77777777" w:rsidR="00EC708E" w:rsidRPr="009A1E6F" w:rsidRDefault="00EC708E" w:rsidP="00BB27D7">
      <w:pPr>
        <w:pStyle w:val="ListParagraph"/>
        <w:numPr>
          <w:ilvl w:val="0"/>
          <w:numId w:val="32"/>
        </w:numPr>
        <w:autoSpaceDE w:val="0"/>
        <w:autoSpaceDN w:val="0"/>
        <w:adjustRightInd w:val="0"/>
        <w:spacing w:line="276" w:lineRule="auto"/>
        <w:jc w:val="both"/>
        <w:rPr>
          <w:color w:val="000000"/>
          <w:lang w:eastAsia="en-GB"/>
        </w:rPr>
      </w:pPr>
      <w:r w:rsidRPr="009A1E6F">
        <w:rPr>
          <w:color w:val="000000"/>
          <w:lang w:eastAsia="en-GB"/>
        </w:rPr>
        <w:t xml:space="preserve">Cash transport; </w:t>
      </w:r>
    </w:p>
    <w:p w14:paraId="6B1E2BEC" w14:textId="77777777" w:rsidR="00EC708E" w:rsidRPr="009A1E6F" w:rsidRDefault="00EC708E" w:rsidP="00BB27D7">
      <w:pPr>
        <w:pStyle w:val="ListParagraph"/>
        <w:numPr>
          <w:ilvl w:val="0"/>
          <w:numId w:val="32"/>
        </w:numPr>
        <w:autoSpaceDE w:val="0"/>
        <w:autoSpaceDN w:val="0"/>
        <w:adjustRightInd w:val="0"/>
        <w:spacing w:line="276" w:lineRule="auto"/>
        <w:jc w:val="both"/>
        <w:rPr>
          <w:color w:val="000000"/>
          <w:lang w:eastAsia="en-GB"/>
        </w:rPr>
      </w:pPr>
      <w:r w:rsidRPr="009A1E6F">
        <w:rPr>
          <w:color w:val="000000"/>
          <w:lang w:eastAsia="en-GB"/>
        </w:rPr>
        <w:t xml:space="preserve">Cards services (card processing center, e-commerce acquiring processor, personalization of cards, back-up access point, etc.); </w:t>
      </w:r>
    </w:p>
    <w:p w14:paraId="7F87DEF6" w14:textId="77777777" w:rsidR="00EC708E" w:rsidRPr="009A1E6F" w:rsidRDefault="00EC708E" w:rsidP="00BB27D7">
      <w:pPr>
        <w:pStyle w:val="ListParagraph"/>
        <w:numPr>
          <w:ilvl w:val="0"/>
          <w:numId w:val="32"/>
        </w:numPr>
        <w:autoSpaceDE w:val="0"/>
        <w:autoSpaceDN w:val="0"/>
        <w:adjustRightInd w:val="0"/>
        <w:spacing w:line="276" w:lineRule="auto"/>
        <w:jc w:val="both"/>
        <w:rPr>
          <w:color w:val="000000"/>
          <w:lang w:eastAsia="en-GB"/>
        </w:rPr>
      </w:pPr>
      <w:r w:rsidRPr="009A1E6F">
        <w:rPr>
          <w:color w:val="000000"/>
          <w:lang w:eastAsia="en-GB"/>
        </w:rPr>
        <w:t xml:space="preserve">Early collection activities for retail claims; and </w:t>
      </w:r>
    </w:p>
    <w:p w14:paraId="1A8188AB" w14:textId="77777777" w:rsidR="00EC708E" w:rsidRPr="009A1E6F" w:rsidRDefault="00EC708E" w:rsidP="00BB27D7">
      <w:pPr>
        <w:pStyle w:val="ListParagraph"/>
        <w:numPr>
          <w:ilvl w:val="0"/>
          <w:numId w:val="32"/>
        </w:numPr>
        <w:autoSpaceDE w:val="0"/>
        <w:autoSpaceDN w:val="0"/>
        <w:adjustRightInd w:val="0"/>
        <w:spacing w:line="276" w:lineRule="auto"/>
        <w:jc w:val="both"/>
        <w:rPr>
          <w:color w:val="000000"/>
          <w:lang w:eastAsia="en-GB"/>
        </w:rPr>
      </w:pPr>
      <w:r w:rsidRPr="009A1E6F">
        <w:rPr>
          <w:color w:val="000000"/>
          <w:lang w:eastAsia="en-GB"/>
        </w:rPr>
        <w:t xml:space="preserve">Conduct of legal proceedings for collection of debts before the competent authorities. </w:t>
      </w:r>
    </w:p>
    <w:p w14:paraId="7664C0FD" w14:textId="77777777" w:rsidR="00EC708E" w:rsidRPr="009A1E6F" w:rsidRDefault="00EC708E" w:rsidP="00BB27D7">
      <w:pPr>
        <w:pStyle w:val="ListParagraph"/>
        <w:autoSpaceDE w:val="0"/>
        <w:autoSpaceDN w:val="0"/>
        <w:adjustRightInd w:val="0"/>
        <w:spacing w:line="276" w:lineRule="auto"/>
        <w:jc w:val="both"/>
        <w:rPr>
          <w:color w:val="000000"/>
          <w:lang w:eastAsia="en-GB"/>
        </w:rPr>
      </w:pPr>
    </w:p>
    <w:p w14:paraId="124CA4F2" w14:textId="77777777" w:rsidR="00EC708E" w:rsidRPr="009A1E6F" w:rsidRDefault="00EC708E" w:rsidP="00BB27D7">
      <w:pPr>
        <w:pStyle w:val="ListParagraph"/>
        <w:numPr>
          <w:ilvl w:val="0"/>
          <w:numId w:val="30"/>
        </w:numPr>
        <w:autoSpaceDE w:val="0"/>
        <w:autoSpaceDN w:val="0"/>
        <w:adjustRightInd w:val="0"/>
        <w:spacing w:line="276" w:lineRule="auto"/>
        <w:ind w:left="0" w:firstLine="0"/>
        <w:jc w:val="both"/>
        <w:rPr>
          <w:b/>
          <w:color w:val="000000"/>
          <w:lang w:eastAsia="en-GB"/>
        </w:rPr>
      </w:pPr>
      <w:r w:rsidRPr="009A1E6F">
        <w:rPr>
          <w:b/>
          <w:bCs/>
        </w:rPr>
        <w:t>Remuneration Disclosure for 2022</w:t>
      </w:r>
    </w:p>
    <w:p w14:paraId="21609548" w14:textId="77777777" w:rsidR="00EC708E" w:rsidRPr="009A1E6F" w:rsidRDefault="00EC708E" w:rsidP="00BB27D7">
      <w:pPr>
        <w:pStyle w:val="Heading2"/>
        <w:spacing w:line="276" w:lineRule="auto"/>
        <w:jc w:val="both"/>
        <w:rPr>
          <w:b w:val="0"/>
          <w:bCs w:val="0"/>
          <w:szCs w:val="24"/>
        </w:rPr>
      </w:pPr>
    </w:p>
    <w:p w14:paraId="114BBBEF" w14:textId="77777777" w:rsidR="00EC708E" w:rsidRPr="009A1E6F" w:rsidRDefault="00EC708E" w:rsidP="00BB27D7">
      <w:pPr>
        <w:pStyle w:val="Heading2"/>
        <w:spacing w:line="276" w:lineRule="auto"/>
        <w:jc w:val="both"/>
        <w:rPr>
          <w:b w:val="0"/>
          <w:szCs w:val="24"/>
          <w:lang w:val="en-GB"/>
        </w:rPr>
      </w:pPr>
      <w:bookmarkStart w:id="22" w:name="_Toc133313260"/>
      <w:r w:rsidRPr="009A1E6F">
        <w:rPr>
          <w:b w:val="0"/>
          <w:bCs w:val="0"/>
          <w:szCs w:val="24"/>
        </w:rPr>
        <w:t>On the 33</w:t>
      </w:r>
      <w:r w:rsidRPr="009A1E6F">
        <w:rPr>
          <w:b w:val="0"/>
          <w:bCs w:val="0"/>
          <w:szCs w:val="24"/>
          <w:vertAlign w:val="superscript"/>
        </w:rPr>
        <w:t>rd</w:t>
      </w:r>
      <w:r w:rsidRPr="009A1E6F">
        <w:rPr>
          <w:b w:val="0"/>
          <w:bCs w:val="0"/>
          <w:szCs w:val="24"/>
        </w:rPr>
        <w:t xml:space="preserve"> Shareholders Assembly held on July 19, 2013, Stopanska Banka adopted the Remuneration Policy, which </w:t>
      </w:r>
      <w:proofErr w:type="gramStart"/>
      <w:r w:rsidRPr="009A1E6F">
        <w:rPr>
          <w:b w:val="0"/>
          <w:bCs w:val="0"/>
          <w:szCs w:val="24"/>
        </w:rPr>
        <w:t>is aligned</w:t>
      </w:r>
      <w:proofErr w:type="gramEnd"/>
      <w:r w:rsidRPr="009A1E6F">
        <w:rPr>
          <w:b w:val="0"/>
          <w:bCs w:val="0"/>
          <w:szCs w:val="24"/>
        </w:rPr>
        <w:t xml:space="preserve"> with the operational policy and business strategy of the Bank, its values, goals and long-term interests. The same </w:t>
      </w:r>
      <w:r w:rsidRPr="009A1E6F">
        <w:rPr>
          <w:b w:val="0"/>
          <w:szCs w:val="24"/>
          <w:lang w:val="en-GB"/>
        </w:rPr>
        <w:t>incorporates measures to avoid or minimize conflicts of interest or any possible negative impact on the sound, prudent and good management of risks assumed by the Bank, discourages excessive risk-taking and contributes to safeguarding the capital position of the Bank.</w:t>
      </w:r>
      <w:bookmarkEnd w:id="22"/>
      <w:r w:rsidRPr="009A1E6F">
        <w:rPr>
          <w:b w:val="0"/>
          <w:szCs w:val="24"/>
          <w:lang w:val="en-GB"/>
        </w:rPr>
        <w:t xml:space="preserve"> </w:t>
      </w:r>
    </w:p>
    <w:p w14:paraId="21756BF6" w14:textId="77777777" w:rsidR="00EC708E" w:rsidRPr="009A1E6F" w:rsidRDefault="00EC708E" w:rsidP="00BB27D7">
      <w:pPr>
        <w:pStyle w:val="BodyText"/>
        <w:spacing w:line="276" w:lineRule="auto"/>
        <w:jc w:val="both"/>
        <w:rPr>
          <w:sz w:val="24"/>
          <w:szCs w:val="24"/>
        </w:rPr>
      </w:pPr>
      <w:r w:rsidRPr="009A1E6F">
        <w:rPr>
          <w:sz w:val="24"/>
          <w:szCs w:val="24"/>
          <w:lang w:val="mk-MK"/>
        </w:rPr>
        <w:t>Т</w:t>
      </w:r>
      <w:r w:rsidRPr="009A1E6F">
        <w:rPr>
          <w:sz w:val="24"/>
          <w:szCs w:val="24"/>
        </w:rPr>
        <w:t xml:space="preserve">he remuneration approach of SB is </w:t>
      </w:r>
      <w:r w:rsidRPr="009A1E6F">
        <w:rPr>
          <w:sz w:val="24"/>
          <w:szCs w:val="24"/>
          <w:lang w:val="en-US"/>
        </w:rPr>
        <w:t>straight-forward</w:t>
      </w:r>
      <w:r w:rsidRPr="009A1E6F">
        <w:rPr>
          <w:sz w:val="24"/>
          <w:szCs w:val="24"/>
        </w:rPr>
        <w:t xml:space="preserve">, effective and focused on meritocracy while fully compliant with the regulatory requirements and the principles of the Remuneration Policy. The remuneration is primarily comprised of fixed remuneration; the variable part is smaller part of the total compensation and </w:t>
      </w:r>
      <w:proofErr w:type="gramStart"/>
      <w:r w:rsidRPr="009A1E6F">
        <w:rPr>
          <w:sz w:val="24"/>
          <w:szCs w:val="24"/>
        </w:rPr>
        <w:t>is given</w:t>
      </w:r>
      <w:proofErr w:type="gramEnd"/>
      <w:r w:rsidRPr="009A1E6F">
        <w:rPr>
          <w:sz w:val="24"/>
          <w:szCs w:val="24"/>
        </w:rPr>
        <w:t xml:space="preserve"> as reward for the individual contribution in the excellent overall results and governance of the Bank.  </w:t>
      </w:r>
    </w:p>
    <w:p w14:paraId="30BB6F52" w14:textId="77777777" w:rsidR="00EC708E" w:rsidRPr="009A1E6F" w:rsidRDefault="00EC708E" w:rsidP="00BB27D7">
      <w:pPr>
        <w:pStyle w:val="BodyText"/>
        <w:spacing w:before="60" w:line="276" w:lineRule="auto"/>
        <w:jc w:val="both"/>
        <w:rPr>
          <w:sz w:val="24"/>
          <w:szCs w:val="24"/>
        </w:rPr>
      </w:pPr>
      <w:r w:rsidRPr="009A1E6F">
        <w:rPr>
          <w:sz w:val="24"/>
          <w:szCs w:val="24"/>
        </w:rPr>
        <w:t xml:space="preserve">Fixed remuneration is comprised of competitive base gross salary paid monthly, which provides a measure of certainty and predictability to all of SB employees. When fixed remuneration is determined the Bank has ascertain key performance indicators for every position that takes into consideration various financial and non-financial parameters. It primarily reflects the relevant professional experience and organizational responsibility of the staff. Fixed salary </w:t>
      </w:r>
      <w:proofErr w:type="gramStart"/>
      <w:r w:rsidRPr="009A1E6F">
        <w:rPr>
          <w:sz w:val="24"/>
          <w:szCs w:val="24"/>
        </w:rPr>
        <w:t>is also assessed and determined in the context of the banking market in order to set the levels on competitive levels</w:t>
      </w:r>
      <w:proofErr w:type="gramEnd"/>
      <w:r w:rsidRPr="009A1E6F">
        <w:rPr>
          <w:sz w:val="24"/>
          <w:szCs w:val="24"/>
        </w:rPr>
        <w:t xml:space="preserve">. </w:t>
      </w:r>
    </w:p>
    <w:p w14:paraId="21AA640C" w14:textId="77777777" w:rsidR="00EC708E" w:rsidRPr="009A1E6F" w:rsidRDefault="00EC708E" w:rsidP="00BB27D7">
      <w:pPr>
        <w:pStyle w:val="BodyText"/>
        <w:spacing w:before="60" w:line="276" w:lineRule="auto"/>
        <w:jc w:val="both"/>
        <w:rPr>
          <w:sz w:val="24"/>
          <w:szCs w:val="24"/>
        </w:rPr>
      </w:pPr>
      <w:r w:rsidRPr="009A1E6F">
        <w:rPr>
          <w:sz w:val="24"/>
          <w:szCs w:val="24"/>
        </w:rPr>
        <w:t xml:space="preserve">Variable remuneration is smaller part of the overall remuneration of the management and SB employees </w:t>
      </w:r>
      <w:r>
        <w:rPr>
          <w:sz w:val="24"/>
          <w:szCs w:val="24"/>
        </w:rPr>
        <w:t>(14%)</w:t>
      </w:r>
      <w:r w:rsidRPr="009A1E6F">
        <w:rPr>
          <w:sz w:val="24"/>
          <w:szCs w:val="24"/>
        </w:rPr>
        <w:t xml:space="preserve">. More important, the Bank has clearly defined credit policies and risk appetite (approved on highest levels: the NBG Group and the Supervisory Board of the Bank). In addition, all the credit risks </w:t>
      </w:r>
      <w:proofErr w:type="gramStart"/>
      <w:r w:rsidRPr="009A1E6F">
        <w:rPr>
          <w:sz w:val="24"/>
          <w:szCs w:val="24"/>
        </w:rPr>
        <w:t>are undertaken</w:t>
      </w:r>
      <w:proofErr w:type="gramEnd"/>
      <w:r w:rsidRPr="009A1E6F">
        <w:rPr>
          <w:sz w:val="24"/>
          <w:szCs w:val="24"/>
        </w:rPr>
        <w:t xml:space="preserve"> on level of committees, i.e. not by a single officer. Therefore, the risk-taking on individual level </w:t>
      </w:r>
      <w:proofErr w:type="gramStart"/>
      <w:r w:rsidRPr="009A1E6F">
        <w:rPr>
          <w:sz w:val="24"/>
          <w:szCs w:val="24"/>
        </w:rPr>
        <w:t>is minimized and framed in strict policies</w:t>
      </w:r>
      <w:proofErr w:type="gramEnd"/>
      <w:r w:rsidRPr="009A1E6F">
        <w:rPr>
          <w:sz w:val="24"/>
          <w:szCs w:val="24"/>
        </w:rPr>
        <w:t xml:space="preserve">. However, when variable remuneration is paid, the Remuneration Policy prescribes that the remuneration is not determined based on automatic procedure (“formulaic approach”) but should take into account the performance of the employee, unit concerned and the overall results of the Bank. No guaranteed variable remuneration is allowed, i.e. any variable remuneration is dependent on the overall success of the Bank and is usually approved only after the year-end results are confirmed, </w:t>
      </w:r>
      <w:proofErr w:type="gramStart"/>
      <w:r w:rsidRPr="009A1E6F">
        <w:rPr>
          <w:sz w:val="24"/>
          <w:szCs w:val="24"/>
        </w:rPr>
        <w:lastRenderedPageBreak/>
        <w:t>thus</w:t>
      </w:r>
      <w:proofErr w:type="gramEnd"/>
      <w:r w:rsidRPr="009A1E6F">
        <w:rPr>
          <w:sz w:val="24"/>
          <w:szCs w:val="24"/>
        </w:rPr>
        <w:t xml:space="preserve"> it takes into consideration the overall health and success of the Bank before approving any rewards to the management and its employees.</w:t>
      </w:r>
    </w:p>
    <w:p w14:paraId="20CCF03C" w14:textId="77777777" w:rsidR="00EC708E" w:rsidRPr="009A1E6F" w:rsidRDefault="00EC708E" w:rsidP="00BB27D7">
      <w:pPr>
        <w:pStyle w:val="BodyText"/>
        <w:spacing w:before="60" w:line="276" w:lineRule="auto"/>
        <w:jc w:val="both"/>
        <w:rPr>
          <w:sz w:val="24"/>
          <w:szCs w:val="24"/>
        </w:rPr>
      </w:pPr>
      <w:r w:rsidRPr="009A1E6F">
        <w:rPr>
          <w:sz w:val="24"/>
          <w:szCs w:val="24"/>
        </w:rPr>
        <w:t>Due to the strong adherences of the Bank to the Code of Ethics and the full compliance with the legislation and the internal policy, any failure of employee to comply with the Bank’s internal acts cannot be offset by any of his/hers financial performance.</w:t>
      </w:r>
    </w:p>
    <w:p w14:paraId="7128F966" w14:textId="77777777" w:rsidR="00EC708E" w:rsidRPr="009A1E6F" w:rsidRDefault="00EC708E" w:rsidP="00BB27D7">
      <w:pPr>
        <w:pStyle w:val="BodyText"/>
        <w:spacing w:before="60" w:line="276" w:lineRule="auto"/>
        <w:jc w:val="both"/>
        <w:rPr>
          <w:b/>
          <w:sz w:val="24"/>
          <w:szCs w:val="24"/>
          <w:lang w:val="en-GB"/>
        </w:rPr>
      </w:pPr>
      <w:r w:rsidRPr="009A1E6F">
        <w:rPr>
          <w:sz w:val="24"/>
          <w:szCs w:val="24"/>
          <w:lang w:val="en-US"/>
        </w:rPr>
        <w:t xml:space="preserve">In relation to the control functions, the Supervisory Board, through the Policy of Remuneration and the key performance indicators, has successfully established the manner of remuneration that is not dependent from the activities and performance of the units that are subject of their control. </w:t>
      </w:r>
    </w:p>
    <w:p w14:paraId="4BF4A275" w14:textId="77777777" w:rsidR="00EC708E" w:rsidRPr="009A1E6F" w:rsidRDefault="00EC708E" w:rsidP="00BB27D7">
      <w:pPr>
        <w:pStyle w:val="Heading2"/>
        <w:spacing w:line="276" w:lineRule="auto"/>
        <w:jc w:val="both"/>
        <w:rPr>
          <w:b w:val="0"/>
          <w:szCs w:val="24"/>
          <w:lang w:val="en-GB"/>
        </w:rPr>
      </w:pPr>
      <w:bookmarkStart w:id="23" w:name="_Toc133313261"/>
      <w:proofErr w:type="gramStart"/>
      <w:r w:rsidRPr="009A1E6F">
        <w:rPr>
          <w:b w:val="0"/>
          <w:szCs w:val="24"/>
          <w:lang w:val="en-GB"/>
        </w:rPr>
        <w:t xml:space="preserve">Latest review and amendment of the Remuneration Policy is done by the Shareholders Assembly on </w:t>
      </w:r>
      <w:r w:rsidRPr="009A1E6F">
        <w:rPr>
          <w:b w:val="0"/>
          <w:szCs w:val="24"/>
          <w:lang w:val="mk-MK"/>
        </w:rPr>
        <w:t>29.06.2021</w:t>
      </w:r>
      <w:proofErr w:type="gramEnd"/>
      <w:r w:rsidRPr="009A1E6F">
        <w:rPr>
          <w:b w:val="0"/>
          <w:szCs w:val="24"/>
          <w:lang w:val="en-GB"/>
        </w:rPr>
        <w:t>.</w:t>
      </w:r>
      <w:bookmarkEnd w:id="23"/>
      <w:r w:rsidRPr="009A1E6F">
        <w:rPr>
          <w:b w:val="0"/>
          <w:szCs w:val="24"/>
          <w:lang w:val="en-GB"/>
        </w:rPr>
        <w:t xml:space="preserve"> </w:t>
      </w:r>
      <w:r w:rsidRPr="009A1E6F">
        <w:rPr>
          <w:b w:val="0"/>
          <w:szCs w:val="24"/>
          <w:lang w:val="en-GB"/>
        </w:rPr>
        <w:br/>
      </w:r>
    </w:p>
    <w:p w14:paraId="03094BA2" w14:textId="77777777" w:rsidR="00EC708E" w:rsidRPr="009A1E6F" w:rsidRDefault="00EC708E" w:rsidP="00BB27D7">
      <w:pPr>
        <w:pStyle w:val="Heading2"/>
        <w:spacing w:line="276" w:lineRule="auto"/>
        <w:jc w:val="both"/>
        <w:rPr>
          <w:b w:val="0"/>
          <w:szCs w:val="24"/>
          <w:lang w:val="en-GB"/>
        </w:rPr>
      </w:pPr>
      <w:bookmarkStart w:id="24" w:name="_Toc133313262"/>
      <w:r w:rsidRPr="009A1E6F">
        <w:rPr>
          <w:b w:val="0"/>
          <w:szCs w:val="24"/>
          <w:lang w:val="en-GB"/>
        </w:rPr>
        <w:t>In accordance with the Law on Trade Companies and the Decision on good corporate governance rules in banks, below it is disclosed the remuneration in Stopanska Banka as required by the laws.</w:t>
      </w:r>
      <w:bookmarkEnd w:id="24"/>
      <w:r w:rsidRPr="009A1E6F">
        <w:rPr>
          <w:b w:val="0"/>
          <w:szCs w:val="24"/>
          <w:lang w:val="en-GB"/>
        </w:rPr>
        <w:t xml:space="preserve"> </w:t>
      </w:r>
    </w:p>
    <w:p w14:paraId="16A73343" w14:textId="77777777" w:rsidR="00EC708E" w:rsidRDefault="00EC708E" w:rsidP="00BB27D7">
      <w:pPr>
        <w:jc w:val="both"/>
        <w:rPr>
          <w:rFonts w:ascii="Times New Roman" w:hAnsi="Times New Roman"/>
          <w:sz w:val="24"/>
          <w:szCs w:val="24"/>
        </w:rPr>
      </w:pPr>
      <w:r w:rsidRPr="009A1E6F">
        <w:rPr>
          <w:rFonts w:ascii="Times New Roman" w:hAnsi="Times New Roman"/>
          <w:sz w:val="24"/>
          <w:szCs w:val="24"/>
        </w:rPr>
        <w:t xml:space="preserve">There are no significant changes in the remuneration approach during 2022. No remuneration </w:t>
      </w:r>
      <w:proofErr w:type="gramStart"/>
      <w:r w:rsidRPr="009A1E6F">
        <w:rPr>
          <w:rFonts w:ascii="Times New Roman" w:hAnsi="Times New Roman"/>
          <w:sz w:val="24"/>
          <w:szCs w:val="24"/>
        </w:rPr>
        <w:t>is paid</w:t>
      </w:r>
      <w:proofErr w:type="gramEnd"/>
      <w:r w:rsidRPr="009A1E6F">
        <w:rPr>
          <w:rFonts w:ascii="Times New Roman" w:hAnsi="Times New Roman"/>
          <w:sz w:val="24"/>
          <w:szCs w:val="24"/>
        </w:rPr>
        <w:t xml:space="preserve"> in 2022 in shares or other rights that gives right to acquire SB shares. </w:t>
      </w:r>
    </w:p>
    <w:p w14:paraId="276647AB" w14:textId="77777777" w:rsidR="00EC708E" w:rsidRPr="00A65D39" w:rsidRDefault="00EC708E" w:rsidP="00BB27D7">
      <w:pPr>
        <w:pStyle w:val="ListParagraph"/>
        <w:spacing w:line="276" w:lineRule="auto"/>
        <w:ind w:left="0"/>
        <w:rPr>
          <w:b/>
          <w:sz w:val="8"/>
        </w:rPr>
      </w:pPr>
    </w:p>
    <w:p w14:paraId="19D829B0" w14:textId="77777777" w:rsidR="00EC708E" w:rsidRPr="009A1E6F" w:rsidRDefault="00EC708E" w:rsidP="00BB27D7">
      <w:pPr>
        <w:pStyle w:val="ListParagraph"/>
        <w:numPr>
          <w:ilvl w:val="0"/>
          <w:numId w:val="28"/>
        </w:numPr>
        <w:spacing w:line="276" w:lineRule="auto"/>
        <w:ind w:left="0" w:firstLine="0"/>
        <w:rPr>
          <w:b/>
          <w:lang w:val="en-GB"/>
        </w:rPr>
      </w:pPr>
      <w:r w:rsidRPr="009A1E6F">
        <w:rPr>
          <w:b/>
          <w:lang w:val="en-GB"/>
        </w:rPr>
        <w:t xml:space="preserve">Supervisory Board </w:t>
      </w:r>
    </w:p>
    <w:p w14:paraId="14C4121E" w14:textId="77777777" w:rsidR="00EC708E" w:rsidRPr="009A1E6F" w:rsidRDefault="00EC708E" w:rsidP="00BB27D7">
      <w:pPr>
        <w:pStyle w:val="ListParagraph"/>
        <w:spacing w:line="276" w:lineRule="auto"/>
        <w:ind w:left="1260"/>
        <w:rPr>
          <w:b/>
          <w:lang w:val="en-GB"/>
        </w:rPr>
      </w:pPr>
    </w:p>
    <w:p w14:paraId="40F7BFD2" w14:textId="77777777" w:rsidR="00EC708E" w:rsidRPr="009A1E6F" w:rsidRDefault="00EC708E" w:rsidP="00BB27D7">
      <w:pPr>
        <w:jc w:val="both"/>
        <w:rPr>
          <w:rFonts w:ascii="Times New Roman" w:hAnsi="Times New Roman"/>
          <w:sz w:val="24"/>
          <w:szCs w:val="24"/>
          <w:lang w:val="en-GB"/>
        </w:rPr>
      </w:pPr>
      <w:r w:rsidRPr="009A1E6F">
        <w:rPr>
          <w:rFonts w:ascii="Times New Roman" w:hAnsi="Times New Roman"/>
          <w:sz w:val="24"/>
          <w:szCs w:val="24"/>
          <w:lang w:val="en-GB"/>
        </w:rPr>
        <w:t xml:space="preserve">In accordance with the best practices, the Supervisory Board members </w:t>
      </w:r>
      <w:proofErr w:type="gramStart"/>
      <w:r w:rsidRPr="009A1E6F">
        <w:rPr>
          <w:rFonts w:ascii="Times New Roman" w:hAnsi="Times New Roman"/>
          <w:sz w:val="24"/>
          <w:szCs w:val="24"/>
          <w:lang w:val="en-GB"/>
        </w:rPr>
        <w:t>are compensated</w:t>
      </w:r>
      <w:proofErr w:type="gramEnd"/>
      <w:r w:rsidRPr="009A1E6F">
        <w:rPr>
          <w:rFonts w:ascii="Times New Roman" w:hAnsi="Times New Roman"/>
          <w:sz w:val="24"/>
          <w:szCs w:val="24"/>
          <w:lang w:val="en-GB"/>
        </w:rPr>
        <w:t xml:space="preserve"> only with fixed remuneration, approved by the Shareholders Assembly, in order to minimize any conflict of interest between the control and the management of the Bank. </w:t>
      </w:r>
    </w:p>
    <w:p w14:paraId="7B86BA98" w14:textId="77777777" w:rsidR="00EC708E" w:rsidRPr="009A1E6F" w:rsidRDefault="00EC708E" w:rsidP="00BB27D7">
      <w:pPr>
        <w:pStyle w:val="ListParagraph"/>
        <w:numPr>
          <w:ilvl w:val="0"/>
          <w:numId w:val="29"/>
        </w:numPr>
        <w:tabs>
          <w:tab w:val="left" w:pos="900"/>
          <w:tab w:val="left" w:pos="990"/>
        </w:tabs>
        <w:spacing w:line="276" w:lineRule="auto"/>
        <w:ind w:left="360"/>
        <w:jc w:val="both"/>
        <w:rPr>
          <w:i/>
        </w:rPr>
      </w:pPr>
      <w:r w:rsidRPr="009A1E6F">
        <w:rPr>
          <w:i/>
        </w:rPr>
        <w:t>representatives of the shareholders</w:t>
      </w:r>
    </w:p>
    <w:p w14:paraId="7AB15B37" w14:textId="77777777" w:rsidR="00EC708E" w:rsidRPr="009A1E6F" w:rsidRDefault="00EC708E" w:rsidP="00BB27D7">
      <w:pPr>
        <w:pStyle w:val="ListParagraph"/>
        <w:tabs>
          <w:tab w:val="left" w:pos="900"/>
          <w:tab w:val="left" w:pos="990"/>
        </w:tabs>
        <w:spacing w:line="276" w:lineRule="auto"/>
        <w:ind w:left="1260"/>
        <w:jc w:val="both"/>
      </w:pPr>
      <w:r w:rsidRPr="009A1E6F">
        <w:tab/>
      </w:r>
    </w:p>
    <w:p w14:paraId="010552E2" w14:textId="77777777" w:rsidR="00EC708E" w:rsidRPr="009A1E6F" w:rsidRDefault="00EC708E" w:rsidP="00BB27D7">
      <w:pPr>
        <w:tabs>
          <w:tab w:val="left" w:pos="900"/>
          <w:tab w:val="left" w:pos="990"/>
        </w:tabs>
        <w:jc w:val="both"/>
        <w:rPr>
          <w:rFonts w:ascii="Times New Roman" w:hAnsi="Times New Roman"/>
          <w:sz w:val="24"/>
          <w:szCs w:val="24"/>
          <w:lang w:val="en-GB"/>
        </w:rPr>
      </w:pPr>
      <w:r w:rsidRPr="009A1E6F">
        <w:rPr>
          <w:rFonts w:ascii="Times New Roman" w:hAnsi="Times New Roman"/>
          <w:sz w:val="24"/>
          <w:szCs w:val="24"/>
          <w:lang w:val="en-GB"/>
        </w:rPr>
        <w:t xml:space="preserve">In accordance with the decision by the NBG Board of Directors, no officers of NBG Group who participate in the Supervisory Board of SB as representatives of the shareholders receive any remuneration. The remuneration of the employees of NBG Group </w:t>
      </w:r>
      <w:proofErr w:type="gramStart"/>
      <w:r w:rsidRPr="009A1E6F">
        <w:rPr>
          <w:rFonts w:ascii="Times New Roman" w:hAnsi="Times New Roman"/>
          <w:sz w:val="24"/>
          <w:szCs w:val="24"/>
          <w:lang w:val="en-GB"/>
        </w:rPr>
        <w:t>is considered</w:t>
      </w:r>
      <w:proofErr w:type="gramEnd"/>
      <w:r w:rsidRPr="009A1E6F">
        <w:rPr>
          <w:rFonts w:ascii="Times New Roman" w:hAnsi="Times New Roman"/>
          <w:sz w:val="24"/>
          <w:szCs w:val="24"/>
          <w:lang w:val="en-GB"/>
        </w:rPr>
        <w:t xml:space="preserve"> as confidential and could not be disclosed in this Report.</w:t>
      </w:r>
    </w:p>
    <w:p w14:paraId="44494BFE" w14:textId="77777777" w:rsidR="00EC708E" w:rsidRPr="009A1E6F" w:rsidRDefault="00EC708E" w:rsidP="00BB27D7">
      <w:pPr>
        <w:tabs>
          <w:tab w:val="left" w:pos="900"/>
          <w:tab w:val="left" w:pos="990"/>
        </w:tabs>
        <w:jc w:val="both"/>
        <w:rPr>
          <w:rFonts w:ascii="Times New Roman" w:hAnsi="Times New Roman"/>
          <w:sz w:val="24"/>
          <w:szCs w:val="24"/>
        </w:rPr>
      </w:pPr>
      <w:r w:rsidRPr="009A1E6F">
        <w:rPr>
          <w:rFonts w:ascii="Times New Roman" w:hAnsi="Times New Roman"/>
          <w:sz w:val="24"/>
          <w:szCs w:val="24"/>
        </w:rPr>
        <w:t xml:space="preserve">Mr. Lizos, representative of the shareholder no longer employed in NBG Group, </w:t>
      </w:r>
      <w:proofErr w:type="gramStart"/>
      <w:r w:rsidRPr="009A1E6F">
        <w:rPr>
          <w:rFonts w:ascii="Times New Roman" w:hAnsi="Times New Roman"/>
          <w:sz w:val="24"/>
          <w:szCs w:val="24"/>
        </w:rPr>
        <w:t>is remunerated</w:t>
      </w:r>
      <w:proofErr w:type="gramEnd"/>
      <w:r w:rsidRPr="009A1E6F">
        <w:rPr>
          <w:rFonts w:ascii="Times New Roman" w:hAnsi="Times New Roman"/>
          <w:sz w:val="24"/>
          <w:szCs w:val="24"/>
        </w:rPr>
        <w:t xml:space="preserve"> in the same manner as the independent members below. </w:t>
      </w:r>
    </w:p>
    <w:p w14:paraId="4AF52957" w14:textId="77777777" w:rsidR="00EC708E" w:rsidRPr="009A1E6F" w:rsidRDefault="00EC708E" w:rsidP="00BB27D7">
      <w:pPr>
        <w:pStyle w:val="ListParagraph"/>
        <w:numPr>
          <w:ilvl w:val="0"/>
          <w:numId w:val="29"/>
        </w:numPr>
        <w:tabs>
          <w:tab w:val="left" w:pos="900"/>
          <w:tab w:val="left" w:pos="990"/>
        </w:tabs>
        <w:spacing w:line="276" w:lineRule="auto"/>
        <w:ind w:left="360"/>
        <w:jc w:val="both"/>
        <w:rPr>
          <w:i/>
        </w:rPr>
      </w:pPr>
      <w:r w:rsidRPr="009A1E6F">
        <w:rPr>
          <w:i/>
        </w:rPr>
        <w:t>independent members</w:t>
      </w:r>
    </w:p>
    <w:p w14:paraId="3A3FBA49" w14:textId="77777777" w:rsidR="00EC708E" w:rsidRPr="009A1E6F" w:rsidRDefault="00EC708E" w:rsidP="00BB27D7">
      <w:pPr>
        <w:pStyle w:val="ListParagraph"/>
        <w:spacing w:line="276" w:lineRule="auto"/>
        <w:ind w:left="1260"/>
        <w:jc w:val="both"/>
        <w:rPr>
          <w:lang w:val="en-GB"/>
        </w:rPr>
      </w:pPr>
    </w:p>
    <w:p w14:paraId="39DA4787" w14:textId="77777777" w:rsidR="00EC708E" w:rsidRPr="009A1E6F" w:rsidRDefault="00EC708E" w:rsidP="00BB27D7">
      <w:pPr>
        <w:pStyle w:val="ListParagraph"/>
        <w:spacing w:line="276" w:lineRule="auto"/>
        <w:ind w:left="0"/>
        <w:jc w:val="both"/>
      </w:pPr>
      <w:r w:rsidRPr="009A1E6F">
        <w:rPr>
          <w:lang w:val="en-GB"/>
        </w:rPr>
        <w:t xml:space="preserve">The independent members </w:t>
      </w:r>
      <w:r w:rsidRPr="009A1E6F">
        <w:t xml:space="preserve">are entitled on remuneration in amount of EUR 400 net on monthly basis for their participation in the Supervisory Board and amount of EUR 100 net (for the chairman) and EUR 50 net (for the members) per meeting for their participation in the Remuneration Committee. Mr. Filipovski is remunerated also EUR 100 net on monthly basis for his participation in the Audit Committee. </w:t>
      </w:r>
    </w:p>
    <w:p w14:paraId="05F6EB0D" w14:textId="77777777" w:rsidR="00EC708E" w:rsidRPr="009A1E6F" w:rsidRDefault="00EC708E" w:rsidP="00BB27D7">
      <w:pPr>
        <w:spacing w:after="0"/>
        <w:jc w:val="both"/>
        <w:rPr>
          <w:rFonts w:ascii="Times New Roman" w:hAnsi="Times New Roman"/>
          <w:sz w:val="24"/>
          <w:szCs w:val="24"/>
          <w:lang w:val="en-GB"/>
        </w:rPr>
      </w:pPr>
    </w:p>
    <w:p w14:paraId="6CA3FF80" w14:textId="77777777" w:rsidR="00EC708E" w:rsidRPr="009A1E6F" w:rsidRDefault="00EC708E" w:rsidP="00BB27D7">
      <w:pPr>
        <w:jc w:val="both"/>
        <w:rPr>
          <w:rFonts w:ascii="Times New Roman" w:hAnsi="Times New Roman"/>
          <w:sz w:val="24"/>
          <w:szCs w:val="24"/>
          <w:lang w:val="en-GB"/>
        </w:rPr>
      </w:pPr>
      <w:r w:rsidRPr="009A1E6F">
        <w:rPr>
          <w:rFonts w:ascii="Times New Roman" w:hAnsi="Times New Roman"/>
          <w:sz w:val="24"/>
          <w:szCs w:val="24"/>
          <w:lang w:val="en-GB"/>
        </w:rPr>
        <w:lastRenderedPageBreak/>
        <w:t xml:space="preserve">On basis of salary and allowances as employed in the Faculty of Economics at University Cyril and Methodius – Skopje: </w:t>
      </w:r>
    </w:p>
    <w:p w14:paraId="6A8DD107" w14:textId="77777777" w:rsidR="00EC708E" w:rsidRPr="009A1E6F" w:rsidRDefault="00EC708E" w:rsidP="00BB27D7">
      <w:pPr>
        <w:pStyle w:val="ListParagraph"/>
        <w:numPr>
          <w:ilvl w:val="0"/>
          <w:numId w:val="32"/>
        </w:numPr>
        <w:spacing w:line="276" w:lineRule="auto"/>
        <w:jc w:val="both"/>
        <w:rPr>
          <w:lang w:val="en-GB"/>
        </w:rPr>
      </w:pPr>
      <w:r w:rsidRPr="009A1E6F">
        <w:rPr>
          <w:lang w:val="en-GB"/>
        </w:rPr>
        <w:t xml:space="preserve">prof. Filipovski receives MKD </w:t>
      </w:r>
      <w:r w:rsidRPr="009A1E6F">
        <w:rPr>
          <w:color w:val="000000"/>
        </w:rPr>
        <w:t xml:space="preserve">1.668.809 </w:t>
      </w:r>
      <w:r w:rsidRPr="009A1E6F">
        <w:rPr>
          <w:lang w:val="en-GB"/>
        </w:rPr>
        <w:t xml:space="preserve">gross (annually) while </w:t>
      </w:r>
    </w:p>
    <w:p w14:paraId="5D98D960" w14:textId="77777777" w:rsidR="00EC708E" w:rsidRDefault="00EC708E" w:rsidP="00BB27D7">
      <w:pPr>
        <w:pStyle w:val="ListParagraph"/>
        <w:numPr>
          <w:ilvl w:val="0"/>
          <w:numId w:val="32"/>
        </w:numPr>
        <w:spacing w:line="276" w:lineRule="auto"/>
        <w:jc w:val="both"/>
        <w:rPr>
          <w:lang w:val="en-GB"/>
        </w:rPr>
      </w:pPr>
      <w:proofErr w:type="gramStart"/>
      <w:r w:rsidRPr="009A1E6F">
        <w:rPr>
          <w:lang w:val="en-GB"/>
        </w:rPr>
        <w:t>prof</w:t>
      </w:r>
      <w:proofErr w:type="gramEnd"/>
      <w:r w:rsidRPr="009A1E6F">
        <w:rPr>
          <w:lang w:val="en-GB"/>
        </w:rPr>
        <w:t xml:space="preserve">. Kjosev receives MKD </w:t>
      </w:r>
      <w:r w:rsidRPr="009A1E6F">
        <w:rPr>
          <w:color w:val="000000"/>
        </w:rPr>
        <w:t>1.337.946</w:t>
      </w:r>
      <w:r w:rsidRPr="009A1E6F">
        <w:rPr>
          <w:bCs/>
          <w:color w:val="000000"/>
        </w:rPr>
        <w:t xml:space="preserve"> </w:t>
      </w:r>
      <w:r w:rsidRPr="009A1E6F">
        <w:rPr>
          <w:lang w:val="en-GB"/>
        </w:rPr>
        <w:t>gross (annually).</w:t>
      </w:r>
    </w:p>
    <w:p w14:paraId="4BD81DED" w14:textId="77777777" w:rsidR="00EC708E" w:rsidRPr="009A1E6F" w:rsidRDefault="00EC708E" w:rsidP="00BB27D7">
      <w:pPr>
        <w:pStyle w:val="ListParagraph"/>
        <w:spacing w:line="276" w:lineRule="auto"/>
        <w:jc w:val="both"/>
        <w:rPr>
          <w:lang w:val="en-GB"/>
        </w:rPr>
      </w:pPr>
    </w:p>
    <w:p w14:paraId="3D00F613" w14:textId="77777777" w:rsidR="00EC708E" w:rsidRPr="009A1E6F" w:rsidRDefault="00EC708E" w:rsidP="00BB27D7">
      <w:pPr>
        <w:pStyle w:val="ListParagraph"/>
        <w:numPr>
          <w:ilvl w:val="0"/>
          <w:numId w:val="28"/>
        </w:numPr>
        <w:spacing w:line="276" w:lineRule="auto"/>
        <w:ind w:left="0" w:firstLine="0"/>
        <w:jc w:val="both"/>
        <w:rPr>
          <w:b/>
          <w:lang w:val="en-GB"/>
        </w:rPr>
      </w:pPr>
      <w:r w:rsidRPr="009A1E6F">
        <w:rPr>
          <w:b/>
          <w:lang w:val="en-GB"/>
        </w:rPr>
        <w:t>Board of Directors</w:t>
      </w:r>
    </w:p>
    <w:p w14:paraId="68ECFCBC" w14:textId="77777777" w:rsidR="00EC708E" w:rsidRPr="009A1E6F" w:rsidRDefault="00EC708E" w:rsidP="00BB27D7">
      <w:pPr>
        <w:pStyle w:val="ListParagraph"/>
        <w:spacing w:line="276" w:lineRule="auto"/>
        <w:ind w:left="1260"/>
        <w:rPr>
          <w:b/>
          <w:lang w:val="en-GB"/>
        </w:rPr>
      </w:pPr>
    </w:p>
    <w:p w14:paraId="581610AC" w14:textId="4EDE89BF" w:rsidR="002B6B59" w:rsidRDefault="002B6B59" w:rsidP="002B6B59">
      <w:pPr>
        <w:spacing w:after="0"/>
        <w:jc w:val="both"/>
        <w:rPr>
          <w:rFonts w:ascii="Times New Roman" w:hAnsi="Times New Roman"/>
          <w:sz w:val="24"/>
          <w:szCs w:val="24"/>
        </w:rPr>
      </w:pPr>
      <w:r w:rsidRPr="009A1E6F">
        <w:rPr>
          <w:rFonts w:ascii="Times New Roman" w:hAnsi="Times New Roman"/>
          <w:sz w:val="24"/>
          <w:szCs w:val="24"/>
        </w:rPr>
        <w:t>In 202</w:t>
      </w:r>
      <w:r w:rsidRPr="009A1E6F">
        <w:rPr>
          <w:rFonts w:ascii="Times New Roman" w:hAnsi="Times New Roman"/>
          <w:sz w:val="24"/>
          <w:szCs w:val="24"/>
          <w:lang w:val="mk-MK"/>
        </w:rPr>
        <w:t>2</w:t>
      </w:r>
      <w:r w:rsidRPr="009A1E6F">
        <w:rPr>
          <w:rFonts w:ascii="Times New Roman" w:hAnsi="Times New Roman"/>
          <w:sz w:val="24"/>
          <w:szCs w:val="24"/>
        </w:rPr>
        <w:t xml:space="preserve">, total gross amount of MKD </w:t>
      </w:r>
      <w:r w:rsidRPr="006826BC">
        <w:rPr>
          <w:rFonts w:ascii="Times New Roman" w:hAnsi="Times New Roman"/>
          <w:lang w:val="mk-MK"/>
        </w:rPr>
        <w:t>29.</w:t>
      </w:r>
      <w:r>
        <w:rPr>
          <w:rFonts w:ascii="Times New Roman" w:hAnsi="Times New Roman"/>
        </w:rPr>
        <w:t>742</w:t>
      </w:r>
      <w:r w:rsidRPr="006826BC">
        <w:rPr>
          <w:rFonts w:ascii="Times New Roman" w:hAnsi="Times New Roman"/>
          <w:lang w:val="mk-MK"/>
        </w:rPr>
        <w:t>.</w:t>
      </w:r>
      <w:r>
        <w:rPr>
          <w:rFonts w:ascii="Times New Roman" w:hAnsi="Times New Roman"/>
        </w:rPr>
        <w:t>392</w:t>
      </w:r>
      <w:r w:rsidRPr="006826BC">
        <w:rPr>
          <w:rFonts w:ascii="Times New Roman" w:hAnsi="Times New Roman"/>
          <w:lang w:val="mk-MK"/>
        </w:rPr>
        <w:t xml:space="preserve"> </w:t>
      </w:r>
      <w:r w:rsidRPr="009A1E6F">
        <w:rPr>
          <w:rFonts w:ascii="Times New Roman" w:hAnsi="Times New Roman"/>
          <w:sz w:val="24"/>
          <w:szCs w:val="24"/>
        </w:rPr>
        <w:t>(</w:t>
      </w:r>
      <w:r>
        <w:rPr>
          <w:rFonts w:ascii="Times New Roman" w:hAnsi="Times New Roman"/>
          <w:sz w:val="24"/>
          <w:szCs w:val="24"/>
        </w:rPr>
        <w:t>fixed remuneration</w:t>
      </w:r>
      <w:r w:rsidRPr="009A1E6F">
        <w:rPr>
          <w:rFonts w:ascii="Times New Roman" w:hAnsi="Times New Roman"/>
          <w:sz w:val="24"/>
          <w:szCs w:val="24"/>
        </w:rPr>
        <w:t xml:space="preserve"> of MKD </w:t>
      </w:r>
      <w:r>
        <w:rPr>
          <w:rFonts w:ascii="Times New Roman" w:hAnsi="Times New Roman"/>
        </w:rPr>
        <w:t>24.697.401</w:t>
      </w:r>
      <w:r w:rsidRPr="006826BC">
        <w:rPr>
          <w:rFonts w:ascii="Times New Roman" w:hAnsi="Times New Roman"/>
        </w:rPr>
        <w:t xml:space="preserve"> </w:t>
      </w:r>
      <w:r w:rsidRPr="009A1E6F">
        <w:rPr>
          <w:rFonts w:ascii="Times New Roman" w:hAnsi="Times New Roman"/>
          <w:sz w:val="24"/>
          <w:szCs w:val="24"/>
        </w:rPr>
        <w:t xml:space="preserve">and </w:t>
      </w:r>
      <w:r>
        <w:rPr>
          <w:rFonts w:ascii="Times New Roman" w:hAnsi="Times New Roman"/>
          <w:sz w:val="24"/>
          <w:szCs w:val="24"/>
        </w:rPr>
        <w:t>variable remuneration of</w:t>
      </w:r>
      <w:r w:rsidRPr="009A1E6F">
        <w:rPr>
          <w:rFonts w:ascii="Times New Roman" w:hAnsi="Times New Roman"/>
          <w:sz w:val="24"/>
          <w:szCs w:val="24"/>
        </w:rPr>
        <w:t xml:space="preserve"> MKD </w:t>
      </w:r>
      <w:r w:rsidRPr="006826BC">
        <w:rPr>
          <w:rFonts w:ascii="Times New Roman" w:hAnsi="Times New Roman"/>
        </w:rPr>
        <w:t>5.044.991</w:t>
      </w:r>
      <w:r w:rsidRPr="009A1E6F">
        <w:rPr>
          <w:rFonts w:ascii="Times New Roman" w:hAnsi="Times New Roman"/>
          <w:sz w:val="24"/>
          <w:szCs w:val="24"/>
        </w:rPr>
        <w:t xml:space="preserve">) was paid to </w:t>
      </w:r>
      <w:proofErr w:type="gramStart"/>
      <w:r w:rsidRPr="009A1E6F">
        <w:rPr>
          <w:rFonts w:ascii="Times New Roman" w:hAnsi="Times New Roman"/>
          <w:sz w:val="24"/>
          <w:szCs w:val="24"/>
        </w:rPr>
        <w:t>4</w:t>
      </w:r>
      <w:proofErr w:type="gramEnd"/>
      <w:r w:rsidRPr="009A1E6F">
        <w:rPr>
          <w:rFonts w:ascii="Times New Roman" w:hAnsi="Times New Roman"/>
          <w:sz w:val="24"/>
          <w:szCs w:val="24"/>
        </w:rPr>
        <w:t xml:space="preserve"> members of the Board of Directors.</w:t>
      </w:r>
    </w:p>
    <w:p w14:paraId="6DA4873E" w14:textId="77777777" w:rsidR="00EC708E" w:rsidRDefault="00EC708E" w:rsidP="00BB27D7">
      <w:pPr>
        <w:spacing w:after="0"/>
        <w:jc w:val="both"/>
        <w:rPr>
          <w:rFonts w:ascii="Times New Roman" w:hAnsi="Times New Roman"/>
          <w:sz w:val="24"/>
          <w:szCs w:val="24"/>
        </w:rPr>
      </w:pPr>
    </w:p>
    <w:p w14:paraId="5BE5592C" w14:textId="77777777" w:rsidR="00EC708E" w:rsidRPr="00C440FB" w:rsidRDefault="00EC708E" w:rsidP="00BB27D7">
      <w:pPr>
        <w:spacing w:after="0"/>
        <w:jc w:val="both"/>
        <w:rPr>
          <w:rFonts w:ascii="Times New Roman" w:hAnsi="Times New Roman"/>
          <w:i/>
          <w:sz w:val="20"/>
          <w:szCs w:val="24"/>
        </w:rPr>
      </w:pPr>
      <w:r w:rsidRPr="00C440FB">
        <w:rPr>
          <w:rFonts w:ascii="Times New Roman" w:hAnsi="Times New Roman"/>
          <w:i/>
          <w:sz w:val="20"/>
          <w:szCs w:val="24"/>
        </w:rPr>
        <w:t>Table: Remuneration of members of Board of Directors, per member, 2022, gross MKD</w:t>
      </w:r>
    </w:p>
    <w:p w14:paraId="089ACC5F" w14:textId="7D92FFB9" w:rsidR="00EC708E" w:rsidRPr="009A1E6F" w:rsidRDefault="002B6B59" w:rsidP="00BB27D7">
      <w:pPr>
        <w:spacing w:after="0"/>
        <w:jc w:val="both"/>
        <w:rPr>
          <w:rFonts w:ascii="Times New Roman" w:hAnsi="Times New Roman"/>
          <w:sz w:val="24"/>
          <w:szCs w:val="24"/>
        </w:rPr>
      </w:pPr>
      <w:r>
        <w:rPr>
          <w:rFonts w:ascii="Times New Roman" w:hAnsi="Times New Roman"/>
          <w:noProof/>
          <w:sz w:val="24"/>
          <w:szCs w:val="24"/>
        </w:rPr>
        <w:drawing>
          <wp:inline distT="0" distB="0" distL="0" distR="0" wp14:anchorId="457D2D81" wp14:editId="51E3A47B">
            <wp:extent cx="4691270" cy="12833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13072" cy="1289299"/>
                    </a:xfrm>
                    <a:prstGeom prst="rect">
                      <a:avLst/>
                    </a:prstGeom>
                    <a:noFill/>
                  </pic:spPr>
                </pic:pic>
              </a:graphicData>
            </a:graphic>
          </wp:inline>
        </w:drawing>
      </w:r>
    </w:p>
    <w:p w14:paraId="359F14C1" w14:textId="77777777" w:rsidR="00EC708E" w:rsidRPr="009A1E6F" w:rsidRDefault="00EC708E" w:rsidP="00BB27D7">
      <w:pPr>
        <w:jc w:val="both"/>
        <w:rPr>
          <w:rFonts w:ascii="Times New Roman" w:hAnsi="Times New Roman"/>
          <w:sz w:val="24"/>
          <w:szCs w:val="24"/>
          <w:lang w:val="en-GB"/>
        </w:rPr>
      </w:pPr>
    </w:p>
    <w:p w14:paraId="32EC0B74" w14:textId="77777777" w:rsidR="00EC708E" w:rsidRPr="009A1E6F" w:rsidRDefault="00EC708E" w:rsidP="00BB27D7">
      <w:pPr>
        <w:pStyle w:val="ListParagraph"/>
        <w:numPr>
          <w:ilvl w:val="0"/>
          <w:numId w:val="28"/>
        </w:numPr>
        <w:spacing w:line="276" w:lineRule="auto"/>
        <w:ind w:left="0" w:firstLine="0"/>
        <w:jc w:val="both"/>
        <w:rPr>
          <w:b/>
          <w:lang w:val="en-GB"/>
        </w:rPr>
      </w:pPr>
      <w:r w:rsidRPr="009A1E6F">
        <w:rPr>
          <w:b/>
          <w:lang w:val="en-GB"/>
        </w:rPr>
        <w:t>Officers with material impact on the risk profile and profitability of the Bank</w:t>
      </w:r>
    </w:p>
    <w:p w14:paraId="248024BA" w14:textId="77777777" w:rsidR="00EC708E" w:rsidRPr="009A1E6F" w:rsidRDefault="00EC708E" w:rsidP="00BB27D7">
      <w:pPr>
        <w:spacing w:after="0"/>
        <w:jc w:val="both"/>
        <w:rPr>
          <w:rFonts w:ascii="Times New Roman" w:hAnsi="Times New Roman"/>
          <w:b/>
          <w:sz w:val="24"/>
          <w:szCs w:val="24"/>
          <w:lang w:val="en-GB"/>
        </w:rPr>
      </w:pPr>
    </w:p>
    <w:p w14:paraId="630DC743" w14:textId="77777777" w:rsidR="00EC708E" w:rsidRPr="009A1E6F" w:rsidRDefault="00EC708E" w:rsidP="00BB27D7">
      <w:pPr>
        <w:jc w:val="both"/>
        <w:rPr>
          <w:rFonts w:ascii="Times New Roman" w:hAnsi="Times New Roman"/>
          <w:sz w:val="24"/>
          <w:szCs w:val="24"/>
          <w:lang w:val="en-GB"/>
        </w:rPr>
      </w:pPr>
      <w:r w:rsidRPr="009A1E6F">
        <w:rPr>
          <w:rFonts w:ascii="Times New Roman" w:hAnsi="Times New Roman"/>
          <w:sz w:val="24"/>
          <w:szCs w:val="24"/>
          <w:lang w:val="en-GB"/>
        </w:rPr>
        <w:t xml:space="preserve">The employees included in the category “Officers with material impact on the risk profile and profitability of the Bank” are determined in the Remuneration Policy of SB. The category includes the management responsible for material business units, risk management and for the control functions in Stopanska Banka AD – Skopje. </w:t>
      </w:r>
      <w:proofErr w:type="gramStart"/>
      <w:r w:rsidRPr="009A1E6F">
        <w:rPr>
          <w:rFonts w:ascii="Times New Roman" w:hAnsi="Times New Roman"/>
          <w:sz w:val="24"/>
          <w:szCs w:val="24"/>
          <w:lang w:val="en-GB"/>
        </w:rPr>
        <w:t>26</w:t>
      </w:r>
      <w:proofErr w:type="gramEnd"/>
      <w:r w:rsidRPr="009A1E6F">
        <w:rPr>
          <w:rFonts w:ascii="Times New Roman" w:hAnsi="Times New Roman"/>
          <w:sz w:val="24"/>
          <w:szCs w:val="24"/>
          <w:lang w:val="en-GB"/>
        </w:rPr>
        <w:t xml:space="preserve"> employees are included in this category.</w:t>
      </w:r>
    </w:p>
    <w:p w14:paraId="22A2516C" w14:textId="77777777" w:rsidR="00EC708E" w:rsidRPr="009A1E6F" w:rsidRDefault="00EC708E" w:rsidP="00BB27D7">
      <w:pPr>
        <w:spacing w:after="0"/>
        <w:jc w:val="both"/>
        <w:rPr>
          <w:rFonts w:ascii="Times New Roman" w:hAnsi="Times New Roman"/>
          <w:sz w:val="24"/>
          <w:szCs w:val="24"/>
          <w:lang w:val="en-GB"/>
        </w:rPr>
      </w:pPr>
      <w:r w:rsidRPr="009A1E6F">
        <w:rPr>
          <w:rFonts w:ascii="Times New Roman" w:hAnsi="Times New Roman"/>
          <w:sz w:val="24"/>
          <w:szCs w:val="24"/>
        </w:rPr>
        <w:t xml:space="preserve">Total gross amount of MKD </w:t>
      </w:r>
      <w:r>
        <w:rPr>
          <w:rFonts w:ascii="Times New Roman" w:hAnsi="Times New Roman"/>
          <w:sz w:val="24"/>
          <w:szCs w:val="24"/>
        </w:rPr>
        <w:t>67.630.706</w:t>
      </w:r>
      <w:r w:rsidRPr="009A1E6F">
        <w:rPr>
          <w:rFonts w:ascii="Times New Roman" w:hAnsi="Times New Roman"/>
          <w:sz w:val="24"/>
          <w:szCs w:val="24"/>
          <w:lang w:val="mk-MK"/>
        </w:rPr>
        <w:t xml:space="preserve"> </w:t>
      </w:r>
      <w:r w:rsidRPr="009A1E6F">
        <w:rPr>
          <w:rFonts w:ascii="Times New Roman" w:hAnsi="Times New Roman"/>
          <w:sz w:val="24"/>
          <w:szCs w:val="24"/>
        </w:rPr>
        <w:t>(</w:t>
      </w:r>
      <w:r>
        <w:rPr>
          <w:rFonts w:ascii="Times New Roman" w:hAnsi="Times New Roman"/>
          <w:sz w:val="24"/>
          <w:szCs w:val="24"/>
        </w:rPr>
        <w:t>fixed remuneration</w:t>
      </w:r>
      <w:r w:rsidRPr="009A1E6F">
        <w:rPr>
          <w:rFonts w:ascii="Times New Roman" w:hAnsi="Times New Roman"/>
          <w:sz w:val="24"/>
          <w:szCs w:val="24"/>
        </w:rPr>
        <w:t xml:space="preserve"> of MKD </w:t>
      </w:r>
      <w:r>
        <w:rPr>
          <w:rFonts w:ascii="Times New Roman" w:hAnsi="Times New Roman"/>
          <w:sz w:val="24"/>
          <w:szCs w:val="24"/>
        </w:rPr>
        <w:t>59.339.697</w:t>
      </w:r>
      <w:r w:rsidRPr="009A1E6F">
        <w:rPr>
          <w:rFonts w:ascii="Times New Roman" w:hAnsi="Times New Roman"/>
          <w:sz w:val="24"/>
          <w:szCs w:val="24"/>
        </w:rPr>
        <w:t xml:space="preserve"> and </w:t>
      </w:r>
      <w:r>
        <w:rPr>
          <w:rFonts w:ascii="Times New Roman" w:hAnsi="Times New Roman"/>
          <w:sz w:val="24"/>
          <w:szCs w:val="24"/>
        </w:rPr>
        <w:t>variable remuneration of</w:t>
      </w:r>
      <w:r w:rsidRPr="009A1E6F">
        <w:rPr>
          <w:rFonts w:ascii="Times New Roman" w:hAnsi="Times New Roman"/>
          <w:sz w:val="24"/>
          <w:szCs w:val="24"/>
        </w:rPr>
        <w:t xml:space="preserve"> MKD </w:t>
      </w:r>
      <w:r>
        <w:rPr>
          <w:rFonts w:ascii="Times New Roman" w:hAnsi="Times New Roman"/>
          <w:sz w:val="24"/>
          <w:szCs w:val="24"/>
        </w:rPr>
        <w:t>8.291.009</w:t>
      </w:r>
      <w:r w:rsidRPr="009A1E6F">
        <w:rPr>
          <w:rFonts w:ascii="Times New Roman" w:hAnsi="Times New Roman"/>
          <w:sz w:val="24"/>
          <w:szCs w:val="24"/>
        </w:rPr>
        <w:t xml:space="preserve">) </w:t>
      </w:r>
      <w:proofErr w:type="gramStart"/>
      <w:r w:rsidRPr="009A1E6F">
        <w:rPr>
          <w:rFonts w:ascii="Times New Roman" w:hAnsi="Times New Roman"/>
          <w:sz w:val="24"/>
          <w:szCs w:val="24"/>
        </w:rPr>
        <w:t>was paid</w:t>
      </w:r>
      <w:proofErr w:type="gramEnd"/>
      <w:r w:rsidRPr="009A1E6F">
        <w:rPr>
          <w:rFonts w:ascii="Times New Roman" w:hAnsi="Times New Roman"/>
          <w:sz w:val="24"/>
          <w:szCs w:val="24"/>
        </w:rPr>
        <w:t xml:space="preserve"> to the Officers with material impact on the risk profile.</w:t>
      </w:r>
    </w:p>
    <w:p w14:paraId="481A6E48" w14:textId="77777777" w:rsidR="00EC708E" w:rsidRPr="009A1E6F" w:rsidRDefault="00EC708E" w:rsidP="00BB27D7">
      <w:pPr>
        <w:jc w:val="both"/>
        <w:rPr>
          <w:rFonts w:ascii="Times New Roman" w:hAnsi="Times New Roman"/>
          <w:sz w:val="24"/>
          <w:szCs w:val="24"/>
          <w:lang w:val="mk-MK"/>
        </w:rPr>
      </w:pPr>
    </w:p>
    <w:p w14:paraId="39059606" w14:textId="77777777" w:rsidR="00EC708E" w:rsidRPr="009A1E6F" w:rsidRDefault="00EC708E" w:rsidP="00BB27D7">
      <w:pPr>
        <w:pStyle w:val="ListParagraph"/>
        <w:numPr>
          <w:ilvl w:val="0"/>
          <w:numId w:val="28"/>
        </w:numPr>
        <w:spacing w:line="276" w:lineRule="auto"/>
        <w:ind w:left="0" w:firstLine="0"/>
        <w:jc w:val="both"/>
        <w:rPr>
          <w:b/>
          <w:lang w:val="en-GB"/>
        </w:rPr>
      </w:pPr>
      <w:r w:rsidRPr="009A1E6F">
        <w:rPr>
          <w:b/>
          <w:lang w:val="en-GB"/>
        </w:rPr>
        <w:t xml:space="preserve">Other persons with special rights and responsibilities </w:t>
      </w:r>
    </w:p>
    <w:p w14:paraId="2659442A" w14:textId="77777777" w:rsidR="00EC708E" w:rsidRPr="009A1E6F" w:rsidRDefault="00EC708E" w:rsidP="00BB27D7">
      <w:pPr>
        <w:pStyle w:val="ListParagraph"/>
        <w:spacing w:line="276" w:lineRule="auto"/>
        <w:ind w:left="1080"/>
        <w:jc w:val="both"/>
        <w:rPr>
          <w:b/>
          <w:u w:val="single"/>
          <w:lang w:val="en-GB"/>
        </w:rPr>
      </w:pPr>
    </w:p>
    <w:p w14:paraId="4998CCE2" w14:textId="77777777" w:rsidR="00EC708E" w:rsidRPr="009A1E6F" w:rsidRDefault="00EC708E" w:rsidP="00BB27D7">
      <w:pPr>
        <w:jc w:val="both"/>
        <w:rPr>
          <w:rFonts w:ascii="Times New Roman" w:hAnsi="Times New Roman"/>
          <w:sz w:val="24"/>
          <w:szCs w:val="24"/>
          <w:lang w:val="en-GB"/>
        </w:rPr>
      </w:pPr>
      <w:r w:rsidRPr="009A1E6F">
        <w:rPr>
          <w:rFonts w:ascii="Times New Roman" w:hAnsi="Times New Roman"/>
          <w:sz w:val="24"/>
          <w:szCs w:val="24"/>
          <w:lang w:val="en-GB"/>
        </w:rPr>
        <w:t>The employees included in the category “Other persons with special rights and responsibilities” are the division managers, deputy division managers</w:t>
      </w:r>
      <w:r w:rsidRPr="009A1E6F">
        <w:rPr>
          <w:rFonts w:ascii="Times New Roman" w:hAnsi="Times New Roman"/>
          <w:sz w:val="24"/>
          <w:szCs w:val="24"/>
        </w:rPr>
        <w:t xml:space="preserve"> and the managers for specific issues</w:t>
      </w:r>
      <w:r w:rsidRPr="009A1E6F">
        <w:rPr>
          <w:rFonts w:ascii="Times New Roman" w:hAnsi="Times New Roman"/>
          <w:sz w:val="24"/>
          <w:szCs w:val="24"/>
          <w:lang w:val="en-GB"/>
        </w:rPr>
        <w:t xml:space="preserve"> of Stopanska Banka AD – Skopje that are not covered in the prior category. </w:t>
      </w:r>
      <w:proofErr w:type="gramStart"/>
      <w:r w:rsidRPr="009A1E6F">
        <w:rPr>
          <w:rFonts w:ascii="Times New Roman" w:hAnsi="Times New Roman"/>
          <w:sz w:val="24"/>
          <w:szCs w:val="24"/>
          <w:lang w:val="en-GB"/>
        </w:rPr>
        <w:t>15</w:t>
      </w:r>
      <w:proofErr w:type="gramEnd"/>
      <w:r w:rsidRPr="009A1E6F">
        <w:rPr>
          <w:rFonts w:ascii="Times New Roman" w:hAnsi="Times New Roman"/>
          <w:sz w:val="24"/>
          <w:szCs w:val="24"/>
          <w:lang w:val="en-GB"/>
        </w:rPr>
        <w:t xml:space="preserve"> employees are included in this category.</w:t>
      </w:r>
    </w:p>
    <w:p w14:paraId="05F8DAD6" w14:textId="77777777" w:rsidR="00EC708E" w:rsidRPr="009A1E6F" w:rsidRDefault="00EC708E" w:rsidP="00BB27D7">
      <w:pPr>
        <w:jc w:val="both"/>
        <w:rPr>
          <w:rFonts w:ascii="Times New Roman" w:hAnsi="Times New Roman"/>
          <w:sz w:val="24"/>
          <w:szCs w:val="24"/>
        </w:rPr>
      </w:pPr>
      <w:r w:rsidRPr="009A1E6F">
        <w:rPr>
          <w:rFonts w:ascii="Times New Roman" w:hAnsi="Times New Roman"/>
          <w:sz w:val="24"/>
          <w:szCs w:val="24"/>
        </w:rPr>
        <w:t xml:space="preserve">Total gross amount of MKD </w:t>
      </w:r>
      <w:r>
        <w:rPr>
          <w:rFonts w:ascii="Times New Roman" w:hAnsi="Times New Roman"/>
          <w:sz w:val="24"/>
          <w:szCs w:val="24"/>
        </w:rPr>
        <w:t>35.119.452</w:t>
      </w:r>
      <w:r w:rsidRPr="009A1E6F">
        <w:rPr>
          <w:rFonts w:ascii="Times New Roman" w:hAnsi="Times New Roman"/>
          <w:sz w:val="24"/>
          <w:szCs w:val="24"/>
          <w:lang w:val="mk-MK"/>
        </w:rPr>
        <w:t xml:space="preserve"> </w:t>
      </w:r>
      <w:r w:rsidRPr="009A1E6F">
        <w:rPr>
          <w:rFonts w:ascii="Times New Roman" w:hAnsi="Times New Roman"/>
          <w:sz w:val="24"/>
          <w:szCs w:val="24"/>
        </w:rPr>
        <w:t>(</w:t>
      </w:r>
      <w:r>
        <w:rPr>
          <w:rFonts w:ascii="Times New Roman" w:hAnsi="Times New Roman"/>
          <w:sz w:val="24"/>
          <w:szCs w:val="24"/>
        </w:rPr>
        <w:t>fixed remuneration</w:t>
      </w:r>
      <w:r w:rsidRPr="009A1E6F">
        <w:rPr>
          <w:rFonts w:ascii="Times New Roman" w:hAnsi="Times New Roman"/>
          <w:sz w:val="24"/>
          <w:szCs w:val="24"/>
        </w:rPr>
        <w:t xml:space="preserve"> of MKD </w:t>
      </w:r>
      <w:r>
        <w:rPr>
          <w:rFonts w:ascii="Times New Roman" w:hAnsi="Times New Roman"/>
          <w:sz w:val="24"/>
          <w:szCs w:val="24"/>
        </w:rPr>
        <w:t>31.432.643</w:t>
      </w:r>
      <w:r w:rsidRPr="009A1E6F">
        <w:rPr>
          <w:rFonts w:ascii="Times New Roman" w:hAnsi="Times New Roman"/>
          <w:sz w:val="24"/>
          <w:szCs w:val="24"/>
        </w:rPr>
        <w:t xml:space="preserve"> and </w:t>
      </w:r>
      <w:r>
        <w:rPr>
          <w:rFonts w:ascii="Times New Roman" w:hAnsi="Times New Roman"/>
          <w:sz w:val="24"/>
          <w:szCs w:val="24"/>
        </w:rPr>
        <w:t>variable remuneration of</w:t>
      </w:r>
      <w:r w:rsidRPr="009A1E6F">
        <w:rPr>
          <w:rFonts w:ascii="Times New Roman" w:hAnsi="Times New Roman"/>
          <w:sz w:val="24"/>
          <w:szCs w:val="24"/>
        </w:rPr>
        <w:t xml:space="preserve"> MKD </w:t>
      </w:r>
      <w:r>
        <w:rPr>
          <w:rFonts w:ascii="Times New Roman" w:hAnsi="Times New Roman"/>
          <w:sz w:val="24"/>
          <w:szCs w:val="24"/>
        </w:rPr>
        <w:t>3.686.809</w:t>
      </w:r>
      <w:r w:rsidRPr="009A1E6F">
        <w:rPr>
          <w:rFonts w:ascii="Times New Roman" w:hAnsi="Times New Roman"/>
          <w:sz w:val="24"/>
          <w:szCs w:val="24"/>
        </w:rPr>
        <w:t xml:space="preserve">) </w:t>
      </w:r>
      <w:proofErr w:type="gramStart"/>
      <w:r w:rsidRPr="009A1E6F">
        <w:rPr>
          <w:rFonts w:ascii="Times New Roman" w:hAnsi="Times New Roman"/>
          <w:sz w:val="24"/>
          <w:szCs w:val="24"/>
        </w:rPr>
        <w:t>was paid</w:t>
      </w:r>
      <w:proofErr w:type="gramEnd"/>
      <w:r w:rsidRPr="009A1E6F">
        <w:rPr>
          <w:rFonts w:ascii="Times New Roman" w:hAnsi="Times New Roman"/>
          <w:sz w:val="24"/>
          <w:szCs w:val="24"/>
        </w:rPr>
        <w:t xml:space="preserve"> to the other persons with special rights and responsibilities. </w:t>
      </w:r>
    </w:p>
    <w:p w14:paraId="36F00A53" w14:textId="77777777" w:rsidR="00EC708E" w:rsidRDefault="00EC708E" w:rsidP="00BB27D7">
      <w:pPr>
        <w:spacing w:after="0"/>
        <w:jc w:val="both"/>
        <w:rPr>
          <w:rFonts w:ascii="Times New Roman" w:hAnsi="Times New Roman"/>
          <w:sz w:val="24"/>
          <w:szCs w:val="24"/>
        </w:rPr>
      </w:pPr>
      <w:r w:rsidRPr="009A1E6F">
        <w:rPr>
          <w:rFonts w:ascii="Times New Roman" w:hAnsi="Times New Roman"/>
          <w:sz w:val="24"/>
          <w:szCs w:val="24"/>
        </w:rPr>
        <w:lastRenderedPageBreak/>
        <w:t>*The total credit exposure to persons with special rights and responsibilities at end of 2022 amounts to MKD 75.</w:t>
      </w:r>
      <w:r w:rsidRPr="009A1E6F">
        <w:rPr>
          <w:rFonts w:ascii="Times New Roman" w:hAnsi="Times New Roman"/>
          <w:sz w:val="24"/>
          <w:szCs w:val="24"/>
          <w:lang w:val="mk-MK"/>
        </w:rPr>
        <w:t>864,6</w:t>
      </w:r>
      <w:r w:rsidRPr="009A1E6F">
        <w:rPr>
          <w:rFonts w:ascii="Times New Roman" w:hAnsi="Times New Roman"/>
          <w:sz w:val="24"/>
          <w:szCs w:val="24"/>
        </w:rPr>
        <w:t xml:space="preserve"> thousands which represent 0.45% of the Bank’s own funds (significantly below the regulatory limit of 3% of the Bank’s own funds per person with special rights and responsibilities and the persons related to him/her).</w:t>
      </w:r>
    </w:p>
    <w:p w14:paraId="31C8F00A" w14:textId="77777777" w:rsidR="00EC708E" w:rsidRPr="009A1E6F" w:rsidRDefault="00EC708E" w:rsidP="00BB27D7">
      <w:pPr>
        <w:spacing w:after="0"/>
        <w:jc w:val="both"/>
        <w:rPr>
          <w:rFonts w:ascii="Times New Roman" w:hAnsi="Times New Roman"/>
          <w:sz w:val="24"/>
          <w:szCs w:val="24"/>
        </w:rPr>
      </w:pPr>
    </w:p>
    <w:p w14:paraId="04AD79F7" w14:textId="77777777" w:rsidR="00EC708E" w:rsidRPr="009A1E6F" w:rsidRDefault="00EC708E" w:rsidP="00BB27D7">
      <w:pPr>
        <w:spacing w:after="0"/>
        <w:jc w:val="both"/>
        <w:rPr>
          <w:rFonts w:ascii="Times New Roman" w:hAnsi="Times New Roman"/>
          <w:sz w:val="24"/>
          <w:szCs w:val="24"/>
        </w:rPr>
      </w:pPr>
    </w:p>
    <w:p w14:paraId="0E2CB367" w14:textId="77777777" w:rsidR="00EC708E" w:rsidRPr="009A1E6F" w:rsidRDefault="00EC708E" w:rsidP="00BB27D7">
      <w:pPr>
        <w:spacing w:after="0"/>
        <w:jc w:val="both"/>
        <w:rPr>
          <w:rFonts w:ascii="Times New Roman" w:hAnsi="Times New Roman"/>
          <w:b/>
          <w:sz w:val="24"/>
          <w:szCs w:val="24"/>
        </w:rPr>
      </w:pPr>
      <w:r w:rsidRPr="009A1E6F">
        <w:rPr>
          <w:rFonts w:ascii="Times New Roman" w:hAnsi="Times New Roman"/>
          <w:b/>
          <w:sz w:val="24"/>
          <w:szCs w:val="24"/>
          <w:lang w:val="mk-MK"/>
        </w:rPr>
        <w:t xml:space="preserve">9. </w:t>
      </w:r>
      <w:r w:rsidRPr="009A1E6F">
        <w:rPr>
          <w:rFonts w:ascii="Times New Roman" w:hAnsi="Times New Roman"/>
          <w:b/>
          <w:sz w:val="24"/>
          <w:szCs w:val="24"/>
        </w:rPr>
        <w:t>Corporate Social Responsibility</w:t>
      </w:r>
    </w:p>
    <w:p w14:paraId="63EB3282" w14:textId="77777777" w:rsidR="00EC708E" w:rsidRPr="00BB270C" w:rsidRDefault="00EC708E" w:rsidP="00BB27D7">
      <w:pPr>
        <w:pStyle w:val="Subtitle1"/>
        <w:shd w:val="clear" w:color="auto" w:fill="FFFFFF"/>
        <w:spacing w:after="0" w:line="276" w:lineRule="auto"/>
        <w:jc w:val="both"/>
      </w:pPr>
      <w:r w:rsidRPr="00BB270C">
        <w:t>Stopanska banka AD - Skopje is one of the most active socially responsible companies in the country, constantly taking care of the community from which it originates. By supporting sustainable projects for the promotion of culture, education, sports and health, the Bank is involved in almost every sphere of life and activity.</w:t>
      </w:r>
    </w:p>
    <w:p w14:paraId="50FD98FD" w14:textId="77777777" w:rsidR="00EC708E" w:rsidRPr="00BB270C" w:rsidRDefault="00EC708E" w:rsidP="00BB27D7">
      <w:pPr>
        <w:pStyle w:val="Subtitle1"/>
        <w:shd w:val="clear" w:color="auto" w:fill="FFFFFF"/>
        <w:spacing w:after="0" w:line="276" w:lineRule="auto"/>
        <w:jc w:val="both"/>
      </w:pPr>
      <w:proofErr w:type="gramStart"/>
      <w:r w:rsidRPr="00BB270C">
        <w:t>2022</w:t>
      </w:r>
      <w:proofErr w:type="gramEnd"/>
      <w:r w:rsidRPr="00BB270C">
        <w:t xml:space="preserve"> continued to be under the sign of perseverance, persistence and the need to heal the economy, as well as the military and energy crisis, so the Bank continued to be a trusted financial partner of companies and citizens in 2022 b</w:t>
      </w:r>
      <w:r>
        <w:t>y offering financial solutions</w:t>
      </w:r>
      <w:r w:rsidRPr="00BB270C">
        <w:t xml:space="preserve">, products and services and their adaptation to the needs and appetites of customers. The Bank successfully continued to implement all these business activities, because since the beginning of the COVID-19 crisis, it successfully dealt with preventing the spread of the virus in the organizational units and helping employees who </w:t>
      </w:r>
      <w:proofErr w:type="gramStart"/>
      <w:r w:rsidRPr="00BB270C">
        <w:t>were infected</w:t>
      </w:r>
      <w:proofErr w:type="gramEnd"/>
      <w:r w:rsidRPr="00BB270C">
        <w:t xml:space="preserve"> by the virus.</w:t>
      </w:r>
    </w:p>
    <w:p w14:paraId="2BE3141A" w14:textId="77777777" w:rsidR="00EC708E" w:rsidRPr="00BB270C" w:rsidRDefault="00EC708E" w:rsidP="00BB27D7">
      <w:pPr>
        <w:pStyle w:val="Subtitle1"/>
        <w:shd w:val="clear" w:color="auto" w:fill="FFFFFF"/>
        <w:spacing w:after="0" w:line="276" w:lineRule="auto"/>
        <w:jc w:val="both"/>
      </w:pPr>
      <w:r w:rsidRPr="00BB270C">
        <w:t xml:space="preserve">In the course of 2022, </w:t>
      </w:r>
      <w:r>
        <w:t xml:space="preserve">the main CSR activities </w:t>
      </w:r>
      <w:proofErr w:type="gramStart"/>
      <w:r>
        <w:t>were implemented</w:t>
      </w:r>
      <w:proofErr w:type="gramEnd"/>
      <w:r>
        <w:t xml:space="preserve"> as follows</w:t>
      </w:r>
      <w:r w:rsidRPr="00BB270C">
        <w:t>:</w:t>
      </w:r>
    </w:p>
    <w:p w14:paraId="4186FC64" w14:textId="77777777" w:rsidR="00EC708E" w:rsidRPr="00BB270C" w:rsidRDefault="00EC708E" w:rsidP="00BB27D7">
      <w:pPr>
        <w:pStyle w:val="Subtitle1"/>
        <w:numPr>
          <w:ilvl w:val="0"/>
          <w:numId w:val="38"/>
        </w:numPr>
        <w:shd w:val="clear" w:color="auto" w:fill="FFFFFF"/>
        <w:spacing w:after="0" w:line="276" w:lineRule="auto"/>
        <w:jc w:val="both"/>
      </w:pPr>
      <w:r w:rsidRPr="00BB270C">
        <w:t>Donation of medical equipment for the "8th of September" City Hospital in Skopje</w:t>
      </w:r>
    </w:p>
    <w:p w14:paraId="728D6516" w14:textId="77777777" w:rsidR="00EC708E" w:rsidRPr="00BB270C" w:rsidRDefault="00EC708E" w:rsidP="00BB27D7">
      <w:pPr>
        <w:pStyle w:val="Subtitle1"/>
        <w:numPr>
          <w:ilvl w:val="0"/>
          <w:numId w:val="38"/>
        </w:numPr>
        <w:shd w:val="clear" w:color="auto" w:fill="FFFFFF"/>
        <w:spacing w:after="0" w:line="276" w:lineRule="auto"/>
        <w:jc w:val="both"/>
      </w:pPr>
      <w:r w:rsidRPr="00BB270C">
        <w:t>Sponsorship of "Strumica Carnival" 2022</w:t>
      </w:r>
    </w:p>
    <w:p w14:paraId="356BF840" w14:textId="77777777" w:rsidR="00EC708E" w:rsidRPr="00BB270C" w:rsidRDefault="00EC708E" w:rsidP="00BB27D7">
      <w:pPr>
        <w:pStyle w:val="Subtitle1"/>
        <w:numPr>
          <w:ilvl w:val="0"/>
          <w:numId w:val="38"/>
        </w:numPr>
        <w:shd w:val="clear" w:color="auto" w:fill="FFFFFF"/>
        <w:spacing w:after="0" w:line="276" w:lineRule="auto"/>
        <w:jc w:val="both"/>
      </w:pPr>
      <w:r w:rsidRPr="00BB270C">
        <w:t>Sponsorship of "Ohrid Summer" 2022</w:t>
      </w:r>
    </w:p>
    <w:p w14:paraId="0A1F8173" w14:textId="77777777" w:rsidR="00EC708E" w:rsidRPr="00BB270C" w:rsidRDefault="00EC708E" w:rsidP="00BB27D7">
      <w:pPr>
        <w:pStyle w:val="Subtitle1"/>
        <w:numPr>
          <w:ilvl w:val="0"/>
          <w:numId w:val="38"/>
        </w:numPr>
        <w:shd w:val="clear" w:color="auto" w:fill="FFFFFF"/>
        <w:spacing w:after="0" w:line="276" w:lineRule="auto"/>
        <w:jc w:val="both"/>
      </w:pPr>
      <w:r w:rsidRPr="00BB270C">
        <w:t>Sponsorship of "Skopje Summer" 2022</w:t>
      </w:r>
    </w:p>
    <w:p w14:paraId="75B5D637" w14:textId="77777777" w:rsidR="00EC708E" w:rsidRPr="00BB270C" w:rsidRDefault="00EC708E" w:rsidP="00BB27D7">
      <w:pPr>
        <w:pStyle w:val="Subtitle1"/>
        <w:numPr>
          <w:ilvl w:val="0"/>
          <w:numId w:val="38"/>
        </w:numPr>
        <w:shd w:val="clear" w:color="auto" w:fill="FFFFFF"/>
        <w:spacing w:after="0" w:line="276" w:lineRule="auto"/>
        <w:jc w:val="both"/>
      </w:pPr>
      <w:r w:rsidRPr="00BB270C">
        <w:t>Sponsorship of "Galician Wedding" 2022</w:t>
      </w:r>
    </w:p>
    <w:p w14:paraId="5BE7FA15" w14:textId="77777777" w:rsidR="00EC708E" w:rsidRPr="00BB270C" w:rsidRDefault="00EC708E" w:rsidP="00BB27D7">
      <w:pPr>
        <w:pStyle w:val="Subtitle1"/>
        <w:numPr>
          <w:ilvl w:val="0"/>
          <w:numId w:val="38"/>
        </w:numPr>
        <w:shd w:val="clear" w:color="auto" w:fill="FFFFFF"/>
        <w:spacing w:after="0" w:line="276" w:lineRule="auto"/>
        <w:jc w:val="both"/>
      </w:pPr>
      <w:r w:rsidRPr="00BB270C">
        <w:t>Main sponsor of the Skopje Triathlon 2022</w:t>
      </w:r>
    </w:p>
    <w:p w14:paraId="6D71EC71" w14:textId="77777777" w:rsidR="00EC708E" w:rsidRPr="00BB270C" w:rsidRDefault="00EC708E" w:rsidP="00BB27D7">
      <w:pPr>
        <w:pStyle w:val="Subtitle1"/>
        <w:numPr>
          <w:ilvl w:val="0"/>
          <w:numId w:val="38"/>
        </w:numPr>
        <w:shd w:val="clear" w:color="auto" w:fill="FFFFFF"/>
        <w:spacing w:after="0" w:line="276" w:lineRule="auto"/>
        <w:jc w:val="both"/>
      </w:pPr>
      <w:r w:rsidRPr="00BB270C">
        <w:t>Sponsorship for the Faculty of Economics Skopje at the University of St. Cyril and Methodius - Skopje</w:t>
      </w:r>
    </w:p>
    <w:p w14:paraId="46888BB5" w14:textId="77777777" w:rsidR="00EC708E" w:rsidRPr="00BB270C" w:rsidRDefault="00EC708E" w:rsidP="00BB27D7">
      <w:pPr>
        <w:pStyle w:val="Subtitle1"/>
        <w:numPr>
          <w:ilvl w:val="0"/>
          <w:numId w:val="38"/>
        </w:numPr>
        <w:shd w:val="clear" w:color="auto" w:fill="FFFFFF"/>
        <w:spacing w:after="0" w:line="276" w:lineRule="auto"/>
        <w:jc w:val="both"/>
      </w:pPr>
      <w:r w:rsidRPr="00BB270C">
        <w:t>Sponsorship of the Chamber of Commerce of North Macedonia</w:t>
      </w:r>
    </w:p>
    <w:p w14:paraId="7F6484E1" w14:textId="77777777" w:rsidR="00EC708E" w:rsidRPr="00BB270C" w:rsidRDefault="00EC708E" w:rsidP="00BB27D7">
      <w:pPr>
        <w:pStyle w:val="Subtitle1"/>
        <w:numPr>
          <w:ilvl w:val="0"/>
          <w:numId w:val="38"/>
        </w:numPr>
        <w:shd w:val="clear" w:color="auto" w:fill="FFFFFF"/>
        <w:spacing w:after="0" w:line="276" w:lineRule="auto"/>
        <w:jc w:val="both"/>
      </w:pPr>
      <w:r w:rsidRPr="00BB270C">
        <w:t>Sponsorship of the Northwest Chamber of Commerce of North Macedonia</w:t>
      </w:r>
    </w:p>
    <w:p w14:paraId="4E4A9BAE" w14:textId="77777777" w:rsidR="00EC708E" w:rsidRPr="00BB270C" w:rsidRDefault="00EC708E" w:rsidP="00BB27D7">
      <w:pPr>
        <w:pStyle w:val="Subtitle1"/>
        <w:numPr>
          <w:ilvl w:val="0"/>
          <w:numId w:val="38"/>
        </w:numPr>
        <w:shd w:val="clear" w:color="auto" w:fill="FFFFFF"/>
        <w:spacing w:after="0" w:line="276" w:lineRule="auto"/>
        <w:jc w:val="both"/>
      </w:pPr>
      <w:r w:rsidRPr="00BB270C">
        <w:t>Sponsorship of the Skopje Economic and Financial Forum</w:t>
      </w:r>
    </w:p>
    <w:p w14:paraId="1F434A70" w14:textId="77777777" w:rsidR="00EC708E" w:rsidRPr="00BB270C" w:rsidRDefault="00EC708E" w:rsidP="00BB27D7">
      <w:pPr>
        <w:pStyle w:val="Subtitle1"/>
        <w:numPr>
          <w:ilvl w:val="0"/>
          <w:numId w:val="38"/>
        </w:numPr>
        <w:shd w:val="clear" w:color="auto" w:fill="FFFFFF"/>
        <w:spacing w:after="0" w:line="276" w:lineRule="auto"/>
        <w:jc w:val="both"/>
      </w:pPr>
      <w:r w:rsidRPr="00BB270C">
        <w:t>Sponsorship of the Balkan Economic Forum</w:t>
      </w:r>
    </w:p>
    <w:p w14:paraId="738B7790" w14:textId="77777777" w:rsidR="00EC708E" w:rsidRPr="00BB270C" w:rsidRDefault="00EC708E" w:rsidP="00BB27D7">
      <w:pPr>
        <w:pStyle w:val="Subtitle1"/>
        <w:numPr>
          <w:ilvl w:val="0"/>
          <w:numId w:val="38"/>
        </w:numPr>
        <w:shd w:val="clear" w:color="auto" w:fill="FFFFFF"/>
        <w:spacing w:after="0" w:line="276" w:lineRule="auto"/>
        <w:jc w:val="both"/>
      </w:pPr>
      <w:r w:rsidRPr="00BB270C">
        <w:t>Annual sponsorship of the Macedonian Olympic Committee</w:t>
      </w:r>
    </w:p>
    <w:p w14:paraId="4876B717" w14:textId="77777777" w:rsidR="00EC708E" w:rsidRPr="00BB270C" w:rsidRDefault="00EC708E" w:rsidP="00BB27D7">
      <w:pPr>
        <w:pStyle w:val="Subtitle1"/>
        <w:numPr>
          <w:ilvl w:val="0"/>
          <w:numId w:val="38"/>
        </w:numPr>
        <w:shd w:val="clear" w:color="auto" w:fill="FFFFFF"/>
        <w:spacing w:after="0" w:line="276" w:lineRule="auto"/>
        <w:jc w:val="both"/>
      </w:pPr>
      <w:r w:rsidRPr="00BB270C">
        <w:t>Valuable sports donations through the vouchers issued by the Sports and Youth Agency.</w:t>
      </w:r>
    </w:p>
    <w:p w14:paraId="0D5AB6DD" w14:textId="77777777" w:rsidR="00EC708E" w:rsidRPr="00BB270C" w:rsidRDefault="00EC708E" w:rsidP="00BB27D7">
      <w:pPr>
        <w:pStyle w:val="Subtitle1"/>
        <w:numPr>
          <w:ilvl w:val="0"/>
          <w:numId w:val="38"/>
        </w:numPr>
        <w:shd w:val="clear" w:color="auto" w:fill="FFFFFF"/>
        <w:spacing w:after="0" w:line="276" w:lineRule="auto"/>
        <w:jc w:val="both"/>
      </w:pPr>
      <w:r w:rsidRPr="00BB270C">
        <w:t>Organized activities for planting flower arrangements on urban areas in Skopje on the occasion of Savings Day and Women's Day - March 8</w:t>
      </w:r>
    </w:p>
    <w:p w14:paraId="6C25F707" w14:textId="77777777" w:rsidR="00EC708E" w:rsidRPr="00BB270C" w:rsidRDefault="00EC708E" w:rsidP="00BB27D7">
      <w:pPr>
        <w:pStyle w:val="Subtitle1"/>
        <w:numPr>
          <w:ilvl w:val="0"/>
          <w:numId w:val="38"/>
        </w:numPr>
        <w:shd w:val="clear" w:color="auto" w:fill="FFFFFF"/>
        <w:spacing w:after="0" w:line="276" w:lineRule="auto"/>
        <w:jc w:val="both"/>
      </w:pPr>
      <w:r w:rsidRPr="00BB270C">
        <w:t>Sponsorship for publishing books of eminent professors and professionals</w:t>
      </w:r>
    </w:p>
    <w:p w14:paraId="0782B0F9" w14:textId="77777777" w:rsidR="00EC708E" w:rsidRPr="00BB270C" w:rsidRDefault="00EC708E" w:rsidP="00BB27D7">
      <w:pPr>
        <w:pStyle w:val="Subtitle1"/>
        <w:numPr>
          <w:ilvl w:val="0"/>
          <w:numId w:val="38"/>
        </w:numPr>
        <w:shd w:val="clear" w:color="auto" w:fill="FFFFFF"/>
        <w:spacing w:after="0" w:line="276" w:lineRule="auto"/>
        <w:jc w:val="both"/>
      </w:pPr>
      <w:r w:rsidRPr="00BB270C">
        <w:lastRenderedPageBreak/>
        <w:t>Donation from the mass event "Ride Right, Ride Healthy" to bicycle parking spaces in 15 high schools</w:t>
      </w:r>
    </w:p>
    <w:p w14:paraId="3BCBE373" w14:textId="77777777" w:rsidR="00EC708E" w:rsidRPr="00BB270C" w:rsidRDefault="00EC708E" w:rsidP="00BB27D7">
      <w:pPr>
        <w:pStyle w:val="Subtitle1"/>
        <w:numPr>
          <w:ilvl w:val="0"/>
          <w:numId w:val="38"/>
        </w:numPr>
        <w:shd w:val="clear" w:color="auto" w:fill="FFFFFF"/>
        <w:spacing w:after="0" w:line="276" w:lineRule="auto"/>
        <w:jc w:val="both"/>
      </w:pPr>
      <w:r w:rsidRPr="00BB270C">
        <w:t xml:space="preserve">The project that we repeat every year with 70 </w:t>
      </w:r>
      <w:proofErr w:type="gramStart"/>
      <w:r w:rsidRPr="00BB270C">
        <w:t>new planted</w:t>
      </w:r>
      <w:proofErr w:type="gramEnd"/>
      <w:r w:rsidRPr="00BB270C">
        <w:t xml:space="preserve"> evergreen trees - procurement of large seedlings of natural Christmas trees for the branches and their planting in nature after the New Year holidays.</w:t>
      </w:r>
    </w:p>
    <w:p w14:paraId="17E185F3" w14:textId="77777777" w:rsidR="00EC708E" w:rsidRPr="00BB270C" w:rsidRDefault="00EC708E" w:rsidP="00BB27D7">
      <w:pPr>
        <w:pStyle w:val="Subtitle1"/>
        <w:numPr>
          <w:ilvl w:val="0"/>
          <w:numId w:val="38"/>
        </w:numPr>
        <w:shd w:val="clear" w:color="auto" w:fill="FFFFFF"/>
        <w:spacing w:after="0" w:line="276" w:lineRule="auto"/>
        <w:jc w:val="both"/>
      </w:pPr>
      <w:r w:rsidRPr="00BB270C">
        <w:t xml:space="preserve">Initiation of a large green project "Green Wall" with planting of 350 perennial trees along the Vardar Quay in a length of 14 km. The "Green Wall" project continues for the next two years and it is planned to have </w:t>
      </w:r>
      <w:proofErr w:type="gramStart"/>
      <w:r w:rsidRPr="00BB270C">
        <w:t>a total of around</w:t>
      </w:r>
      <w:proofErr w:type="gramEnd"/>
      <w:r w:rsidRPr="00BB270C">
        <w:t xml:space="preserve"> 2000 perennial trees planted: oak, Japanese cherry, maple, red maple and others.</w:t>
      </w:r>
    </w:p>
    <w:p w14:paraId="41DC8695" w14:textId="77777777" w:rsidR="00EC708E" w:rsidRDefault="00EC708E" w:rsidP="00BB27D7">
      <w:pPr>
        <w:pStyle w:val="Subtitle1"/>
        <w:shd w:val="clear" w:color="auto" w:fill="FFFFFF"/>
        <w:spacing w:before="0" w:beforeAutospacing="0" w:after="0" w:afterAutospacing="0" w:line="276" w:lineRule="auto"/>
        <w:jc w:val="both"/>
      </w:pPr>
    </w:p>
    <w:p w14:paraId="4423CAA9" w14:textId="77777777" w:rsidR="00EC708E" w:rsidRPr="00BB270C" w:rsidRDefault="00EC708E" w:rsidP="00BB27D7">
      <w:pPr>
        <w:pStyle w:val="Subtitle1"/>
        <w:shd w:val="clear" w:color="auto" w:fill="FFFFFF"/>
        <w:spacing w:before="0" w:beforeAutospacing="0" w:after="0" w:afterAutospacing="0" w:line="276" w:lineRule="auto"/>
        <w:jc w:val="both"/>
      </w:pPr>
      <w:r w:rsidRPr="00BB270C">
        <w:t xml:space="preserve">In conclusion, the CSR strategy of the Bank in 2022 is to play a significant role in the community where it originates and operates and </w:t>
      </w:r>
      <w:proofErr w:type="gramStart"/>
      <w:r w:rsidRPr="00BB270C">
        <w:t>to constantly expand</w:t>
      </w:r>
      <w:proofErr w:type="gramEnd"/>
      <w:r w:rsidRPr="00BB270C">
        <w:t xml:space="preserve"> the support of projects from different segments and activities. All these activities add significantly to the name and value of the company. The bank will continue in the following years to recognize and support projects that are of interest to the wider population.</w:t>
      </w:r>
    </w:p>
    <w:p w14:paraId="2C2288A4" w14:textId="77777777" w:rsidR="00EC708E" w:rsidRPr="00FC6E07" w:rsidRDefault="00EC708E" w:rsidP="00BB27D7">
      <w:pPr>
        <w:spacing w:after="0"/>
        <w:jc w:val="both"/>
        <w:rPr>
          <w:rFonts w:asciiTheme="minorHAnsi" w:hAnsiTheme="minorHAnsi" w:cstheme="minorHAnsi"/>
          <w:lang w:val="mk-MK"/>
        </w:rPr>
      </w:pPr>
    </w:p>
    <w:p w14:paraId="43E0CDD9" w14:textId="77777777" w:rsidR="00EC708E" w:rsidRPr="00C240C6" w:rsidRDefault="00EC708E" w:rsidP="00BB27D7">
      <w:pPr>
        <w:jc w:val="both"/>
        <w:rPr>
          <w:rFonts w:ascii="Times New Roman" w:hAnsi="Times New Roman"/>
          <w:b/>
          <w:sz w:val="24"/>
        </w:rPr>
      </w:pPr>
      <w:r w:rsidRPr="00C240C6">
        <w:rPr>
          <w:rFonts w:ascii="Times New Roman" w:hAnsi="Times New Roman"/>
          <w:b/>
          <w:sz w:val="24"/>
          <w:lang w:val="mk-MK"/>
        </w:rPr>
        <w:t xml:space="preserve">9.а. </w:t>
      </w:r>
      <w:r w:rsidRPr="00C240C6">
        <w:rPr>
          <w:rFonts w:ascii="Times New Roman" w:hAnsi="Times New Roman"/>
          <w:b/>
          <w:sz w:val="24"/>
        </w:rPr>
        <w:t xml:space="preserve">Gender equality and inclusiveness </w:t>
      </w:r>
    </w:p>
    <w:p w14:paraId="2245E89B" w14:textId="38FE157E" w:rsidR="00EC708E" w:rsidRPr="00C240C6" w:rsidRDefault="00EC708E" w:rsidP="00BB27D7">
      <w:pPr>
        <w:jc w:val="both"/>
        <w:rPr>
          <w:rFonts w:ascii="Times New Roman" w:hAnsi="Times New Roman"/>
          <w:sz w:val="24"/>
        </w:rPr>
      </w:pPr>
      <w:r w:rsidRPr="00C240C6">
        <w:rPr>
          <w:rFonts w:ascii="Times New Roman" w:hAnsi="Times New Roman"/>
          <w:sz w:val="24"/>
        </w:rPr>
        <w:t>The governance and operation model of Stopanska banka AD - Skopje is based primarily on a diversity of talents who have the skills, experience and corporate culture to respond to the challenges of banking operations and the needs of customers an</w:t>
      </w:r>
      <w:r>
        <w:rPr>
          <w:rFonts w:ascii="Times New Roman" w:hAnsi="Times New Roman"/>
          <w:sz w:val="24"/>
        </w:rPr>
        <w:t>d all stakeholders of the Bank.</w:t>
      </w:r>
      <w:r w:rsidR="002B6B59">
        <w:rPr>
          <w:rFonts w:ascii="Times New Roman" w:hAnsi="Times New Roman"/>
          <w:sz w:val="24"/>
        </w:rPr>
        <w:t xml:space="preserve"> </w:t>
      </w:r>
      <w:r w:rsidRPr="00C240C6">
        <w:rPr>
          <w:rFonts w:ascii="Times New Roman" w:hAnsi="Times New Roman"/>
          <w:sz w:val="24"/>
        </w:rPr>
        <w:t>Through various programs and activities, the Bank continuously encourages an inclusive work</w:t>
      </w:r>
      <w:r>
        <w:rPr>
          <w:rFonts w:ascii="Times New Roman" w:hAnsi="Times New Roman"/>
          <w:sz w:val="24"/>
        </w:rPr>
        <w:t>ing</w:t>
      </w:r>
      <w:r w:rsidRPr="00C240C6">
        <w:rPr>
          <w:rFonts w:ascii="Times New Roman" w:hAnsi="Times New Roman"/>
          <w:sz w:val="24"/>
        </w:rPr>
        <w:t xml:space="preserve"> environment where every employee gets an equal chance for </w:t>
      </w:r>
      <w:r>
        <w:rPr>
          <w:rFonts w:ascii="Times New Roman" w:hAnsi="Times New Roman"/>
          <w:sz w:val="24"/>
        </w:rPr>
        <w:t>career progress</w:t>
      </w:r>
      <w:r w:rsidRPr="00C240C6">
        <w:rPr>
          <w:rFonts w:ascii="Times New Roman" w:hAnsi="Times New Roman"/>
          <w:sz w:val="24"/>
        </w:rPr>
        <w:t xml:space="preserve"> and </w:t>
      </w:r>
      <w:r>
        <w:rPr>
          <w:rFonts w:ascii="Times New Roman" w:hAnsi="Times New Roman"/>
          <w:sz w:val="24"/>
        </w:rPr>
        <w:t>self-development</w:t>
      </w:r>
      <w:r w:rsidRPr="00C240C6">
        <w:rPr>
          <w:rFonts w:ascii="Times New Roman" w:hAnsi="Times New Roman"/>
          <w:sz w:val="24"/>
        </w:rPr>
        <w:t>, without discrimination on any basis. Suc</w:t>
      </w:r>
      <w:r>
        <w:rPr>
          <w:rFonts w:ascii="Times New Roman" w:hAnsi="Times New Roman"/>
          <w:sz w:val="24"/>
        </w:rPr>
        <w:t>h principles the Bank continuously</w:t>
      </w:r>
      <w:r w:rsidRPr="00C240C6">
        <w:rPr>
          <w:rFonts w:ascii="Times New Roman" w:hAnsi="Times New Roman"/>
          <w:sz w:val="24"/>
        </w:rPr>
        <w:t xml:space="preserve"> incorporate</w:t>
      </w:r>
      <w:r>
        <w:rPr>
          <w:rFonts w:ascii="Times New Roman" w:hAnsi="Times New Roman"/>
          <w:sz w:val="24"/>
        </w:rPr>
        <w:t>s</w:t>
      </w:r>
      <w:r w:rsidRPr="00C240C6">
        <w:rPr>
          <w:rFonts w:ascii="Times New Roman" w:hAnsi="Times New Roman"/>
          <w:sz w:val="24"/>
        </w:rPr>
        <w:t xml:space="preserve"> and promote</w:t>
      </w:r>
      <w:r>
        <w:rPr>
          <w:rFonts w:ascii="Times New Roman" w:hAnsi="Times New Roman"/>
          <w:sz w:val="24"/>
        </w:rPr>
        <w:t>s</w:t>
      </w:r>
      <w:r w:rsidRPr="00C240C6">
        <w:rPr>
          <w:rFonts w:ascii="Times New Roman" w:hAnsi="Times New Roman"/>
          <w:sz w:val="24"/>
        </w:rPr>
        <w:t xml:space="preserve"> in all processes, including in the recruitment, training, development and retention of employees.</w:t>
      </w:r>
    </w:p>
    <w:p w14:paraId="6EF955ED" w14:textId="77777777" w:rsidR="00EC708E" w:rsidRPr="00C240C6" w:rsidRDefault="00EC708E" w:rsidP="00BB27D7">
      <w:pPr>
        <w:jc w:val="both"/>
        <w:rPr>
          <w:rFonts w:ascii="Times New Roman" w:hAnsi="Times New Roman"/>
          <w:sz w:val="24"/>
        </w:rPr>
      </w:pPr>
      <w:r w:rsidRPr="00C240C6">
        <w:rPr>
          <w:rFonts w:ascii="Times New Roman" w:hAnsi="Times New Roman"/>
          <w:sz w:val="24"/>
        </w:rPr>
        <w:t xml:space="preserve">In this direction, from the aspect of gender equality and inclusiveness, the Bank has a </w:t>
      </w:r>
      <w:r w:rsidRPr="00C240C6">
        <w:rPr>
          <w:rFonts w:ascii="Times New Roman" w:hAnsi="Times New Roman"/>
          <w:b/>
          <w:sz w:val="24"/>
        </w:rPr>
        <w:t>well-balanced gender structure at all levels</w:t>
      </w:r>
      <w:r w:rsidRPr="00C240C6">
        <w:rPr>
          <w:rFonts w:ascii="Times New Roman" w:hAnsi="Times New Roman"/>
          <w:sz w:val="24"/>
        </w:rPr>
        <w:t>. Any "imbalance" at a certain level, including within the Bank's bodies, is due to the specific circumstances (existing staff</w:t>
      </w:r>
      <w:r>
        <w:rPr>
          <w:rFonts w:ascii="Times New Roman" w:hAnsi="Times New Roman"/>
          <w:sz w:val="24"/>
        </w:rPr>
        <w:t xml:space="preserve"> gender composition</w:t>
      </w:r>
      <w:r w:rsidRPr="00C240C6">
        <w:rPr>
          <w:rFonts w:ascii="Times New Roman" w:hAnsi="Times New Roman"/>
          <w:sz w:val="24"/>
        </w:rPr>
        <w:t>, available candidates for new jobs, the Bank's needs, etc.), regulatory requirements and commitment to promoting the best talent in the given period regardless of gender or other type of affiliation.</w:t>
      </w:r>
    </w:p>
    <w:p w14:paraId="6E625A35" w14:textId="77777777" w:rsidR="00EC708E" w:rsidRPr="00C240C6" w:rsidRDefault="00EC708E" w:rsidP="00BB27D7">
      <w:pPr>
        <w:jc w:val="both"/>
        <w:rPr>
          <w:rFonts w:ascii="Times New Roman" w:hAnsi="Times New Roman"/>
          <w:sz w:val="24"/>
        </w:rPr>
      </w:pPr>
      <w:r w:rsidRPr="00C240C6">
        <w:rPr>
          <w:rFonts w:ascii="Times New Roman" w:hAnsi="Times New Roman"/>
          <w:sz w:val="24"/>
        </w:rPr>
        <w:t xml:space="preserve">Consequently, at the level of the entire Bank, i.e. from the total number of </w:t>
      </w:r>
      <w:r>
        <w:rPr>
          <w:rFonts w:ascii="Times New Roman" w:hAnsi="Times New Roman"/>
          <w:sz w:val="24"/>
        </w:rPr>
        <w:t xml:space="preserve">942 </w:t>
      </w:r>
      <w:r w:rsidRPr="00C240C6">
        <w:rPr>
          <w:rFonts w:ascii="Times New Roman" w:hAnsi="Times New Roman"/>
          <w:sz w:val="24"/>
        </w:rPr>
        <w:t xml:space="preserve">employees in Stopanska </w:t>
      </w:r>
      <w:proofErr w:type="gramStart"/>
      <w:r w:rsidRPr="00C240C6">
        <w:rPr>
          <w:rFonts w:ascii="Times New Roman" w:hAnsi="Times New Roman"/>
          <w:sz w:val="24"/>
        </w:rPr>
        <w:t>banka</w:t>
      </w:r>
      <w:proofErr w:type="gramEnd"/>
      <w:r w:rsidRPr="00C240C6">
        <w:rPr>
          <w:rFonts w:ascii="Times New Roman" w:hAnsi="Times New Roman"/>
          <w:sz w:val="24"/>
        </w:rPr>
        <w:t xml:space="preserve"> AD - Skopje as of 31.12.2022:</w:t>
      </w:r>
    </w:p>
    <w:p w14:paraId="4E2B9FDC" w14:textId="77777777" w:rsidR="00EC708E" w:rsidRDefault="00EC708E" w:rsidP="00BB27D7">
      <w:pPr>
        <w:jc w:val="both"/>
        <w:rPr>
          <w:rFonts w:ascii="Times New Roman" w:hAnsi="Times New Roman"/>
          <w:sz w:val="24"/>
        </w:rPr>
      </w:pPr>
      <w:r w:rsidRPr="00C240C6">
        <w:rPr>
          <w:rFonts w:ascii="Times New Roman" w:hAnsi="Times New Roman"/>
          <w:sz w:val="24"/>
        </w:rPr>
        <w:t xml:space="preserve">- 306 are men, </w:t>
      </w:r>
      <w:proofErr w:type="spellStart"/>
      <w:r w:rsidRPr="00C240C6">
        <w:rPr>
          <w:rFonts w:ascii="Times New Roman" w:hAnsi="Times New Roman"/>
          <w:sz w:val="24"/>
        </w:rPr>
        <w:t>ie</w:t>
      </w:r>
      <w:proofErr w:type="spellEnd"/>
      <w:r w:rsidRPr="00C240C6">
        <w:rPr>
          <w:rFonts w:ascii="Times New Roman" w:hAnsi="Times New Roman"/>
          <w:sz w:val="24"/>
        </w:rPr>
        <w:t xml:space="preserve"> 32%, and 636 are women, </w:t>
      </w:r>
      <w:proofErr w:type="spellStart"/>
      <w:r w:rsidRPr="00C240C6">
        <w:rPr>
          <w:rFonts w:ascii="Times New Roman" w:hAnsi="Times New Roman"/>
          <w:sz w:val="24"/>
        </w:rPr>
        <w:t>ie</w:t>
      </w:r>
      <w:proofErr w:type="spellEnd"/>
      <w:r w:rsidRPr="00C240C6">
        <w:rPr>
          <w:rFonts w:ascii="Times New Roman" w:hAnsi="Times New Roman"/>
          <w:sz w:val="24"/>
        </w:rPr>
        <w:t xml:space="preserve"> 68%.</w:t>
      </w:r>
    </w:p>
    <w:p w14:paraId="7AA09774" w14:textId="77777777" w:rsidR="00EC708E" w:rsidRPr="00C240C6" w:rsidRDefault="00EC708E" w:rsidP="00BB27D7">
      <w:pPr>
        <w:jc w:val="center"/>
        <w:rPr>
          <w:rFonts w:ascii="Times New Roman" w:hAnsi="Times New Roman"/>
          <w:sz w:val="24"/>
        </w:rPr>
      </w:pPr>
      <w:r>
        <w:rPr>
          <w:noProof/>
        </w:rPr>
        <w:lastRenderedPageBreak/>
        <w:drawing>
          <wp:inline distT="0" distB="0" distL="0" distR="0" wp14:anchorId="0ED3EE15" wp14:editId="1D97F2F2">
            <wp:extent cx="4427621" cy="1896110"/>
            <wp:effectExtent l="0" t="0" r="11430" b="889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DDF49DA" w14:textId="77777777" w:rsidR="00EC708E" w:rsidRPr="006A6446" w:rsidRDefault="00EC708E" w:rsidP="00BB27D7">
      <w:pPr>
        <w:spacing w:after="0"/>
        <w:jc w:val="both"/>
        <w:rPr>
          <w:rFonts w:ascii="Times New Roman" w:hAnsi="Times New Roman"/>
          <w:sz w:val="24"/>
          <w:szCs w:val="24"/>
        </w:rPr>
      </w:pPr>
      <w:r w:rsidRPr="006A6446">
        <w:rPr>
          <w:rFonts w:ascii="Times New Roman" w:hAnsi="Times New Roman"/>
          <w:sz w:val="24"/>
          <w:szCs w:val="24"/>
        </w:rPr>
        <w:t>The Bank has the same gender structure in relation to persons with special rights and responsibilities (so-called senior management), excluding the bodies listed below, that is:</w:t>
      </w:r>
    </w:p>
    <w:p w14:paraId="7A213531" w14:textId="77777777" w:rsidR="00EC708E" w:rsidRPr="006A6446" w:rsidRDefault="00EC708E" w:rsidP="00BB27D7">
      <w:pPr>
        <w:pStyle w:val="ListParagraph"/>
        <w:numPr>
          <w:ilvl w:val="0"/>
          <w:numId w:val="32"/>
        </w:numPr>
        <w:spacing w:line="276" w:lineRule="auto"/>
        <w:jc w:val="both"/>
      </w:pPr>
      <w:proofErr w:type="gramStart"/>
      <w:r w:rsidRPr="006A6446">
        <w:t>20</w:t>
      </w:r>
      <w:proofErr w:type="gramEnd"/>
      <w:r w:rsidRPr="006A6446">
        <w:t xml:space="preserve"> </w:t>
      </w:r>
      <w:r>
        <w:t>managers</w:t>
      </w:r>
      <w:r w:rsidRPr="006A6446">
        <w:t xml:space="preserve">/deputy </w:t>
      </w:r>
      <w:r>
        <w:t>managers of divisions</w:t>
      </w:r>
      <w:r w:rsidRPr="006A6446">
        <w:t xml:space="preserve"> are women (63%).</w:t>
      </w:r>
    </w:p>
    <w:p w14:paraId="67028286" w14:textId="77777777" w:rsidR="00EC708E" w:rsidRPr="006A6446" w:rsidRDefault="00EC708E" w:rsidP="00BB27D7">
      <w:pPr>
        <w:pStyle w:val="ListParagraph"/>
        <w:numPr>
          <w:ilvl w:val="0"/>
          <w:numId w:val="32"/>
        </w:numPr>
        <w:spacing w:line="276" w:lineRule="auto"/>
        <w:jc w:val="both"/>
      </w:pPr>
      <w:proofErr w:type="gramStart"/>
      <w:r w:rsidRPr="006A6446">
        <w:t>12</w:t>
      </w:r>
      <w:proofErr w:type="gramEnd"/>
      <w:r w:rsidRPr="006A6446">
        <w:t xml:space="preserve"> </w:t>
      </w:r>
      <w:r>
        <w:t>managers</w:t>
      </w:r>
      <w:r w:rsidRPr="006A6446">
        <w:t xml:space="preserve">/deputy </w:t>
      </w:r>
      <w:r>
        <w:t>managers of divisions</w:t>
      </w:r>
      <w:r w:rsidRPr="006A6446">
        <w:t xml:space="preserve"> are men (37%).</w:t>
      </w:r>
    </w:p>
    <w:p w14:paraId="665633E8" w14:textId="77777777" w:rsidR="00EC708E" w:rsidRPr="006A6446" w:rsidRDefault="00EC708E" w:rsidP="00BB27D7">
      <w:pPr>
        <w:spacing w:after="0"/>
        <w:jc w:val="both"/>
        <w:rPr>
          <w:rFonts w:ascii="Times New Roman" w:hAnsi="Times New Roman"/>
          <w:sz w:val="24"/>
          <w:szCs w:val="24"/>
        </w:rPr>
      </w:pPr>
    </w:p>
    <w:p w14:paraId="14123455" w14:textId="77777777" w:rsidR="00EC708E" w:rsidRPr="009A1E6F" w:rsidRDefault="00EC708E" w:rsidP="00BB27D7">
      <w:pPr>
        <w:spacing w:after="0"/>
        <w:jc w:val="both"/>
        <w:rPr>
          <w:rFonts w:ascii="Times New Roman" w:hAnsi="Times New Roman"/>
          <w:sz w:val="24"/>
          <w:szCs w:val="24"/>
        </w:rPr>
      </w:pPr>
      <w:r w:rsidRPr="006A6446">
        <w:rPr>
          <w:rFonts w:ascii="Times New Roman" w:hAnsi="Times New Roman"/>
          <w:sz w:val="24"/>
          <w:szCs w:val="24"/>
        </w:rPr>
        <w:t xml:space="preserve">In relation to the bodies of the Bank, i.e. in the context of the recommendation of the </w:t>
      </w:r>
      <w:r>
        <w:rPr>
          <w:rFonts w:ascii="Times New Roman" w:hAnsi="Times New Roman"/>
          <w:sz w:val="24"/>
          <w:szCs w:val="24"/>
        </w:rPr>
        <w:t>Corporate Governance Code</w:t>
      </w:r>
      <w:r w:rsidRPr="006A6446">
        <w:rPr>
          <w:rFonts w:ascii="Times New Roman" w:hAnsi="Times New Roman"/>
          <w:sz w:val="24"/>
          <w:szCs w:val="24"/>
        </w:rPr>
        <w:t xml:space="preserve"> for listed companies on the Macedonian Stock Exchange for gender equality by 2025, which promotes at least 30% of women in the bodies of listed companies, in 2022 the </w:t>
      </w:r>
      <w:proofErr w:type="gramStart"/>
      <w:r w:rsidRPr="006A6446">
        <w:rPr>
          <w:rFonts w:ascii="Times New Roman" w:hAnsi="Times New Roman"/>
          <w:sz w:val="24"/>
          <w:szCs w:val="24"/>
        </w:rPr>
        <w:t>Bank</w:t>
      </w:r>
      <w:proofErr w:type="gramEnd"/>
      <w:r w:rsidRPr="006A6446">
        <w:rPr>
          <w:rFonts w:ascii="Times New Roman" w:hAnsi="Times New Roman"/>
          <w:sz w:val="24"/>
          <w:szCs w:val="24"/>
        </w:rPr>
        <w:t xml:space="preserve"> has the following situation:</w:t>
      </w:r>
    </w:p>
    <w:p w14:paraId="196E6DAF" w14:textId="77777777" w:rsidR="00EC708E" w:rsidRDefault="00EC708E" w:rsidP="00BB27D7">
      <w:pPr>
        <w:spacing w:after="0"/>
        <w:jc w:val="both"/>
        <w:rPr>
          <w:rFonts w:ascii="Times New Roman" w:hAnsi="Times New Roman"/>
          <w:sz w:val="24"/>
          <w:szCs w:val="24"/>
        </w:rPr>
      </w:pPr>
    </w:p>
    <w:tbl>
      <w:tblPr>
        <w:tblStyle w:val="TableGridLight"/>
        <w:tblW w:w="9265" w:type="dxa"/>
        <w:tblLook w:val="04A0" w:firstRow="1" w:lastRow="0" w:firstColumn="1" w:lastColumn="0" w:noHBand="0" w:noVBand="1"/>
      </w:tblPr>
      <w:tblGrid>
        <w:gridCol w:w="2388"/>
        <w:gridCol w:w="1080"/>
        <w:gridCol w:w="1093"/>
        <w:gridCol w:w="780"/>
        <w:gridCol w:w="3924"/>
      </w:tblGrid>
      <w:tr w:rsidR="00EC708E" w14:paraId="24CFE957" w14:textId="77777777" w:rsidTr="00EC708E">
        <w:tc>
          <w:tcPr>
            <w:tcW w:w="2404" w:type="dxa"/>
            <w:shd w:val="clear" w:color="auto" w:fill="F2F2F2" w:themeFill="background1" w:themeFillShade="F2"/>
          </w:tcPr>
          <w:p w14:paraId="3C728D05" w14:textId="77777777" w:rsidR="00EC708E" w:rsidRPr="006A6446" w:rsidRDefault="00EC708E" w:rsidP="00BB27D7">
            <w:pPr>
              <w:jc w:val="both"/>
              <w:rPr>
                <w:rFonts w:asciiTheme="minorHAnsi" w:hAnsiTheme="minorHAnsi" w:cstheme="minorHAnsi"/>
                <w:b/>
              </w:rPr>
            </w:pPr>
            <w:r>
              <w:rPr>
                <w:rFonts w:asciiTheme="minorHAnsi" w:hAnsiTheme="minorHAnsi" w:cstheme="minorHAnsi"/>
                <w:b/>
              </w:rPr>
              <w:t>Statutory body</w:t>
            </w:r>
          </w:p>
        </w:tc>
        <w:tc>
          <w:tcPr>
            <w:tcW w:w="1079" w:type="dxa"/>
            <w:shd w:val="clear" w:color="auto" w:fill="F2F2F2" w:themeFill="background1" w:themeFillShade="F2"/>
          </w:tcPr>
          <w:p w14:paraId="1198C65F" w14:textId="77777777" w:rsidR="00EC708E" w:rsidRPr="006A6446" w:rsidRDefault="00EC708E" w:rsidP="00BB27D7">
            <w:pPr>
              <w:jc w:val="both"/>
              <w:rPr>
                <w:rFonts w:asciiTheme="minorHAnsi" w:hAnsiTheme="minorHAnsi" w:cstheme="minorHAnsi"/>
                <w:b/>
              </w:rPr>
            </w:pPr>
            <w:r>
              <w:rPr>
                <w:rFonts w:asciiTheme="minorHAnsi" w:hAnsiTheme="minorHAnsi" w:cstheme="minorHAnsi"/>
                <w:b/>
              </w:rPr>
              <w:t>Total members</w:t>
            </w:r>
          </w:p>
        </w:tc>
        <w:tc>
          <w:tcPr>
            <w:tcW w:w="1038" w:type="dxa"/>
            <w:shd w:val="clear" w:color="auto" w:fill="F2F2F2" w:themeFill="background1" w:themeFillShade="F2"/>
          </w:tcPr>
          <w:p w14:paraId="2CFEDDEA" w14:textId="77777777" w:rsidR="00EC708E" w:rsidRPr="006A6446" w:rsidRDefault="00EC708E" w:rsidP="00BB27D7">
            <w:pPr>
              <w:jc w:val="both"/>
              <w:rPr>
                <w:rFonts w:asciiTheme="minorHAnsi" w:hAnsiTheme="minorHAnsi" w:cstheme="minorHAnsi"/>
                <w:b/>
              </w:rPr>
            </w:pPr>
            <w:r>
              <w:rPr>
                <w:rFonts w:asciiTheme="minorHAnsi" w:hAnsiTheme="minorHAnsi" w:cstheme="minorHAnsi"/>
                <w:b/>
              </w:rPr>
              <w:t>Members – woman</w:t>
            </w:r>
          </w:p>
        </w:tc>
        <w:tc>
          <w:tcPr>
            <w:tcW w:w="784" w:type="dxa"/>
            <w:shd w:val="clear" w:color="auto" w:fill="F2F2F2" w:themeFill="background1" w:themeFillShade="F2"/>
          </w:tcPr>
          <w:p w14:paraId="489424B6" w14:textId="77777777" w:rsidR="00EC708E" w:rsidRPr="006B71FF" w:rsidRDefault="00EC708E" w:rsidP="00BB27D7">
            <w:pPr>
              <w:jc w:val="both"/>
              <w:rPr>
                <w:rFonts w:asciiTheme="minorHAnsi" w:hAnsiTheme="minorHAnsi" w:cstheme="minorHAnsi"/>
                <w:b/>
                <w:lang w:val="mk-MK"/>
              </w:rPr>
            </w:pPr>
            <w:r w:rsidRPr="006B71FF">
              <w:rPr>
                <w:rFonts w:asciiTheme="minorHAnsi" w:hAnsiTheme="minorHAnsi" w:cstheme="minorHAnsi"/>
                <w:b/>
                <w:lang w:val="mk-MK"/>
              </w:rPr>
              <w:t>%</w:t>
            </w:r>
          </w:p>
        </w:tc>
        <w:tc>
          <w:tcPr>
            <w:tcW w:w="3960" w:type="dxa"/>
            <w:shd w:val="clear" w:color="auto" w:fill="F2F2F2" w:themeFill="background1" w:themeFillShade="F2"/>
          </w:tcPr>
          <w:p w14:paraId="765137A0" w14:textId="77777777" w:rsidR="00EC708E" w:rsidRPr="006B71FF" w:rsidRDefault="00EC708E" w:rsidP="00BB27D7">
            <w:pPr>
              <w:rPr>
                <w:rFonts w:asciiTheme="minorHAnsi" w:hAnsiTheme="minorHAnsi" w:cstheme="minorHAnsi"/>
                <w:b/>
                <w:lang w:val="mk-MK"/>
              </w:rPr>
            </w:pPr>
            <w:r>
              <w:rPr>
                <w:rFonts w:asciiTheme="minorHAnsi" w:hAnsiTheme="minorHAnsi" w:cstheme="minorHAnsi"/>
                <w:b/>
              </w:rPr>
              <w:t xml:space="preserve">Measures for implementation of the recommendation for 30% gender equality </w:t>
            </w:r>
          </w:p>
        </w:tc>
      </w:tr>
      <w:tr w:rsidR="00EC708E" w14:paraId="7B8867B7" w14:textId="77777777" w:rsidTr="00EC708E">
        <w:tc>
          <w:tcPr>
            <w:tcW w:w="2404" w:type="dxa"/>
          </w:tcPr>
          <w:p w14:paraId="57377DF4" w14:textId="77777777" w:rsidR="00EC708E" w:rsidRPr="006A6446" w:rsidRDefault="00EC708E" w:rsidP="00BB27D7">
            <w:pPr>
              <w:jc w:val="both"/>
              <w:rPr>
                <w:rFonts w:asciiTheme="minorHAnsi" w:hAnsiTheme="minorHAnsi" w:cstheme="minorHAnsi"/>
                <w:sz w:val="20"/>
              </w:rPr>
            </w:pPr>
            <w:r>
              <w:rPr>
                <w:rFonts w:asciiTheme="minorHAnsi" w:hAnsiTheme="minorHAnsi" w:cstheme="minorHAnsi"/>
                <w:sz w:val="20"/>
              </w:rPr>
              <w:t>Supervisory Board</w:t>
            </w:r>
          </w:p>
        </w:tc>
        <w:tc>
          <w:tcPr>
            <w:tcW w:w="1079" w:type="dxa"/>
          </w:tcPr>
          <w:p w14:paraId="06E7E132" w14:textId="77777777" w:rsidR="00EC708E" w:rsidRPr="006B71FF" w:rsidRDefault="00EC708E" w:rsidP="00BB27D7">
            <w:pPr>
              <w:jc w:val="center"/>
              <w:rPr>
                <w:rFonts w:asciiTheme="minorHAnsi" w:hAnsiTheme="minorHAnsi" w:cstheme="minorHAnsi"/>
                <w:sz w:val="20"/>
                <w:lang w:val="mk-MK"/>
              </w:rPr>
            </w:pPr>
            <w:r w:rsidRPr="006B71FF">
              <w:rPr>
                <w:rFonts w:asciiTheme="minorHAnsi" w:hAnsiTheme="minorHAnsi" w:cstheme="minorHAnsi"/>
                <w:sz w:val="20"/>
                <w:lang w:val="mk-MK"/>
              </w:rPr>
              <w:t>7</w:t>
            </w:r>
          </w:p>
        </w:tc>
        <w:tc>
          <w:tcPr>
            <w:tcW w:w="1038" w:type="dxa"/>
          </w:tcPr>
          <w:p w14:paraId="08B6EFB1" w14:textId="77777777" w:rsidR="00EC708E" w:rsidRPr="006B71FF" w:rsidRDefault="00EC708E" w:rsidP="00BB27D7">
            <w:pPr>
              <w:jc w:val="center"/>
              <w:rPr>
                <w:rFonts w:asciiTheme="minorHAnsi" w:hAnsiTheme="minorHAnsi" w:cstheme="minorHAnsi"/>
                <w:sz w:val="20"/>
                <w:lang w:val="mk-MK"/>
              </w:rPr>
            </w:pPr>
            <w:r w:rsidRPr="006B71FF">
              <w:rPr>
                <w:rFonts w:asciiTheme="minorHAnsi" w:hAnsiTheme="minorHAnsi" w:cstheme="minorHAnsi"/>
                <w:sz w:val="20"/>
                <w:lang w:val="mk-MK"/>
              </w:rPr>
              <w:t>1</w:t>
            </w:r>
          </w:p>
        </w:tc>
        <w:tc>
          <w:tcPr>
            <w:tcW w:w="784" w:type="dxa"/>
          </w:tcPr>
          <w:p w14:paraId="6D161970" w14:textId="77777777" w:rsidR="00EC708E" w:rsidRPr="006B71FF" w:rsidRDefault="00EC708E" w:rsidP="00BB27D7">
            <w:pPr>
              <w:jc w:val="center"/>
              <w:rPr>
                <w:rFonts w:asciiTheme="minorHAnsi" w:hAnsiTheme="minorHAnsi" w:cstheme="minorHAnsi"/>
                <w:sz w:val="20"/>
                <w:lang w:val="mk-MK"/>
              </w:rPr>
            </w:pPr>
            <w:r w:rsidRPr="006B71FF">
              <w:rPr>
                <w:rFonts w:asciiTheme="minorHAnsi" w:hAnsiTheme="minorHAnsi" w:cstheme="minorHAnsi"/>
                <w:sz w:val="20"/>
                <w:lang w:val="mk-MK"/>
              </w:rPr>
              <w:t>15%</w:t>
            </w:r>
          </w:p>
        </w:tc>
        <w:tc>
          <w:tcPr>
            <w:tcW w:w="3960" w:type="dxa"/>
          </w:tcPr>
          <w:p w14:paraId="03DACA1D" w14:textId="77777777" w:rsidR="00EC708E" w:rsidRPr="005E00B3" w:rsidRDefault="00EC708E" w:rsidP="00BB27D7">
            <w:pPr>
              <w:jc w:val="both"/>
              <w:rPr>
                <w:rFonts w:asciiTheme="minorHAnsi" w:hAnsiTheme="minorHAnsi" w:cstheme="minorHAnsi"/>
                <w:sz w:val="20"/>
              </w:rPr>
            </w:pPr>
            <w:r>
              <w:rPr>
                <w:rFonts w:asciiTheme="minorHAnsi" w:hAnsiTheme="minorHAnsi" w:cstheme="minorHAnsi"/>
                <w:sz w:val="20"/>
              </w:rPr>
              <w:t xml:space="preserve">During the future appointments of members of Supervisory Board, the Bank will take into consideration the current structure of the board, and the gender composition will be one of the criteria in the profiling of the future members. </w:t>
            </w:r>
          </w:p>
        </w:tc>
      </w:tr>
      <w:tr w:rsidR="00EC708E" w14:paraId="2174672E" w14:textId="77777777" w:rsidTr="00EC708E">
        <w:trPr>
          <w:trHeight w:val="1313"/>
        </w:trPr>
        <w:tc>
          <w:tcPr>
            <w:tcW w:w="2404" w:type="dxa"/>
          </w:tcPr>
          <w:p w14:paraId="3AFFC5A0" w14:textId="77777777" w:rsidR="00EC708E" w:rsidRPr="006A6446" w:rsidRDefault="00EC708E" w:rsidP="00BB27D7">
            <w:pPr>
              <w:jc w:val="both"/>
              <w:rPr>
                <w:rFonts w:asciiTheme="minorHAnsi" w:hAnsiTheme="minorHAnsi" w:cstheme="minorHAnsi"/>
                <w:sz w:val="20"/>
              </w:rPr>
            </w:pPr>
            <w:r>
              <w:rPr>
                <w:rFonts w:asciiTheme="minorHAnsi" w:hAnsiTheme="minorHAnsi" w:cstheme="minorHAnsi"/>
                <w:sz w:val="20"/>
              </w:rPr>
              <w:t>Audit Committee</w:t>
            </w:r>
          </w:p>
        </w:tc>
        <w:tc>
          <w:tcPr>
            <w:tcW w:w="1079" w:type="dxa"/>
          </w:tcPr>
          <w:p w14:paraId="014D6591" w14:textId="77777777" w:rsidR="00EC708E" w:rsidRPr="006B71FF" w:rsidRDefault="00EC708E" w:rsidP="00BB27D7">
            <w:pPr>
              <w:jc w:val="center"/>
              <w:rPr>
                <w:rFonts w:asciiTheme="minorHAnsi" w:hAnsiTheme="minorHAnsi" w:cstheme="minorHAnsi"/>
                <w:sz w:val="20"/>
                <w:lang w:val="mk-MK"/>
              </w:rPr>
            </w:pPr>
            <w:r w:rsidRPr="006B71FF">
              <w:rPr>
                <w:rFonts w:asciiTheme="minorHAnsi" w:hAnsiTheme="minorHAnsi" w:cstheme="minorHAnsi"/>
                <w:sz w:val="20"/>
                <w:lang w:val="mk-MK"/>
              </w:rPr>
              <w:t>5</w:t>
            </w:r>
          </w:p>
        </w:tc>
        <w:tc>
          <w:tcPr>
            <w:tcW w:w="1038" w:type="dxa"/>
          </w:tcPr>
          <w:p w14:paraId="113E285F" w14:textId="77777777" w:rsidR="00EC708E" w:rsidRPr="006B71FF" w:rsidRDefault="00EC708E" w:rsidP="00BB27D7">
            <w:pPr>
              <w:jc w:val="center"/>
              <w:rPr>
                <w:rFonts w:asciiTheme="minorHAnsi" w:hAnsiTheme="minorHAnsi" w:cstheme="minorHAnsi"/>
                <w:sz w:val="20"/>
                <w:lang w:val="mk-MK"/>
              </w:rPr>
            </w:pPr>
            <w:r w:rsidRPr="006B71FF">
              <w:rPr>
                <w:rFonts w:asciiTheme="minorHAnsi" w:hAnsiTheme="minorHAnsi" w:cstheme="minorHAnsi"/>
                <w:sz w:val="20"/>
                <w:lang w:val="mk-MK"/>
              </w:rPr>
              <w:t>2</w:t>
            </w:r>
          </w:p>
        </w:tc>
        <w:tc>
          <w:tcPr>
            <w:tcW w:w="784" w:type="dxa"/>
          </w:tcPr>
          <w:p w14:paraId="189F7CF0" w14:textId="77777777" w:rsidR="00EC708E" w:rsidRPr="006B71FF" w:rsidRDefault="00EC708E" w:rsidP="00BB27D7">
            <w:pPr>
              <w:jc w:val="center"/>
              <w:rPr>
                <w:rFonts w:asciiTheme="minorHAnsi" w:hAnsiTheme="minorHAnsi" w:cstheme="minorHAnsi"/>
                <w:sz w:val="20"/>
                <w:lang w:val="mk-MK"/>
              </w:rPr>
            </w:pPr>
            <w:r w:rsidRPr="006B71FF">
              <w:rPr>
                <w:rFonts w:asciiTheme="minorHAnsi" w:hAnsiTheme="minorHAnsi" w:cstheme="minorHAnsi"/>
                <w:sz w:val="20"/>
                <w:lang w:val="mk-MK"/>
              </w:rPr>
              <w:t>40%</w:t>
            </w:r>
          </w:p>
        </w:tc>
        <w:tc>
          <w:tcPr>
            <w:tcW w:w="3960" w:type="dxa"/>
          </w:tcPr>
          <w:p w14:paraId="3988B98C" w14:textId="77777777" w:rsidR="00EC708E" w:rsidRPr="005E00B3" w:rsidRDefault="00EC708E" w:rsidP="00BB27D7">
            <w:pPr>
              <w:jc w:val="both"/>
              <w:rPr>
                <w:rFonts w:asciiTheme="minorHAnsi" w:hAnsiTheme="minorHAnsi" w:cstheme="minorHAnsi"/>
                <w:b/>
                <w:sz w:val="20"/>
                <w:lang w:val="mk-MK"/>
              </w:rPr>
            </w:pPr>
            <w:r>
              <w:rPr>
                <w:rFonts w:asciiTheme="minorHAnsi" w:hAnsiTheme="minorHAnsi" w:cstheme="minorHAnsi"/>
                <w:b/>
                <w:sz w:val="20"/>
              </w:rPr>
              <w:t xml:space="preserve">The recommendation </w:t>
            </w:r>
            <w:proofErr w:type="gramStart"/>
            <w:r>
              <w:rPr>
                <w:rFonts w:asciiTheme="minorHAnsi" w:hAnsiTheme="minorHAnsi" w:cstheme="minorHAnsi"/>
                <w:b/>
                <w:sz w:val="20"/>
              </w:rPr>
              <w:t>is implemented</w:t>
            </w:r>
            <w:proofErr w:type="gramEnd"/>
            <w:r>
              <w:rPr>
                <w:rFonts w:asciiTheme="minorHAnsi" w:hAnsiTheme="minorHAnsi" w:cstheme="minorHAnsi"/>
                <w:b/>
                <w:sz w:val="20"/>
              </w:rPr>
              <w:t xml:space="preserve">. </w:t>
            </w:r>
          </w:p>
          <w:p w14:paraId="4D431473" w14:textId="77777777" w:rsidR="00EC708E" w:rsidRPr="006A6446" w:rsidRDefault="00EC708E" w:rsidP="00BB27D7">
            <w:pPr>
              <w:jc w:val="both"/>
              <w:rPr>
                <w:rFonts w:asciiTheme="minorHAnsi" w:hAnsiTheme="minorHAnsi" w:cstheme="minorHAnsi"/>
                <w:sz w:val="20"/>
              </w:rPr>
            </w:pPr>
            <w:r>
              <w:rPr>
                <w:rFonts w:asciiTheme="minorHAnsi" w:hAnsiTheme="minorHAnsi" w:cstheme="minorHAnsi"/>
                <w:sz w:val="20"/>
              </w:rPr>
              <w:t xml:space="preserve">The Bank will strive to maintain the current gender balance in the future. </w:t>
            </w:r>
          </w:p>
        </w:tc>
      </w:tr>
      <w:tr w:rsidR="00EC708E" w14:paraId="640B4E64" w14:textId="77777777" w:rsidTr="00EC708E">
        <w:tc>
          <w:tcPr>
            <w:tcW w:w="2404" w:type="dxa"/>
          </w:tcPr>
          <w:p w14:paraId="09A71CAA" w14:textId="77777777" w:rsidR="00EC708E" w:rsidRPr="006A6446" w:rsidRDefault="00EC708E" w:rsidP="00BB27D7">
            <w:pPr>
              <w:jc w:val="both"/>
              <w:rPr>
                <w:rFonts w:asciiTheme="minorHAnsi" w:hAnsiTheme="minorHAnsi" w:cstheme="minorHAnsi"/>
                <w:sz w:val="20"/>
              </w:rPr>
            </w:pPr>
            <w:r>
              <w:rPr>
                <w:rFonts w:asciiTheme="minorHAnsi" w:hAnsiTheme="minorHAnsi" w:cstheme="minorHAnsi"/>
                <w:sz w:val="20"/>
              </w:rPr>
              <w:t>Remuneration Committee</w:t>
            </w:r>
          </w:p>
        </w:tc>
        <w:tc>
          <w:tcPr>
            <w:tcW w:w="1079" w:type="dxa"/>
          </w:tcPr>
          <w:p w14:paraId="6B036E23" w14:textId="77777777" w:rsidR="00EC708E" w:rsidRPr="005E00B3" w:rsidRDefault="00EC708E" w:rsidP="00BB27D7">
            <w:pPr>
              <w:jc w:val="center"/>
              <w:rPr>
                <w:rFonts w:asciiTheme="minorHAnsi" w:hAnsiTheme="minorHAnsi" w:cstheme="minorHAnsi"/>
                <w:sz w:val="20"/>
                <w:lang w:val="mk-MK"/>
              </w:rPr>
            </w:pPr>
            <w:r>
              <w:rPr>
                <w:rFonts w:asciiTheme="minorHAnsi" w:hAnsiTheme="minorHAnsi" w:cstheme="minorHAnsi"/>
                <w:sz w:val="20"/>
                <w:lang w:val="mk-MK"/>
              </w:rPr>
              <w:t>3</w:t>
            </w:r>
          </w:p>
        </w:tc>
        <w:tc>
          <w:tcPr>
            <w:tcW w:w="1038" w:type="dxa"/>
          </w:tcPr>
          <w:p w14:paraId="7DA52062" w14:textId="77777777" w:rsidR="00EC708E" w:rsidRPr="005E00B3" w:rsidRDefault="00EC708E" w:rsidP="00BB27D7">
            <w:pPr>
              <w:jc w:val="center"/>
              <w:rPr>
                <w:rFonts w:asciiTheme="minorHAnsi" w:hAnsiTheme="minorHAnsi" w:cstheme="minorHAnsi"/>
                <w:sz w:val="20"/>
                <w:lang w:val="mk-MK"/>
              </w:rPr>
            </w:pPr>
            <w:r>
              <w:rPr>
                <w:rFonts w:asciiTheme="minorHAnsi" w:hAnsiTheme="minorHAnsi" w:cstheme="minorHAnsi"/>
                <w:sz w:val="20"/>
                <w:lang w:val="mk-MK"/>
              </w:rPr>
              <w:t>-</w:t>
            </w:r>
          </w:p>
        </w:tc>
        <w:tc>
          <w:tcPr>
            <w:tcW w:w="784" w:type="dxa"/>
          </w:tcPr>
          <w:p w14:paraId="42D8508E" w14:textId="77777777" w:rsidR="00EC708E" w:rsidRPr="005E00B3" w:rsidRDefault="00EC708E" w:rsidP="00BB27D7">
            <w:pPr>
              <w:jc w:val="center"/>
              <w:rPr>
                <w:rFonts w:asciiTheme="minorHAnsi" w:hAnsiTheme="minorHAnsi" w:cstheme="minorHAnsi"/>
                <w:sz w:val="20"/>
                <w:lang w:val="mk-MK"/>
              </w:rPr>
            </w:pPr>
            <w:r>
              <w:rPr>
                <w:rFonts w:asciiTheme="minorHAnsi" w:hAnsiTheme="minorHAnsi" w:cstheme="minorHAnsi"/>
                <w:sz w:val="20"/>
                <w:lang w:val="mk-MK"/>
              </w:rPr>
              <w:t>0%</w:t>
            </w:r>
          </w:p>
        </w:tc>
        <w:tc>
          <w:tcPr>
            <w:tcW w:w="3960" w:type="dxa"/>
          </w:tcPr>
          <w:p w14:paraId="7F972249" w14:textId="77777777" w:rsidR="00EC708E" w:rsidRPr="006A6446" w:rsidRDefault="00EC708E" w:rsidP="00BB27D7">
            <w:pPr>
              <w:jc w:val="both"/>
              <w:rPr>
                <w:rFonts w:asciiTheme="minorHAnsi" w:hAnsiTheme="minorHAnsi" w:cstheme="minorHAnsi"/>
                <w:sz w:val="20"/>
              </w:rPr>
            </w:pPr>
            <w:r w:rsidRPr="006A6446">
              <w:rPr>
                <w:rFonts w:asciiTheme="minorHAnsi" w:hAnsiTheme="minorHAnsi" w:cstheme="minorHAnsi"/>
                <w:sz w:val="20"/>
                <w:lang w:val="mk-MK"/>
              </w:rPr>
              <w:t>The m</w:t>
            </w:r>
            <w:r>
              <w:rPr>
                <w:rFonts w:asciiTheme="minorHAnsi" w:hAnsiTheme="minorHAnsi" w:cstheme="minorHAnsi"/>
                <w:sz w:val="20"/>
                <w:lang w:val="mk-MK"/>
              </w:rPr>
              <w:t>embers of the Remuneration</w:t>
            </w:r>
            <w:r>
              <w:rPr>
                <w:rFonts w:asciiTheme="minorHAnsi" w:hAnsiTheme="minorHAnsi" w:cstheme="minorHAnsi"/>
                <w:sz w:val="20"/>
              </w:rPr>
              <w:t xml:space="preserve"> Committee</w:t>
            </w:r>
            <w:r w:rsidRPr="006A6446">
              <w:rPr>
                <w:rFonts w:asciiTheme="minorHAnsi" w:hAnsiTheme="minorHAnsi" w:cstheme="minorHAnsi"/>
                <w:sz w:val="20"/>
                <w:lang w:val="mk-MK"/>
              </w:rPr>
              <w:t xml:space="preserve"> are determined by </w:t>
            </w:r>
            <w:r>
              <w:rPr>
                <w:rFonts w:asciiTheme="minorHAnsi" w:hAnsiTheme="minorHAnsi" w:cstheme="minorHAnsi"/>
                <w:sz w:val="20"/>
              </w:rPr>
              <w:t>the S</w:t>
            </w:r>
            <w:r w:rsidRPr="006A6446">
              <w:rPr>
                <w:rFonts w:asciiTheme="minorHAnsi" w:hAnsiTheme="minorHAnsi" w:cstheme="minorHAnsi"/>
                <w:sz w:val="20"/>
                <w:lang w:val="mk-MK"/>
              </w:rPr>
              <w:t>tatute</w:t>
            </w:r>
            <w:r>
              <w:rPr>
                <w:rFonts w:asciiTheme="minorHAnsi" w:hAnsiTheme="minorHAnsi" w:cstheme="minorHAnsi"/>
                <w:sz w:val="20"/>
              </w:rPr>
              <w:t xml:space="preserve"> of the Bank</w:t>
            </w:r>
            <w:r w:rsidRPr="006A6446">
              <w:rPr>
                <w:rFonts w:asciiTheme="minorHAnsi" w:hAnsiTheme="minorHAnsi" w:cstheme="minorHAnsi"/>
                <w:sz w:val="20"/>
                <w:lang w:val="mk-MK"/>
              </w:rPr>
              <w:t xml:space="preserve"> and </w:t>
            </w:r>
            <w:r>
              <w:rPr>
                <w:rFonts w:asciiTheme="minorHAnsi" w:hAnsiTheme="minorHAnsi" w:cstheme="minorHAnsi"/>
                <w:sz w:val="20"/>
              </w:rPr>
              <w:t xml:space="preserve">the </w:t>
            </w:r>
            <w:r w:rsidRPr="006A6446">
              <w:rPr>
                <w:rFonts w:asciiTheme="minorHAnsi" w:hAnsiTheme="minorHAnsi" w:cstheme="minorHAnsi"/>
                <w:sz w:val="20"/>
                <w:lang w:val="mk-MK"/>
              </w:rPr>
              <w:t>regulation</w:t>
            </w:r>
            <w:r>
              <w:rPr>
                <w:rFonts w:asciiTheme="minorHAnsi" w:hAnsiTheme="minorHAnsi" w:cstheme="minorHAnsi"/>
                <w:sz w:val="20"/>
              </w:rPr>
              <w:t xml:space="preserve"> requires</w:t>
            </w:r>
            <w:r w:rsidRPr="006A6446">
              <w:rPr>
                <w:rFonts w:asciiTheme="minorHAnsi" w:hAnsiTheme="minorHAnsi" w:cstheme="minorHAnsi"/>
                <w:sz w:val="20"/>
                <w:lang w:val="mk-MK"/>
              </w:rPr>
              <w:t xml:space="preserve"> the majority of</w:t>
            </w:r>
            <w:r>
              <w:rPr>
                <w:rFonts w:asciiTheme="minorHAnsi" w:hAnsiTheme="minorHAnsi" w:cstheme="minorHAnsi"/>
                <w:sz w:val="20"/>
              </w:rPr>
              <w:t xml:space="preserve"> the members to be</w:t>
            </w:r>
            <w:r>
              <w:rPr>
                <w:rFonts w:asciiTheme="minorHAnsi" w:hAnsiTheme="minorHAnsi" w:cstheme="minorHAnsi"/>
                <w:sz w:val="20"/>
                <w:lang w:val="mk-MK"/>
              </w:rPr>
              <w:t xml:space="preserve"> independent members</w:t>
            </w:r>
            <w:r w:rsidRPr="006A6446">
              <w:rPr>
                <w:rFonts w:asciiTheme="minorHAnsi" w:hAnsiTheme="minorHAnsi" w:cstheme="minorHAnsi"/>
                <w:sz w:val="20"/>
                <w:lang w:val="mk-MK"/>
              </w:rPr>
              <w:t xml:space="preserve"> - representatives of the Supervisory Board as well as members with specific </w:t>
            </w:r>
            <w:r w:rsidRPr="006A6446">
              <w:rPr>
                <w:rFonts w:asciiTheme="minorHAnsi" w:hAnsiTheme="minorHAnsi" w:cstheme="minorHAnsi"/>
                <w:sz w:val="20"/>
                <w:lang w:val="mk-MK"/>
              </w:rPr>
              <w:lastRenderedPageBreak/>
              <w:t>experience relevan</w:t>
            </w:r>
            <w:r>
              <w:rPr>
                <w:rFonts w:asciiTheme="minorHAnsi" w:hAnsiTheme="minorHAnsi" w:cstheme="minorHAnsi"/>
                <w:sz w:val="20"/>
                <w:lang w:val="mk-MK"/>
              </w:rPr>
              <w:t xml:space="preserve">t to the operation of the </w:t>
            </w:r>
            <w:r>
              <w:rPr>
                <w:rFonts w:asciiTheme="minorHAnsi" w:hAnsiTheme="minorHAnsi" w:cstheme="minorHAnsi"/>
                <w:sz w:val="20"/>
              </w:rPr>
              <w:t xml:space="preserve">Committee. </w:t>
            </w:r>
          </w:p>
        </w:tc>
      </w:tr>
      <w:tr w:rsidR="00EC708E" w14:paraId="6825BAEC" w14:textId="77777777" w:rsidTr="00EC708E">
        <w:tc>
          <w:tcPr>
            <w:tcW w:w="2404" w:type="dxa"/>
          </w:tcPr>
          <w:p w14:paraId="20CB468B" w14:textId="77777777" w:rsidR="00EC708E" w:rsidRPr="006A6446" w:rsidRDefault="00EC708E" w:rsidP="00BB27D7">
            <w:pPr>
              <w:jc w:val="both"/>
              <w:rPr>
                <w:rFonts w:asciiTheme="minorHAnsi" w:hAnsiTheme="minorHAnsi" w:cstheme="minorHAnsi"/>
                <w:sz w:val="20"/>
              </w:rPr>
            </w:pPr>
            <w:r>
              <w:rPr>
                <w:rFonts w:asciiTheme="minorHAnsi" w:hAnsiTheme="minorHAnsi" w:cstheme="minorHAnsi"/>
                <w:sz w:val="20"/>
              </w:rPr>
              <w:lastRenderedPageBreak/>
              <w:t>Risk Management Committee</w:t>
            </w:r>
          </w:p>
        </w:tc>
        <w:tc>
          <w:tcPr>
            <w:tcW w:w="1079" w:type="dxa"/>
          </w:tcPr>
          <w:p w14:paraId="315E11C5" w14:textId="77777777" w:rsidR="00EC708E" w:rsidRPr="005E00B3" w:rsidRDefault="00EC708E" w:rsidP="00BB27D7">
            <w:pPr>
              <w:jc w:val="center"/>
              <w:rPr>
                <w:rFonts w:asciiTheme="minorHAnsi" w:hAnsiTheme="minorHAnsi" w:cstheme="minorHAnsi"/>
                <w:sz w:val="20"/>
                <w:lang w:val="mk-MK"/>
              </w:rPr>
            </w:pPr>
            <w:r>
              <w:rPr>
                <w:rFonts w:asciiTheme="minorHAnsi" w:hAnsiTheme="minorHAnsi" w:cstheme="minorHAnsi"/>
                <w:sz w:val="20"/>
                <w:lang w:val="mk-MK"/>
              </w:rPr>
              <w:t>9</w:t>
            </w:r>
          </w:p>
        </w:tc>
        <w:tc>
          <w:tcPr>
            <w:tcW w:w="1038" w:type="dxa"/>
          </w:tcPr>
          <w:p w14:paraId="00DC9327" w14:textId="77777777" w:rsidR="00EC708E" w:rsidRPr="005E00B3" w:rsidRDefault="00EC708E" w:rsidP="00BB27D7">
            <w:pPr>
              <w:jc w:val="center"/>
              <w:rPr>
                <w:rFonts w:asciiTheme="minorHAnsi" w:hAnsiTheme="minorHAnsi" w:cstheme="minorHAnsi"/>
                <w:sz w:val="20"/>
                <w:lang w:val="mk-MK"/>
              </w:rPr>
            </w:pPr>
            <w:r>
              <w:rPr>
                <w:rFonts w:asciiTheme="minorHAnsi" w:hAnsiTheme="minorHAnsi" w:cstheme="minorHAnsi"/>
                <w:sz w:val="20"/>
                <w:lang w:val="mk-MK"/>
              </w:rPr>
              <w:t>3</w:t>
            </w:r>
          </w:p>
        </w:tc>
        <w:tc>
          <w:tcPr>
            <w:tcW w:w="784" w:type="dxa"/>
          </w:tcPr>
          <w:p w14:paraId="2905F7D1" w14:textId="77777777" w:rsidR="00EC708E" w:rsidRPr="005E00B3" w:rsidRDefault="00EC708E" w:rsidP="00BB27D7">
            <w:pPr>
              <w:jc w:val="center"/>
              <w:rPr>
                <w:rFonts w:asciiTheme="minorHAnsi" w:hAnsiTheme="minorHAnsi" w:cstheme="minorHAnsi"/>
                <w:sz w:val="20"/>
                <w:lang w:val="mk-MK"/>
              </w:rPr>
            </w:pPr>
            <w:r>
              <w:rPr>
                <w:rFonts w:asciiTheme="minorHAnsi" w:hAnsiTheme="minorHAnsi" w:cstheme="minorHAnsi"/>
                <w:sz w:val="20"/>
                <w:lang w:val="mk-MK"/>
              </w:rPr>
              <w:t>33%</w:t>
            </w:r>
          </w:p>
        </w:tc>
        <w:tc>
          <w:tcPr>
            <w:tcW w:w="3960" w:type="dxa"/>
          </w:tcPr>
          <w:p w14:paraId="6500CCB0" w14:textId="77777777" w:rsidR="00EC708E" w:rsidRPr="005E00B3" w:rsidRDefault="00EC708E" w:rsidP="00BB27D7">
            <w:pPr>
              <w:jc w:val="both"/>
              <w:rPr>
                <w:rFonts w:asciiTheme="minorHAnsi" w:hAnsiTheme="minorHAnsi" w:cstheme="minorHAnsi"/>
                <w:b/>
                <w:sz w:val="20"/>
                <w:lang w:val="mk-MK"/>
              </w:rPr>
            </w:pPr>
            <w:r>
              <w:rPr>
                <w:rFonts w:asciiTheme="minorHAnsi" w:hAnsiTheme="minorHAnsi" w:cstheme="minorHAnsi"/>
                <w:b/>
                <w:sz w:val="20"/>
              </w:rPr>
              <w:t xml:space="preserve">The recommendation </w:t>
            </w:r>
            <w:proofErr w:type="gramStart"/>
            <w:r>
              <w:rPr>
                <w:rFonts w:asciiTheme="minorHAnsi" w:hAnsiTheme="minorHAnsi" w:cstheme="minorHAnsi"/>
                <w:b/>
                <w:sz w:val="20"/>
              </w:rPr>
              <w:t>is implemented</w:t>
            </w:r>
            <w:proofErr w:type="gramEnd"/>
            <w:r>
              <w:rPr>
                <w:rFonts w:asciiTheme="minorHAnsi" w:hAnsiTheme="minorHAnsi" w:cstheme="minorHAnsi"/>
                <w:b/>
                <w:sz w:val="20"/>
              </w:rPr>
              <w:t xml:space="preserve">. </w:t>
            </w:r>
          </w:p>
          <w:p w14:paraId="6AB97761" w14:textId="77777777" w:rsidR="00EC708E" w:rsidRPr="006B71FF" w:rsidRDefault="00EC708E" w:rsidP="00BB27D7">
            <w:pPr>
              <w:jc w:val="both"/>
              <w:rPr>
                <w:rFonts w:asciiTheme="minorHAnsi" w:hAnsiTheme="minorHAnsi" w:cstheme="minorHAnsi"/>
                <w:sz w:val="20"/>
              </w:rPr>
            </w:pPr>
            <w:r>
              <w:rPr>
                <w:rFonts w:asciiTheme="minorHAnsi" w:hAnsiTheme="minorHAnsi" w:cstheme="minorHAnsi"/>
                <w:sz w:val="20"/>
              </w:rPr>
              <w:t>The Bank will strive to maintain the current gender balance in the future.</w:t>
            </w:r>
          </w:p>
        </w:tc>
      </w:tr>
      <w:tr w:rsidR="00EC708E" w14:paraId="21644050" w14:textId="77777777" w:rsidTr="00EC708E">
        <w:tc>
          <w:tcPr>
            <w:tcW w:w="2404" w:type="dxa"/>
          </w:tcPr>
          <w:p w14:paraId="0A80E527" w14:textId="77777777" w:rsidR="00EC708E" w:rsidRPr="006A6446" w:rsidRDefault="00EC708E" w:rsidP="00BB27D7">
            <w:pPr>
              <w:jc w:val="both"/>
              <w:rPr>
                <w:rFonts w:asciiTheme="minorHAnsi" w:hAnsiTheme="minorHAnsi" w:cstheme="minorHAnsi"/>
                <w:sz w:val="20"/>
              </w:rPr>
            </w:pPr>
            <w:r>
              <w:rPr>
                <w:rFonts w:asciiTheme="minorHAnsi" w:hAnsiTheme="minorHAnsi" w:cstheme="minorHAnsi"/>
                <w:sz w:val="20"/>
              </w:rPr>
              <w:t>Board of Directors</w:t>
            </w:r>
          </w:p>
        </w:tc>
        <w:tc>
          <w:tcPr>
            <w:tcW w:w="1079" w:type="dxa"/>
          </w:tcPr>
          <w:p w14:paraId="0DE3AE7C" w14:textId="77777777" w:rsidR="00EC708E" w:rsidRPr="005E00B3" w:rsidRDefault="00EC708E" w:rsidP="00BB27D7">
            <w:pPr>
              <w:jc w:val="center"/>
              <w:rPr>
                <w:rFonts w:asciiTheme="minorHAnsi" w:hAnsiTheme="minorHAnsi" w:cstheme="minorHAnsi"/>
                <w:sz w:val="20"/>
                <w:lang w:val="mk-MK"/>
              </w:rPr>
            </w:pPr>
            <w:r>
              <w:rPr>
                <w:rFonts w:asciiTheme="minorHAnsi" w:hAnsiTheme="minorHAnsi" w:cstheme="minorHAnsi"/>
                <w:sz w:val="20"/>
                <w:lang w:val="mk-MK"/>
              </w:rPr>
              <w:t>4</w:t>
            </w:r>
          </w:p>
        </w:tc>
        <w:tc>
          <w:tcPr>
            <w:tcW w:w="1038" w:type="dxa"/>
          </w:tcPr>
          <w:p w14:paraId="72A9900E" w14:textId="77777777" w:rsidR="00EC708E" w:rsidRPr="005E00B3" w:rsidRDefault="00EC708E" w:rsidP="00BB27D7">
            <w:pPr>
              <w:jc w:val="center"/>
              <w:rPr>
                <w:rFonts w:asciiTheme="minorHAnsi" w:hAnsiTheme="minorHAnsi" w:cstheme="minorHAnsi"/>
                <w:sz w:val="20"/>
                <w:lang w:val="mk-MK"/>
              </w:rPr>
            </w:pPr>
            <w:r>
              <w:rPr>
                <w:rFonts w:asciiTheme="minorHAnsi" w:hAnsiTheme="minorHAnsi" w:cstheme="minorHAnsi"/>
                <w:sz w:val="20"/>
                <w:lang w:val="mk-MK"/>
              </w:rPr>
              <w:t>1</w:t>
            </w:r>
          </w:p>
        </w:tc>
        <w:tc>
          <w:tcPr>
            <w:tcW w:w="784" w:type="dxa"/>
          </w:tcPr>
          <w:p w14:paraId="6E084E16" w14:textId="77777777" w:rsidR="00EC708E" w:rsidRPr="005E00B3" w:rsidRDefault="00EC708E" w:rsidP="00BB27D7">
            <w:pPr>
              <w:jc w:val="center"/>
              <w:rPr>
                <w:rFonts w:asciiTheme="minorHAnsi" w:hAnsiTheme="minorHAnsi" w:cstheme="minorHAnsi"/>
                <w:sz w:val="20"/>
                <w:lang w:val="mk-MK"/>
              </w:rPr>
            </w:pPr>
            <w:r>
              <w:rPr>
                <w:rFonts w:asciiTheme="minorHAnsi" w:hAnsiTheme="minorHAnsi" w:cstheme="minorHAnsi"/>
                <w:sz w:val="20"/>
                <w:lang w:val="mk-MK"/>
              </w:rPr>
              <w:t>25%</w:t>
            </w:r>
          </w:p>
        </w:tc>
        <w:tc>
          <w:tcPr>
            <w:tcW w:w="3960" w:type="dxa"/>
          </w:tcPr>
          <w:p w14:paraId="4FA89C80" w14:textId="77777777" w:rsidR="00EC708E" w:rsidRPr="005E00B3" w:rsidRDefault="00EC708E" w:rsidP="00BB27D7">
            <w:pPr>
              <w:jc w:val="both"/>
              <w:rPr>
                <w:rFonts w:asciiTheme="minorHAnsi" w:hAnsiTheme="minorHAnsi" w:cstheme="minorHAnsi"/>
                <w:b/>
                <w:sz w:val="20"/>
                <w:lang w:val="mk-MK"/>
              </w:rPr>
            </w:pPr>
            <w:r>
              <w:rPr>
                <w:rFonts w:asciiTheme="minorHAnsi" w:hAnsiTheme="minorHAnsi" w:cstheme="minorHAnsi"/>
                <w:b/>
                <w:sz w:val="20"/>
              </w:rPr>
              <w:t xml:space="preserve">The recommendation </w:t>
            </w:r>
            <w:proofErr w:type="gramStart"/>
            <w:r>
              <w:rPr>
                <w:rFonts w:asciiTheme="minorHAnsi" w:hAnsiTheme="minorHAnsi" w:cstheme="minorHAnsi"/>
                <w:b/>
                <w:sz w:val="20"/>
              </w:rPr>
              <w:t>is mostly implemented</w:t>
            </w:r>
            <w:proofErr w:type="gramEnd"/>
            <w:r w:rsidRPr="005E00B3">
              <w:rPr>
                <w:rFonts w:asciiTheme="minorHAnsi" w:hAnsiTheme="minorHAnsi" w:cstheme="minorHAnsi"/>
                <w:b/>
                <w:sz w:val="20"/>
                <w:lang w:val="mk-MK"/>
              </w:rPr>
              <w:t xml:space="preserve">. </w:t>
            </w:r>
          </w:p>
          <w:p w14:paraId="1288B3BE" w14:textId="77777777" w:rsidR="00EC708E" w:rsidRPr="005E00B3" w:rsidRDefault="00EC708E" w:rsidP="00BB27D7">
            <w:pPr>
              <w:jc w:val="both"/>
              <w:rPr>
                <w:rFonts w:asciiTheme="minorHAnsi" w:hAnsiTheme="minorHAnsi" w:cstheme="minorHAnsi"/>
                <w:sz w:val="20"/>
                <w:lang w:val="mk-MK"/>
              </w:rPr>
            </w:pPr>
            <w:r>
              <w:rPr>
                <w:rFonts w:asciiTheme="minorHAnsi" w:hAnsiTheme="minorHAnsi" w:cstheme="minorHAnsi"/>
                <w:sz w:val="20"/>
              </w:rPr>
              <w:t xml:space="preserve">No additional / special activities </w:t>
            </w:r>
            <w:proofErr w:type="gramStart"/>
            <w:r>
              <w:rPr>
                <w:rFonts w:asciiTheme="minorHAnsi" w:hAnsiTheme="minorHAnsi" w:cstheme="minorHAnsi"/>
                <w:sz w:val="20"/>
              </w:rPr>
              <w:t>are planned</w:t>
            </w:r>
            <w:proofErr w:type="gramEnd"/>
            <w:r>
              <w:rPr>
                <w:rFonts w:asciiTheme="minorHAnsi" w:hAnsiTheme="minorHAnsi" w:cstheme="minorHAnsi"/>
                <w:sz w:val="20"/>
                <w:lang w:val="mk-MK"/>
              </w:rPr>
              <w:t>.</w:t>
            </w:r>
          </w:p>
        </w:tc>
      </w:tr>
    </w:tbl>
    <w:p w14:paraId="1E04110F" w14:textId="77777777" w:rsidR="00EC708E" w:rsidRPr="009A1E6F" w:rsidRDefault="00EC708E" w:rsidP="00BB27D7">
      <w:pPr>
        <w:spacing w:after="0"/>
        <w:jc w:val="both"/>
        <w:rPr>
          <w:rFonts w:ascii="Times New Roman" w:hAnsi="Times New Roman"/>
          <w:sz w:val="24"/>
          <w:szCs w:val="24"/>
        </w:rPr>
      </w:pPr>
    </w:p>
    <w:p w14:paraId="1D0F37AE" w14:textId="77777777" w:rsidR="00EC708E" w:rsidRPr="009A1E6F" w:rsidRDefault="00EC708E" w:rsidP="00BB27D7">
      <w:pPr>
        <w:spacing w:after="0"/>
        <w:jc w:val="both"/>
        <w:rPr>
          <w:rFonts w:ascii="Times New Roman" w:hAnsi="Times New Roman"/>
          <w:sz w:val="24"/>
          <w:szCs w:val="24"/>
        </w:rPr>
      </w:pPr>
    </w:p>
    <w:p w14:paraId="6BD7CFC5" w14:textId="77777777" w:rsidR="00EC708E" w:rsidRPr="006A6446" w:rsidRDefault="00EC708E" w:rsidP="00BB27D7">
      <w:pPr>
        <w:spacing w:after="0"/>
        <w:jc w:val="both"/>
        <w:rPr>
          <w:rFonts w:ascii="Times New Roman" w:hAnsi="Times New Roman"/>
          <w:b/>
          <w:sz w:val="24"/>
          <w:szCs w:val="24"/>
        </w:rPr>
      </w:pPr>
      <w:proofErr w:type="gramStart"/>
      <w:r w:rsidRPr="006A6446">
        <w:rPr>
          <w:rFonts w:ascii="Times New Roman" w:hAnsi="Times New Roman"/>
          <w:b/>
          <w:sz w:val="24"/>
          <w:szCs w:val="24"/>
        </w:rPr>
        <w:t>9.b</w:t>
      </w:r>
      <w:proofErr w:type="gramEnd"/>
      <w:r w:rsidRPr="006A6446">
        <w:rPr>
          <w:rFonts w:ascii="Times New Roman" w:hAnsi="Times New Roman"/>
          <w:b/>
          <w:sz w:val="24"/>
          <w:szCs w:val="24"/>
        </w:rPr>
        <w:t>. Summary of the Bank's cooperation with stakeholders</w:t>
      </w:r>
    </w:p>
    <w:p w14:paraId="514AB64C" w14:textId="77777777" w:rsidR="00EC708E" w:rsidRPr="009A1E6F" w:rsidRDefault="00EC708E" w:rsidP="00BB27D7">
      <w:pPr>
        <w:spacing w:after="0"/>
        <w:jc w:val="both"/>
        <w:rPr>
          <w:rFonts w:ascii="Times New Roman" w:hAnsi="Times New Roman"/>
          <w:sz w:val="24"/>
          <w:szCs w:val="24"/>
        </w:rPr>
      </w:pPr>
    </w:p>
    <w:p w14:paraId="3A4053A8" w14:textId="77777777" w:rsidR="00EC708E" w:rsidRPr="00E43714" w:rsidRDefault="00EC708E" w:rsidP="00BB27D7">
      <w:pPr>
        <w:spacing w:after="0"/>
        <w:jc w:val="both"/>
        <w:rPr>
          <w:rFonts w:ascii="Times New Roman" w:hAnsi="Times New Roman"/>
          <w:sz w:val="24"/>
          <w:szCs w:val="24"/>
        </w:rPr>
      </w:pPr>
      <w:r w:rsidRPr="00E43714">
        <w:rPr>
          <w:rFonts w:ascii="Times New Roman" w:hAnsi="Times New Roman"/>
          <w:sz w:val="24"/>
          <w:szCs w:val="24"/>
        </w:rPr>
        <w:t xml:space="preserve">As one of the largest organizations in the country, Stopanska banka AD - Skopje recognizes the influence it has on a large number of stakeholders - the Bank's shareholders, employees, customers, depositors, relevant </w:t>
      </w:r>
      <w:r>
        <w:rPr>
          <w:rFonts w:ascii="Times New Roman" w:hAnsi="Times New Roman"/>
          <w:sz w:val="24"/>
          <w:szCs w:val="24"/>
        </w:rPr>
        <w:t>regulators</w:t>
      </w:r>
      <w:r w:rsidRPr="00E43714">
        <w:rPr>
          <w:rFonts w:ascii="Times New Roman" w:hAnsi="Times New Roman"/>
          <w:sz w:val="24"/>
          <w:szCs w:val="24"/>
        </w:rPr>
        <w:t xml:space="preserve"> as well as the general population whose lives are inevitably af</w:t>
      </w:r>
      <w:r>
        <w:rPr>
          <w:rFonts w:ascii="Times New Roman" w:hAnsi="Times New Roman"/>
          <w:sz w:val="24"/>
          <w:szCs w:val="24"/>
        </w:rPr>
        <w:t>fected by the Bank's operations</w:t>
      </w:r>
      <w:r w:rsidRPr="00E43714">
        <w:rPr>
          <w:rFonts w:ascii="Times New Roman" w:hAnsi="Times New Roman"/>
          <w:sz w:val="24"/>
          <w:szCs w:val="24"/>
        </w:rPr>
        <w:t>.</w:t>
      </w:r>
    </w:p>
    <w:p w14:paraId="50D629E6" w14:textId="77777777" w:rsidR="00EC708E" w:rsidRDefault="00EC708E" w:rsidP="00BB27D7">
      <w:pPr>
        <w:spacing w:after="0"/>
        <w:jc w:val="both"/>
        <w:rPr>
          <w:rFonts w:ascii="Times New Roman" w:hAnsi="Times New Roman"/>
          <w:sz w:val="24"/>
          <w:szCs w:val="24"/>
        </w:rPr>
      </w:pPr>
    </w:p>
    <w:p w14:paraId="43123C8A" w14:textId="77777777" w:rsidR="00EC708E" w:rsidRPr="00E43714" w:rsidRDefault="00EC708E" w:rsidP="00BB27D7">
      <w:pPr>
        <w:spacing w:after="0"/>
        <w:jc w:val="both"/>
        <w:rPr>
          <w:rFonts w:ascii="Times New Roman" w:hAnsi="Times New Roman"/>
          <w:sz w:val="24"/>
          <w:szCs w:val="24"/>
        </w:rPr>
      </w:pPr>
      <w:r w:rsidRPr="00E43714">
        <w:rPr>
          <w:rFonts w:ascii="Times New Roman" w:hAnsi="Times New Roman"/>
          <w:sz w:val="24"/>
          <w:szCs w:val="24"/>
        </w:rPr>
        <w:t>In this direction, in the past year the Bank continued to prioritize cooperation with all stakeholders in order to build even stronger relationships and promote joint success and well-being for all.</w:t>
      </w:r>
    </w:p>
    <w:p w14:paraId="2DA947C3" w14:textId="77777777" w:rsidR="00EC708E" w:rsidRPr="00E43714" w:rsidRDefault="00EC708E" w:rsidP="00BB27D7">
      <w:pPr>
        <w:pStyle w:val="ListParagraph"/>
        <w:numPr>
          <w:ilvl w:val="0"/>
          <w:numId w:val="32"/>
        </w:numPr>
        <w:spacing w:line="276" w:lineRule="auto"/>
        <w:jc w:val="both"/>
      </w:pPr>
      <w:r w:rsidRPr="00E43714">
        <w:t xml:space="preserve">Starting with the shareholders, as owners of the Bank, the Bank had continuous and active communication with the investing public throughout 2022. In particular, it should be emphasized the continuous provision of legal and other </w:t>
      </w:r>
      <w:r>
        <w:t>type of support</w:t>
      </w:r>
      <w:r w:rsidRPr="00E43714">
        <w:t xml:space="preserve"> fo</w:t>
      </w:r>
      <w:r>
        <w:t xml:space="preserve">r securing appropriate channels and form </w:t>
      </w:r>
      <w:r w:rsidRPr="00E43714">
        <w:t>for the resolution of any issue that the shareholders have in relation to their requests to the bodies of the Bank a</w:t>
      </w:r>
      <w:r>
        <w:t xml:space="preserve">nd the Shareholders Assembly; </w:t>
      </w:r>
    </w:p>
    <w:p w14:paraId="5232BE35" w14:textId="77777777" w:rsidR="00EC708E" w:rsidRPr="00E43714" w:rsidRDefault="00EC708E" w:rsidP="00BB27D7">
      <w:pPr>
        <w:pStyle w:val="ListParagraph"/>
        <w:numPr>
          <w:ilvl w:val="0"/>
          <w:numId w:val="32"/>
        </w:numPr>
        <w:spacing w:line="276" w:lineRule="auto"/>
        <w:jc w:val="both"/>
      </w:pPr>
      <w:r w:rsidRPr="00E43714">
        <w:t xml:space="preserve">The employees of the Bank represent one of the most important stakeholders and the Bank continuously invests in the development career of the employees and their </w:t>
      </w:r>
      <w:r>
        <w:t xml:space="preserve">competitive </w:t>
      </w:r>
      <w:r w:rsidRPr="00E43714">
        <w:t xml:space="preserve">remuneration. </w:t>
      </w:r>
      <w:r>
        <w:t>Furthermore</w:t>
      </w:r>
      <w:r w:rsidRPr="00E43714">
        <w:t>, in 2022 the Bank continued to build a safe working environment primarily in the context of the still existing risks of the Covid-19 pandemic (introduction of the concept of working from home, rotations, employee testing, etc.), a culture of open communication and equal treatment to all employees, etc.;</w:t>
      </w:r>
    </w:p>
    <w:p w14:paraId="7FB7E432" w14:textId="77777777" w:rsidR="00EC708E" w:rsidRPr="00E43714" w:rsidRDefault="00EC708E" w:rsidP="00BB27D7">
      <w:pPr>
        <w:pStyle w:val="ListParagraph"/>
        <w:numPr>
          <w:ilvl w:val="0"/>
          <w:numId w:val="32"/>
        </w:numPr>
        <w:spacing w:line="276" w:lineRule="auto"/>
        <w:jc w:val="both"/>
      </w:pPr>
      <w:r w:rsidRPr="00E43714">
        <w:t>Customers remain the Bank's main focus and the Bank continues to focus on providing high-quality services and products</w:t>
      </w:r>
      <w:r>
        <w:t xml:space="preserve"> that meet their specific needs in various manners;</w:t>
      </w:r>
    </w:p>
    <w:p w14:paraId="4CBA5669" w14:textId="77777777" w:rsidR="00EC708E" w:rsidRPr="00E43714" w:rsidRDefault="00EC708E" w:rsidP="00BB27D7">
      <w:pPr>
        <w:pStyle w:val="ListParagraph"/>
        <w:numPr>
          <w:ilvl w:val="0"/>
          <w:numId w:val="32"/>
        </w:numPr>
        <w:spacing w:line="276" w:lineRule="auto"/>
        <w:jc w:val="both"/>
      </w:pPr>
      <w:r>
        <w:t>The B</w:t>
      </w:r>
      <w:r w:rsidRPr="00E43714">
        <w:t xml:space="preserve">ank, </w:t>
      </w:r>
      <w:r>
        <w:t>guided by the principle of full compliance of its</w:t>
      </w:r>
      <w:r w:rsidRPr="00E43714">
        <w:t xml:space="preserve"> operation</w:t>
      </w:r>
      <w:r>
        <w:t>s</w:t>
      </w:r>
      <w:r w:rsidRPr="00E43714">
        <w:t xml:space="preserve"> with</w:t>
      </w:r>
      <w:r>
        <w:t xml:space="preserve"> the laws and ethical </w:t>
      </w:r>
      <w:proofErr w:type="gramStart"/>
      <w:r>
        <w:t>standards</w:t>
      </w:r>
      <w:r w:rsidRPr="00E43714">
        <w:t>, also</w:t>
      </w:r>
      <w:proofErr w:type="gramEnd"/>
      <w:r w:rsidRPr="00E43714">
        <w:t xml:space="preserve"> values</w:t>
      </w:r>
      <w:r>
        <w:t xml:space="preserve"> and promotes</w:t>
      </w:r>
      <w:r w:rsidRPr="00E43714">
        <w:t xml:space="preserve"> professional relations with regulators and continued to cooperate closely with institutions and work on implementation and acceptance of </w:t>
      </w:r>
      <w:r>
        <w:t xml:space="preserve">all </w:t>
      </w:r>
      <w:r w:rsidRPr="00E43714">
        <w:t>regulatory requirements. It proactively engages with regulatory bodies to ensure a thorough understanding of the new extensive re</w:t>
      </w:r>
      <w:r>
        <w:t>gulations and continuously took</w:t>
      </w:r>
      <w:r w:rsidRPr="00E43714">
        <w:t xml:space="preserve"> a number of steps </w:t>
      </w:r>
      <w:proofErr w:type="gramStart"/>
      <w:r w:rsidRPr="00E43714">
        <w:t>to appropriately adapt</w:t>
      </w:r>
      <w:proofErr w:type="gramEnd"/>
      <w:r w:rsidRPr="00E43714">
        <w:t xml:space="preserve"> the Bank's operations to the changing regulatory framework.</w:t>
      </w:r>
    </w:p>
    <w:p w14:paraId="2391EAEA" w14:textId="77777777" w:rsidR="00EC708E" w:rsidRPr="00E43714" w:rsidRDefault="00EC708E" w:rsidP="00BB27D7">
      <w:pPr>
        <w:spacing w:after="0"/>
        <w:jc w:val="both"/>
        <w:rPr>
          <w:rFonts w:ascii="Times New Roman" w:hAnsi="Times New Roman"/>
          <w:sz w:val="24"/>
          <w:szCs w:val="24"/>
        </w:rPr>
      </w:pPr>
    </w:p>
    <w:p w14:paraId="2FEDD4A5" w14:textId="77777777" w:rsidR="00EC708E" w:rsidRPr="009A1E6F" w:rsidRDefault="00EC708E" w:rsidP="00BB27D7">
      <w:pPr>
        <w:spacing w:after="0"/>
        <w:jc w:val="both"/>
        <w:rPr>
          <w:rFonts w:ascii="Times New Roman" w:hAnsi="Times New Roman"/>
          <w:sz w:val="24"/>
          <w:szCs w:val="24"/>
        </w:rPr>
      </w:pPr>
      <w:r w:rsidRPr="00E43714">
        <w:rPr>
          <w:rFonts w:ascii="Times New Roman" w:hAnsi="Times New Roman"/>
          <w:sz w:val="24"/>
          <w:szCs w:val="24"/>
        </w:rPr>
        <w:t>Overall, the Bank's cooperation with all stakeholders is an important part of the overall success achieved in 2022. Stopanska banka AD - Skopje remains committed to building strong relationships with all stakeholders, all with one goal - that t</w:t>
      </w:r>
      <w:r>
        <w:rPr>
          <w:rFonts w:ascii="Times New Roman" w:hAnsi="Times New Roman"/>
          <w:sz w:val="24"/>
          <w:szCs w:val="24"/>
        </w:rPr>
        <w:t>he Bank's success is</w:t>
      </w:r>
      <w:r w:rsidRPr="00E43714">
        <w:rPr>
          <w:rFonts w:ascii="Times New Roman" w:hAnsi="Times New Roman"/>
          <w:sz w:val="24"/>
          <w:szCs w:val="24"/>
        </w:rPr>
        <w:t xml:space="preserve"> the success of the entire community.</w:t>
      </w:r>
    </w:p>
    <w:p w14:paraId="52039C46" w14:textId="77777777" w:rsidR="00EC708E" w:rsidRPr="009A1E6F" w:rsidRDefault="00EC708E" w:rsidP="00BB27D7">
      <w:pPr>
        <w:spacing w:after="0"/>
        <w:jc w:val="both"/>
        <w:rPr>
          <w:rFonts w:ascii="Times New Roman" w:hAnsi="Times New Roman"/>
          <w:sz w:val="24"/>
          <w:szCs w:val="24"/>
        </w:rPr>
      </w:pPr>
    </w:p>
    <w:p w14:paraId="6F8F1D91" w14:textId="77777777" w:rsidR="00EC708E" w:rsidRPr="009A1E6F" w:rsidRDefault="00EC708E" w:rsidP="00BB27D7">
      <w:pPr>
        <w:spacing w:after="0"/>
        <w:jc w:val="both"/>
        <w:rPr>
          <w:rFonts w:ascii="Times New Roman" w:hAnsi="Times New Roman"/>
          <w:sz w:val="24"/>
          <w:szCs w:val="24"/>
        </w:rPr>
      </w:pPr>
    </w:p>
    <w:p w14:paraId="606E3258" w14:textId="77777777" w:rsidR="00EC708E" w:rsidRPr="009A1E6F" w:rsidRDefault="00EC708E" w:rsidP="00BB27D7">
      <w:pPr>
        <w:spacing w:after="0"/>
        <w:jc w:val="both"/>
        <w:rPr>
          <w:rFonts w:ascii="Times New Roman" w:hAnsi="Times New Roman"/>
          <w:sz w:val="24"/>
          <w:szCs w:val="24"/>
        </w:rPr>
      </w:pPr>
    </w:p>
    <w:p w14:paraId="7E8E3EBE" w14:textId="77777777" w:rsidR="00EC708E" w:rsidRPr="009A1E6F" w:rsidRDefault="00EC708E" w:rsidP="00BB27D7">
      <w:pPr>
        <w:spacing w:after="0"/>
        <w:jc w:val="both"/>
        <w:rPr>
          <w:rFonts w:ascii="Times New Roman" w:hAnsi="Times New Roman"/>
          <w:sz w:val="24"/>
          <w:szCs w:val="24"/>
        </w:rPr>
      </w:pPr>
    </w:p>
    <w:p w14:paraId="320A0AFE" w14:textId="77777777" w:rsidR="00EC708E" w:rsidRPr="009A1E6F" w:rsidRDefault="00EC708E" w:rsidP="00BB27D7">
      <w:pPr>
        <w:spacing w:after="0"/>
        <w:jc w:val="both"/>
        <w:rPr>
          <w:rFonts w:ascii="Times New Roman" w:hAnsi="Times New Roman"/>
          <w:sz w:val="24"/>
          <w:szCs w:val="24"/>
        </w:rPr>
      </w:pPr>
    </w:p>
    <w:p w14:paraId="46547170" w14:textId="77777777" w:rsidR="00EC708E" w:rsidRPr="009A1E6F" w:rsidRDefault="00EC708E" w:rsidP="00BB27D7">
      <w:pPr>
        <w:spacing w:after="0"/>
        <w:jc w:val="both"/>
        <w:rPr>
          <w:rFonts w:ascii="Times New Roman" w:hAnsi="Times New Roman"/>
          <w:sz w:val="24"/>
          <w:szCs w:val="24"/>
        </w:rPr>
      </w:pPr>
    </w:p>
    <w:p w14:paraId="3090B440" w14:textId="77777777" w:rsidR="00EC708E" w:rsidRPr="009A1E6F" w:rsidRDefault="00EC708E" w:rsidP="00BB27D7">
      <w:pPr>
        <w:spacing w:after="0"/>
        <w:jc w:val="both"/>
        <w:rPr>
          <w:rFonts w:ascii="Times New Roman" w:hAnsi="Times New Roman"/>
          <w:sz w:val="24"/>
          <w:szCs w:val="24"/>
        </w:rPr>
      </w:pPr>
    </w:p>
    <w:p w14:paraId="3A5FB791" w14:textId="77777777" w:rsidR="00EC708E" w:rsidRPr="009A1E6F" w:rsidRDefault="00EC708E" w:rsidP="00BB27D7">
      <w:pPr>
        <w:spacing w:after="0"/>
        <w:jc w:val="both"/>
        <w:rPr>
          <w:rFonts w:ascii="Times New Roman" w:hAnsi="Times New Roman"/>
          <w:sz w:val="24"/>
          <w:szCs w:val="24"/>
        </w:rPr>
      </w:pPr>
    </w:p>
    <w:p w14:paraId="051217FC" w14:textId="77777777" w:rsidR="00EC708E" w:rsidRPr="009A1E6F" w:rsidRDefault="00EC708E" w:rsidP="00BB27D7">
      <w:pPr>
        <w:spacing w:after="0"/>
        <w:jc w:val="both"/>
        <w:rPr>
          <w:rFonts w:ascii="Times New Roman" w:hAnsi="Times New Roman"/>
          <w:sz w:val="24"/>
          <w:szCs w:val="24"/>
        </w:rPr>
      </w:pPr>
    </w:p>
    <w:p w14:paraId="222EDE03" w14:textId="77777777" w:rsidR="00EC708E" w:rsidRPr="009A1E6F" w:rsidRDefault="00EC708E" w:rsidP="00BB27D7">
      <w:pPr>
        <w:spacing w:after="0"/>
        <w:jc w:val="both"/>
        <w:rPr>
          <w:rFonts w:ascii="Times New Roman" w:hAnsi="Times New Roman"/>
          <w:sz w:val="24"/>
          <w:szCs w:val="24"/>
        </w:rPr>
      </w:pPr>
    </w:p>
    <w:p w14:paraId="7B07ED28" w14:textId="77777777" w:rsidR="00EC708E" w:rsidRPr="009A1E6F" w:rsidRDefault="00EC708E" w:rsidP="00BB27D7">
      <w:pPr>
        <w:spacing w:after="0"/>
        <w:jc w:val="both"/>
        <w:rPr>
          <w:rFonts w:ascii="Times New Roman" w:hAnsi="Times New Roman"/>
          <w:sz w:val="24"/>
          <w:szCs w:val="24"/>
        </w:rPr>
      </w:pPr>
    </w:p>
    <w:p w14:paraId="322C0281" w14:textId="77777777" w:rsidR="00E46ADE" w:rsidRDefault="00E46ADE">
      <w:pPr>
        <w:spacing w:after="0" w:line="240" w:lineRule="auto"/>
        <w:rPr>
          <w:rFonts w:ascii="Times New Roman" w:eastAsia="Times New Roman" w:hAnsi="Times New Roman"/>
          <w:color w:val="EC008C"/>
          <w:sz w:val="24"/>
          <w:szCs w:val="24"/>
        </w:rPr>
      </w:pPr>
      <w:r>
        <w:rPr>
          <w:color w:val="EC008C"/>
        </w:rPr>
        <w:br w:type="page"/>
      </w:r>
    </w:p>
    <w:p w14:paraId="7A221016" w14:textId="3695F6DB" w:rsidR="00EC708E" w:rsidRPr="009A1E6F" w:rsidRDefault="00EC708E" w:rsidP="00BB27D7">
      <w:pPr>
        <w:pStyle w:val="Subtitle1"/>
        <w:shd w:val="clear" w:color="auto" w:fill="FFFFFF"/>
        <w:spacing w:before="0" w:beforeAutospacing="0" w:after="0" w:afterAutospacing="0" w:line="276" w:lineRule="auto"/>
        <w:rPr>
          <w:color w:val="EC008C"/>
        </w:rPr>
      </w:pPr>
      <w:r w:rsidRPr="009A1E6F">
        <w:rPr>
          <w:color w:val="EC008C"/>
        </w:rPr>
        <w:lastRenderedPageBreak/>
        <w:t xml:space="preserve">Appendix 1 </w:t>
      </w:r>
    </w:p>
    <w:p w14:paraId="07D0263D" w14:textId="77777777" w:rsidR="00EC708E" w:rsidRPr="009A1E6F" w:rsidRDefault="00EC708E" w:rsidP="00BB27D7">
      <w:pPr>
        <w:ind w:left="2160" w:firstLine="720"/>
        <w:rPr>
          <w:rFonts w:ascii="Times New Roman" w:hAnsi="Times New Roman"/>
          <w:b/>
          <w:sz w:val="24"/>
          <w:szCs w:val="24"/>
          <w:lang w:eastAsia="en-GB"/>
        </w:rPr>
      </w:pPr>
    </w:p>
    <w:p w14:paraId="5757AA94" w14:textId="77777777" w:rsidR="00EC708E" w:rsidRDefault="00EC708E" w:rsidP="00BB27D7">
      <w:pPr>
        <w:spacing w:after="0"/>
        <w:jc w:val="center"/>
        <w:rPr>
          <w:rFonts w:ascii="Times New Roman" w:hAnsi="Times New Roman"/>
          <w:b/>
          <w:sz w:val="24"/>
          <w:szCs w:val="24"/>
          <w:lang w:eastAsia="en-GB"/>
        </w:rPr>
      </w:pPr>
      <w:r w:rsidRPr="009A1E6F">
        <w:rPr>
          <w:rFonts w:ascii="Times New Roman" w:hAnsi="Times New Roman"/>
          <w:b/>
          <w:sz w:val="24"/>
          <w:szCs w:val="24"/>
          <w:lang w:eastAsia="en-GB"/>
        </w:rPr>
        <w:t xml:space="preserve">S T A T E M </w:t>
      </w:r>
      <w:r>
        <w:rPr>
          <w:rFonts w:ascii="Times New Roman" w:hAnsi="Times New Roman"/>
          <w:b/>
          <w:sz w:val="24"/>
          <w:szCs w:val="24"/>
          <w:lang w:eastAsia="en-GB"/>
        </w:rPr>
        <w:t xml:space="preserve">E N </w:t>
      </w:r>
      <w:proofErr w:type="gramStart"/>
      <w:r>
        <w:rPr>
          <w:rFonts w:ascii="Times New Roman" w:hAnsi="Times New Roman"/>
          <w:b/>
          <w:sz w:val="24"/>
          <w:szCs w:val="24"/>
          <w:lang w:eastAsia="en-GB"/>
        </w:rPr>
        <w:t>T  O</w:t>
      </w:r>
      <w:proofErr w:type="gramEnd"/>
      <w:r>
        <w:rPr>
          <w:rFonts w:ascii="Times New Roman" w:hAnsi="Times New Roman"/>
          <w:b/>
          <w:sz w:val="24"/>
          <w:szCs w:val="24"/>
          <w:lang w:eastAsia="en-GB"/>
        </w:rPr>
        <w:t xml:space="preserve"> F  C O N F O R M I T Y </w:t>
      </w:r>
    </w:p>
    <w:p w14:paraId="5937E75A" w14:textId="77777777" w:rsidR="00EC708E" w:rsidRPr="009A1E6F" w:rsidRDefault="00EC708E" w:rsidP="00BB27D7">
      <w:pPr>
        <w:spacing w:after="0"/>
        <w:jc w:val="center"/>
        <w:rPr>
          <w:rFonts w:ascii="Times New Roman" w:hAnsi="Times New Roman"/>
          <w:b/>
          <w:sz w:val="24"/>
          <w:szCs w:val="24"/>
          <w:lang w:eastAsia="en-GB"/>
        </w:rPr>
      </w:pPr>
      <w:proofErr w:type="gramStart"/>
      <w:r>
        <w:rPr>
          <w:rFonts w:ascii="Times New Roman" w:hAnsi="Times New Roman"/>
          <w:b/>
          <w:sz w:val="24"/>
          <w:szCs w:val="24"/>
          <w:lang w:eastAsia="en-GB"/>
        </w:rPr>
        <w:t>with</w:t>
      </w:r>
      <w:proofErr w:type="gramEnd"/>
      <w:r>
        <w:rPr>
          <w:rFonts w:ascii="Times New Roman" w:hAnsi="Times New Roman"/>
          <w:b/>
          <w:sz w:val="24"/>
          <w:szCs w:val="24"/>
          <w:lang w:eastAsia="en-GB"/>
        </w:rPr>
        <w:t xml:space="preserve"> the </w:t>
      </w:r>
      <w:r w:rsidRPr="009A1E6F">
        <w:rPr>
          <w:rFonts w:ascii="Times New Roman" w:hAnsi="Times New Roman"/>
          <w:b/>
          <w:sz w:val="24"/>
          <w:szCs w:val="24"/>
          <w:lang w:eastAsia="en-GB"/>
        </w:rPr>
        <w:t xml:space="preserve">Corporate Governance Code of </w:t>
      </w:r>
      <w:r>
        <w:rPr>
          <w:rFonts w:ascii="Times New Roman" w:hAnsi="Times New Roman"/>
          <w:b/>
          <w:sz w:val="24"/>
          <w:szCs w:val="24"/>
          <w:lang w:eastAsia="en-GB"/>
        </w:rPr>
        <w:t xml:space="preserve"> </w:t>
      </w:r>
      <w:r w:rsidRPr="009A1E6F">
        <w:rPr>
          <w:rFonts w:ascii="Times New Roman" w:hAnsi="Times New Roman"/>
          <w:b/>
          <w:sz w:val="24"/>
          <w:szCs w:val="24"/>
          <w:lang w:eastAsia="en-GB"/>
        </w:rPr>
        <w:t>Stopanska Banka AD - Skopje</w:t>
      </w:r>
      <w:r w:rsidRPr="009A1E6F">
        <w:rPr>
          <w:rFonts w:ascii="Times New Roman" w:hAnsi="Times New Roman"/>
          <w:sz w:val="24"/>
          <w:szCs w:val="24"/>
          <w:lang w:eastAsia="en-GB"/>
        </w:rPr>
        <w:tab/>
      </w:r>
      <w:r w:rsidRPr="009A1E6F">
        <w:rPr>
          <w:rFonts w:ascii="Times New Roman" w:hAnsi="Times New Roman"/>
          <w:sz w:val="24"/>
          <w:szCs w:val="24"/>
          <w:lang w:eastAsia="en-GB"/>
        </w:rPr>
        <w:tab/>
      </w:r>
      <w:r w:rsidRPr="009A1E6F">
        <w:rPr>
          <w:rFonts w:ascii="Times New Roman" w:eastAsia="Times New Roman" w:hAnsi="Times New Roman"/>
          <w:vanish/>
          <w:sz w:val="24"/>
          <w:szCs w:val="24"/>
          <w:lang w:val="en"/>
        </w:rPr>
        <w:t>In accordance with the Article 384-a of the Law on Trade Companies, the Board of Directors of Stopanska banka AD - Skopje, gives the following:</w:t>
      </w:r>
    </w:p>
    <w:p w14:paraId="50B33DA3" w14:textId="77777777" w:rsidR="00EC708E" w:rsidRPr="009A1E6F" w:rsidRDefault="00EC708E" w:rsidP="00BB27D7">
      <w:pPr>
        <w:jc w:val="center"/>
        <w:rPr>
          <w:rFonts w:ascii="Times New Roman" w:eastAsia="Times New Roman" w:hAnsi="Times New Roman"/>
          <w:b/>
          <w:vanish/>
          <w:sz w:val="24"/>
          <w:szCs w:val="24"/>
          <w:lang w:val="en"/>
        </w:rPr>
      </w:pPr>
      <w:r w:rsidRPr="009A1E6F">
        <w:rPr>
          <w:rFonts w:ascii="Times New Roman" w:eastAsia="Times New Roman" w:hAnsi="Times New Roman"/>
          <w:b/>
          <w:vanish/>
          <w:sz w:val="24"/>
          <w:szCs w:val="24"/>
          <w:lang w:val="en"/>
        </w:rPr>
        <w:t>STATEMENT</w:t>
      </w:r>
    </w:p>
    <w:p w14:paraId="07507D2C" w14:textId="77777777" w:rsidR="00EC708E" w:rsidRPr="009A1E6F" w:rsidRDefault="00EC708E" w:rsidP="00BB27D7">
      <w:pPr>
        <w:jc w:val="both"/>
        <w:rPr>
          <w:rFonts w:ascii="Times New Roman" w:eastAsia="Times New Roman" w:hAnsi="Times New Roman"/>
          <w:vanish/>
          <w:sz w:val="24"/>
          <w:szCs w:val="24"/>
          <w:lang w:val="en"/>
        </w:rPr>
      </w:pPr>
    </w:p>
    <w:p w14:paraId="35DEA420" w14:textId="77777777" w:rsidR="00EC708E" w:rsidRDefault="00EC708E" w:rsidP="00BB27D7">
      <w:pPr>
        <w:jc w:val="both"/>
        <w:rPr>
          <w:rFonts w:ascii="Times New Roman" w:eastAsia="Times New Roman" w:hAnsi="Times New Roman"/>
          <w:sz w:val="24"/>
          <w:szCs w:val="24"/>
          <w:lang w:val="en"/>
        </w:rPr>
      </w:pPr>
      <w:r w:rsidRPr="009A1E6F">
        <w:rPr>
          <w:rFonts w:ascii="Times New Roman" w:eastAsia="Times New Roman" w:hAnsi="Times New Roman"/>
          <w:vanish/>
          <w:sz w:val="24"/>
          <w:szCs w:val="24"/>
          <w:lang w:val="en"/>
        </w:rPr>
        <w:t>We, the undersigned members of the Board of Directors of Stopanska banka AD - Skopje, (hereinafter: Bank) declare that Stopanska banka AD - Skopje applies the Corporate Governance Code.</w:t>
      </w:r>
      <w:r w:rsidRPr="009A1E6F">
        <w:rPr>
          <w:rFonts w:ascii="Times New Roman" w:eastAsia="Times New Roman" w:hAnsi="Times New Roman"/>
          <w:sz w:val="24"/>
          <w:szCs w:val="24"/>
          <w:lang w:val="en"/>
        </w:rPr>
        <w:tab/>
      </w:r>
    </w:p>
    <w:p w14:paraId="394B40BC" w14:textId="77777777" w:rsidR="00EC708E" w:rsidRPr="009A1E6F" w:rsidRDefault="00EC708E" w:rsidP="00BB27D7">
      <w:pPr>
        <w:jc w:val="both"/>
        <w:rPr>
          <w:rFonts w:ascii="Times New Roman" w:hAnsi="Times New Roman"/>
          <w:sz w:val="24"/>
          <w:szCs w:val="24"/>
          <w:lang w:eastAsia="en-GB"/>
        </w:rPr>
      </w:pPr>
      <w:r w:rsidRPr="009A1E6F">
        <w:rPr>
          <w:rFonts w:ascii="Times New Roman" w:hAnsi="Times New Roman"/>
          <w:sz w:val="24"/>
          <w:szCs w:val="24"/>
          <w:lang w:eastAsia="en-GB"/>
        </w:rPr>
        <w:t>In accordance with article 384-</w:t>
      </w:r>
      <w:proofErr w:type="gramStart"/>
      <w:r w:rsidRPr="009A1E6F">
        <w:rPr>
          <w:rFonts w:ascii="Times New Roman" w:hAnsi="Times New Roman"/>
          <w:sz w:val="24"/>
          <w:szCs w:val="24"/>
          <w:lang w:eastAsia="en-GB"/>
        </w:rPr>
        <w:t>a of</w:t>
      </w:r>
      <w:proofErr w:type="gramEnd"/>
      <w:r w:rsidRPr="009A1E6F">
        <w:rPr>
          <w:rFonts w:ascii="Times New Roman" w:hAnsi="Times New Roman"/>
          <w:sz w:val="24"/>
          <w:szCs w:val="24"/>
          <w:lang w:eastAsia="en-GB"/>
        </w:rPr>
        <w:t xml:space="preserve"> the Law on Trade Companies, the Board of Directors of Stopanska Banka AD – Skopje (hereinafter: SB) confirms the following: </w:t>
      </w:r>
    </w:p>
    <w:p w14:paraId="16FF2F5C" w14:textId="77777777" w:rsidR="00EC708E" w:rsidRPr="009A1E6F" w:rsidRDefault="00EC708E" w:rsidP="00BB27D7">
      <w:pPr>
        <w:jc w:val="both"/>
        <w:rPr>
          <w:rStyle w:val="q4iawc"/>
          <w:rFonts w:ascii="Times New Roman" w:hAnsi="Times New Roman"/>
          <w:sz w:val="24"/>
          <w:szCs w:val="24"/>
          <w:lang w:val="en"/>
        </w:rPr>
      </w:pPr>
      <w:r w:rsidRPr="009A1E6F">
        <w:rPr>
          <w:rStyle w:val="q4iawc"/>
          <w:rFonts w:ascii="Times New Roman" w:hAnsi="Times New Roman"/>
          <w:b/>
          <w:sz w:val="24"/>
          <w:szCs w:val="24"/>
          <w:lang w:val="en"/>
        </w:rPr>
        <w:t>SB has applied all the principles and complied in all material aspect with the Corporate Governance Code of SB for the year ended December 2021</w:t>
      </w:r>
      <w:r w:rsidRPr="009A1E6F">
        <w:rPr>
          <w:rStyle w:val="q4iawc"/>
          <w:rFonts w:ascii="Times New Roman" w:hAnsi="Times New Roman"/>
          <w:sz w:val="24"/>
          <w:szCs w:val="24"/>
          <w:lang w:val="en"/>
        </w:rPr>
        <w:t xml:space="preserve">. </w:t>
      </w:r>
    </w:p>
    <w:p w14:paraId="56C8A5B3" w14:textId="77777777" w:rsidR="00EC708E" w:rsidRPr="009A1E6F" w:rsidRDefault="00EC708E" w:rsidP="00BB27D7">
      <w:pPr>
        <w:jc w:val="both"/>
        <w:rPr>
          <w:rFonts w:ascii="Times New Roman" w:hAnsi="Times New Roman"/>
          <w:sz w:val="24"/>
          <w:szCs w:val="24"/>
        </w:rPr>
      </w:pPr>
      <w:r w:rsidRPr="009A1E6F">
        <w:rPr>
          <w:rFonts w:ascii="Times New Roman" w:hAnsi="Times New Roman"/>
          <w:sz w:val="24"/>
          <w:szCs w:val="24"/>
        </w:rPr>
        <w:t xml:space="preserve">The Corporate Governance Code of SB </w:t>
      </w:r>
      <w:proofErr w:type="gramStart"/>
      <w:r w:rsidRPr="009A1E6F">
        <w:rPr>
          <w:rFonts w:ascii="Times New Roman" w:hAnsi="Times New Roman"/>
          <w:sz w:val="24"/>
          <w:szCs w:val="24"/>
        </w:rPr>
        <w:t>has been developed</w:t>
      </w:r>
      <w:proofErr w:type="gramEnd"/>
      <w:r w:rsidRPr="009A1E6F">
        <w:rPr>
          <w:rFonts w:ascii="Times New Roman" w:hAnsi="Times New Roman"/>
          <w:sz w:val="24"/>
          <w:szCs w:val="24"/>
        </w:rPr>
        <w:t xml:space="preserve"> in accordance with the domestic legislation and the NBG Group governance standards. It provides a clear delineation of the Bank's corporate governance system, rights and responsibilities of its bodies, the role of the control functions, etc. as well as is upholding the Bank’s interests on a long-term basis for the benefit of depositors and customers, shareholders and other investors, employees and all other stakeholders. The Corporate Governance Code sets out a framework that promotes continuity, </w:t>
      </w:r>
      <w:proofErr w:type="gramStart"/>
      <w:r w:rsidRPr="009A1E6F">
        <w:rPr>
          <w:rFonts w:ascii="Times New Roman" w:hAnsi="Times New Roman"/>
          <w:sz w:val="24"/>
          <w:szCs w:val="24"/>
        </w:rPr>
        <w:t>consistency and effectiveness in the way the Bank is supervised and managed</w:t>
      </w:r>
      <w:proofErr w:type="gramEnd"/>
      <w:r w:rsidRPr="009A1E6F">
        <w:rPr>
          <w:rFonts w:ascii="Times New Roman" w:hAnsi="Times New Roman"/>
          <w:sz w:val="24"/>
          <w:szCs w:val="24"/>
        </w:rPr>
        <w:t xml:space="preserve"> and is a necessary component of good governance in supporting and promoting the Bank's business and reputation.</w:t>
      </w:r>
    </w:p>
    <w:p w14:paraId="6A89B697" w14:textId="77777777" w:rsidR="00EC708E" w:rsidRPr="009A1E6F" w:rsidRDefault="00EC708E" w:rsidP="00BB27D7">
      <w:pPr>
        <w:jc w:val="both"/>
        <w:rPr>
          <w:rStyle w:val="q4iawc"/>
          <w:rFonts w:ascii="Times New Roman" w:hAnsi="Times New Roman"/>
          <w:sz w:val="24"/>
          <w:szCs w:val="24"/>
          <w:lang w:val="en"/>
        </w:rPr>
      </w:pPr>
      <w:r w:rsidRPr="009A1E6F">
        <w:rPr>
          <w:rStyle w:val="q4iawc"/>
          <w:rFonts w:ascii="Times New Roman" w:hAnsi="Times New Roman"/>
          <w:sz w:val="24"/>
          <w:szCs w:val="24"/>
          <w:lang w:val="en"/>
        </w:rPr>
        <w:t xml:space="preserve">The Corporate Governance Code of Stopanska Banka AD – Skopje </w:t>
      </w:r>
      <w:r w:rsidRPr="009A1E6F">
        <w:rPr>
          <w:rStyle w:val="q4iawc"/>
          <w:rFonts w:ascii="Times New Roman" w:hAnsi="Times New Roman"/>
          <w:sz w:val="24"/>
          <w:szCs w:val="24"/>
        </w:rPr>
        <w:t xml:space="preserve">is </w:t>
      </w:r>
      <w:r w:rsidRPr="009A1E6F">
        <w:rPr>
          <w:rStyle w:val="q4iawc"/>
          <w:rFonts w:ascii="Times New Roman" w:hAnsi="Times New Roman"/>
          <w:sz w:val="24"/>
          <w:szCs w:val="24"/>
          <w:lang w:val="en"/>
        </w:rPr>
        <w:t xml:space="preserve">available on the Bank's website. </w:t>
      </w:r>
    </w:p>
    <w:p w14:paraId="402EB4A5" w14:textId="77777777" w:rsidR="00EC708E" w:rsidRPr="009A1E6F" w:rsidRDefault="00EC708E" w:rsidP="00BB27D7">
      <w:pPr>
        <w:ind w:left="5812"/>
        <w:jc w:val="both"/>
        <w:rPr>
          <w:rFonts w:ascii="Times New Roman" w:hAnsi="Times New Roman"/>
          <w:b/>
          <w:sz w:val="24"/>
          <w:szCs w:val="24"/>
          <w:lang w:eastAsia="mk-MK"/>
        </w:rPr>
      </w:pPr>
      <w:r w:rsidRPr="009A1E6F">
        <w:rPr>
          <w:rFonts w:ascii="Times New Roman" w:hAnsi="Times New Roman"/>
          <w:b/>
          <w:sz w:val="24"/>
          <w:szCs w:val="24"/>
          <w:lang w:eastAsia="mk-MK"/>
        </w:rPr>
        <w:br/>
        <w:t>BOARD OF DIRECTORS</w:t>
      </w:r>
    </w:p>
    <w:p w14:paraId="5AD4E619" w14:textId="77777777" w:rsidR="00EC708E" w:rsidRPr="009A1E6F" w:rsidRDefault="00EC708E" w:rsidP="00BB27D7">
      <w:pPr>
        <w:spacing w:after="0"/>
        <w:ind w:left="5812"/>
        <w:jc w:val="both"/>
        <w:rPr>
          <w:rFonts w:ascii="Times New Roman" w:hAnsi="Times New Roman"/>
          <w:sz w:val="24"/>
          <w:szCs w:val="24"/>
          <w:lang w:eastAsia="mk-MK"/>
        </w:rPr>
      </w:pPr>
      <w:r w:rsidRPr="009A1E6F">
        <w:rPr>
          <w:rFonts w:ascii="Times New Roman" w:hAnsi="Times New Roman"/>
          <w:sz w:val="24"/>
          <w:szCs w:val="24"/>
          <w:lang w:eastAsia="mk-MK"/>
        </w:rPr>
        <w:t>_______________________</w:t>
      </w:r>
    </w:p>
    <w:p w14:paraId="348C23DA" w14:textId="77777777" w:rsidR="00EC708E" w:rsidRPr="009A1E6F"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Diomidis Nikoletopoulos</w:t>
      </w:r>
    </w:p>
    <w:p w14:paraId="7F4822B4" w14:textId="77777777" w:rsidR="00EC708E" w:rsidRPr="009A1E6F"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Chief Executive Officer</w:t>
      </w:r>
    </w:p>
    <w:p w14:paraId="0D6862A8" w14:textId="77777777" w:rsidR="00EC708E" w:rsidRPr="009A1E6F" w:rsidRDefault="00EC708E" w:rsidP="00BB27D7">
      <w:pPr>
        <w:spacing w:after="0"/>
        <w:ind w:left="5818"/>
        <w:jc w:val="both"/>
        <w:rPr>
          <w:rFonts w:ascii="Times New Roman" w:hAnsi="Times New Roman"/>
          <w:b/>
          <w:sz w:val="24"/>
          <w:szCs w:val="24"/>
          <w:lang w:val="mk-MK" w:eastAsia="mk-MK"/>
        </w:rPr>
      </w:pPr>
    </w:p>
    <w:p w14:paraId="789D85E5" w14:textId="77777777" w:rsidR="00EC708E" w:rsidRPr="009A1E6F" w:rsidRDefault="00EC708E" w:rsidP="00BB27D7">
      <w:pPr>
        <w:spacing w:after="0"/>
        <w:ind w:left="5818"/>
        <w:jc w:val="both"/>
        <w:rPr>
          <w:rFonts w:ascii="Times New Roman" w:hAnsi="Times New Roman"/>
          <w:b/>
          <w:sz w:val="24"/>
          <w:szCs w:val="24"/>
          <w:lang w:val="mk-MK" w:eastAsia="mk-MK"/>
        </w:rPr>
      </w:pPr>
      <w:r w:rsidRPr="009A1E6F">
        <w:rPr>
          <w:rFonts w:ascii="Times New Roman" w:hAnsi="Times New Roman"/>
          <w:noProof/>
          <w:sz w:val="24"/>
          <w:szCs w:val="24"/>
        </w:rPr>
        <mc:AlternateContent>
          <mc:Choice Requires="wps">
            <w:drawing>
              <wp:anchor distT="0" distB="0" distL="114300" distR="114300" simplePos="0" relativeHeight="251951616" behindDoc="0" locked="0" layoutInCell="1" allowOverlap="1" wp14:anchorId="756CC444" wp14:editId="68B24EE0">
                <wp:simplePos x="0" y="0"/>
                <wp:positionH relativeFrom="column">
                  <wp:posOffset>3680460</wp:posOffset>
                </wp:positionH>
                <wp:positionV relativeFrom="paragraph">
                  <wp:posOffset>165735</wp:posOffset>
                </wp:positionV>
                <wp:extent cx="17049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3EFA3A" id="Straight Connector 7" o:spid="_x0000_s1026" style="position:absolute;z-index:2519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pt,13.05pt" to="424.0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" strokecolor="windowText" strokeweight=".5pt">
                <v:stroke joinstyle="miter"/>
              </v:line>
            </w:pict>
          </mc:Fallback>
        </mc:AlternateContent>
      </w:r>
    </w:p>
    <w:p w14:paraId="4E268B3E" w14:textId="77777777" w:rsidR="00EC708E" w:rsidRPr="009A1E6F" w:rsidRDefault="00EC708E" w:rsidP="00BB27D7">
      <w:pPr>
        <w:spacing w:after="0"/>
        <w:ind w:left="5818"/>
        <w:jc w:val="both"/>
        <w:rPr>
          <w:rFonts w:ascii="Times New Roman" w:hAnsi="Times New Roman"/>
          <w:sz w:val="24"/>
          <w:szCs w:val="24"/>
          <w:lang w:val="mk-MK" w:eastAsia="mk-MK"/>
        </w:rPr>
      </w:pPr>
      <w:r w:rsidRPr="009A1E6F">
        <w:rPr>
          <w:rFonts w:ascii="Times New Roman" w:hAnsi="Times New Roman"/>
          <w:sz w:val="24"/>
          <w:szCs w:val="24"/>
          <w:lang w:val="mk-MK" w:eastAsia="mk-MK"/>
        </w:rPr>
        <w:t>Toni Stojanovski</w:t>
      </w:r>
    </w:p>
    <w:p w14:paraId="37B8967A" w14:textId="77777777" w:rsidR="00EC708E" w:rsidRPr="009A1E6F"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Chief Corporate Officer</w:t>
      </w:r>
    </w:p>
    <w:p w14:paraId="3F718EB4" w14:textId="77777777" w:rsidR="00EC708E" w:rsidRDefault="00EC708E" w:rsidP="00BB27D7">
      <w:pPr>
        <w:spacing w:after="0"/>
        <w:ind w:left="5818"/>
        <w:jc w:val="both"/>
        <w:rPr>
          <w:rFonts w:ascii="Times New Roman" w:hAnsi="Times New Roman"/>
          <w:b/>
          <w:sz w:val="24"/>
          <w:szCs w:val="24"/>
          <w:lang w:val="mk-MK" w:eastAsia="mk-MK"/>
        </w:rPr>
      </w:pPr>
    </w:p>
    <w:p w14:paraId="027C54B4" w14:textId="77777777" w:rsidR="00EC708E" w:rsidRPr="009A1E6F" w:rsidRDefault="00EC708E" w:rsidP="00BB27D7">
      <w:pPr>
        <w:spacing w:after="0"/>
        <w:ind w:left="5818"/>
        <w:jc w:val="both"/>
        <w:rPr>
          <w:rFonts w:ascii="Times New Roman" w:hAnsi="Times New Roman"/>
          <w:b/>
          <w:sz w:val="24"/>
          <w:szCs w:val="24"/>
          <w:lang w:val="mk-MK" w:eastAsia="mk-MK"/>
        </w:rPr>
      </w:pPr>
      <w:r w:rsidRPr="009A1E6F">
        <w:rPr>
          <w:rFonts w:ascii="Times New Roman" w:hAnsi="Times New Roman"/>
          <w:noProof/>
          <w:sz w:val="24"/>
          <w:szCs w:val="24"/>
        </w:rPr>
        <mc:AlternateContent>
          <mc:Choice Requires="wps">
            <w:drawing>
              <wp:anchor distT="0" distB="0" distL="114300" distR="114300" simplePos="0" relativeHeight="251952640" behindDoc="0" locked="0" layoutInCell="1" allowOverlap="1" wp14:anchorId="1B88D00D" wp14:editId="6AA2530B">
                <wp:simplePos x="0" y="0"/>
                <wp:positionH relativeFrom="column">
                  <wp:posOffset>3680460</wp:posOffset>
                </wp:positionH>
                <wp:positionV relativeFrom="paragraph">
                  <wp:posOffset>169545</wp:posOffset>
                </wp:positionV>
                <wp:extent cx="176212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EA1A96A" id="Straight Connector 8" o:spid="_x0000_s1026" style="position:absolute;z-index:2519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pt,13.35pt" to="428.5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" strokecolor="windowText" strokeweight=".5pt">
                <v:stroke joinstyle="miter"/>
              </v:line>
            </w:pict>
          </mc:Fallback>
        </mc:AlternateContent>
      </w:r>
    </w:p>
    <w:p w14:paraId="76CA318A" w14:textId="77777777" w:rsidR="00EC708E" w:rsidRPr="009A1E6F"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Milica Chaparovska-Jovanovska</w:t>
      </w:r>
    </w:p>
    <w:p w14:paraId="45DB6529" w14:textId="77777777" w:rsidR="00EC708E"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Chief Retail Officer</w:t>
      </w:r>
    </w:p>
    <w:p w14:paraId="0CC4A133" w14:textId="77777777" w:rsidR="00EC708E" w:rsidRPr="009A1E6F" w:rsidRDefault="00EC708E" w:rsidP="00BB27D7">
      <w:pPr>
        <w:spacing w:after="0"/>
        <w:ind w:left="5818"/>
        <w:jc w:val="both"/>
        <w:rPr>
          <w:rFonts w:ascii="Times New Roman" w:hAnsi="Times New Roman"/>
          <w:sz w:val="24"/>
          <w:szCs w:val="24"/>
          <w:lang w:eastAsia="mk-MK"/>
        </w:rPr>
      </w:pPr>
    </w:p>
    <w:p w14:paraId="6E68EA0E" w14:textId="77777777" w:rsidR="00EC708E" w:rsidRPr="009A1E6F" w:rsidRDefault="00EC708E" w:rsidP="00BB27D7">
      <w:pPr>
        <w:spacing w:after="0"/>
        <w:ind w:left="5818"/>
        <w:jc w:val="both"/>
        <w:rPr>
          <w:rFonts w:ascii="Times New Roman" w:hAnsi="Times New Roman"/>
          <w:b/>
          <w:sz w:val="24"/>
          <w:szCs w:val="24"/>
          <w:lang w:eastAsia="mk-MK"/>
        </w:rPr>
      </w:pPr>
      <w:r w:rsidRPr="009A1E6F">
        <w:rPr>
          <w:rFonts w:ascii="Times New Roman" w:hAnsi="Times New Roman"/>
          <w:noProof/>
          <w:sz w:val="24"/>
          <w:szCs w:val="24"/>
        </w:rPr>
        <mc:AlternateContent>
          <mc:Choice Requires="wps">
            <w:drawing>
              <wp:anchor distT="0" distB="0" distL="114300" distR="114300" simplePos="0" relativeHeight="251953664" behindDoc="0" locked="0" layoutInCell="1" allowOverlap="1" wp14:anchorId="7058C268" wp14:editId="182701D3">
                <wp:simplePos x="0" y="0"/>
                <wp:positionH relativeFrom="column">
                  <wp:posOffset>3680460</wp:posOffset>
                </wp:positionH>
                <wp:positionV relativeFrom="paragraph">
                  <wp:posOffset>144780</wp:posOffset>
                </wp:positionV>
                <wp:extent cx="1704975"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C0A47C" id="Straight Connector 9" o:spid="_x0000_s1026" style="position:absolute;z-index:2519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pt,11.4pt" to="424.0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" strokecolor="windowText" strokeweight=".5pt">
                <v:stroke joinstyle="miter"/>
              </v:line>
            </w:pict>
          </mc:Fallback>
        </mc:AlternateContent>
      </w:r>
      <w:r w:rsidRPr="009A1E6F">
        <w:rPr>
          <w:rFonts w:ascii="Times New Roman" w:hAnsi="Times New Roman"/>
          <w:b/>
          <w:sz w:val="24"/>
          <w:szCs w:val="24"/>
          <w:lang w:eastAsia="mk-MK"/>
        </w:rPr>
        <w:t xml:space="preserve">        </w:t>
      </w:r>
    </w:p>
    <w:p w14:paraId="49E814B2" w14:textId="77777777" w:rsidR="00EC708E" w:rsidRPr="009A1E6F"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Bojan Stojanoski</w:t>
      </w:r>
    </w:p>
    <w:p w14:paraId="676EC302" w14:textId="77777777" w:rsidR="00EC708E" w:rsidRPr="009A1E6F" w:rsidRDefault="00EC708E" w:rsidP="00BB27D7">
      <w:pPr>
        <w:spacing w:after="0"/>
        <w:ind w:left="5818"/>
        <w:jc w:val="both"/>
        <w:rPr>
          <w:rFonts w:ascii="Times New Roman" w:hAnsi="Times New Roman"/>
          <w:sz w:val="24"/>
          <w:szCs w:val="24"/>
        </w:rPr>
      </w:pPr>
      <w:r w:rsidRPr="009A1E6F">
        <w:rPr>
          <w:rFonts w:ascii="Times New Roman" w:hAnsi="Times New Roman"/>
          <w:sz w:val="24"/>
          <w:szCs w:val="24"/>
        </w:rPr>
        <w:t>Chief Risk Officer</w:t>
      </w:r>
    </w:p>
    <w:p w14:paraId="1F3C1578" w14:textId="77777777" w:rsidR="00EC708E" w:rsidRPr="009A1E6F" w:rsidRDefault="00EC708E" w:rsidP="00BB27D7">
      <w:pPr>
        <w:jc w:val="both"/>
        <w:rPr>
          <w:rFonts w:ascii="Times New Roman" w:hAnsi="Times New Roman"/>
          <w:sz w:val="24"/>
          <w:szCs w:val="24"/>
          <w:lang w:eastAsia="en-GB"/>
        </w:rPr>
      </w:pPr>
    </w:p>
    <w:p w14:paraId="5F106C17" w14:textId="77777777" w:rsidR="00EC708E" w:rsidRDefault="00EC708E" w:rsidP="00BB27D7">
      <w:pPr>
        <w:ind w:firstLine="720"/>
        <w:jc w:val="both"/>
        <w:rPr>
          <w:rFonts w:ascii="Times New Roman" w:hAnsi="Times New Roman"/>
          <w:sz w:val="24"/>
          <w:szCs w:val="24"/>
          <w:lang w:eastAsia="en-GB"/>
        </w:rPr>
      </w:pPr>
      <w:r w:rsidRPr="009A1E6F">
        <w:rPr>
          <w:rFonts w:ascii="Times New Roman" w:hAnsi="Times New Roman"/>
          <w:sz w:val="24"/>
          <w:szCs w:val="24"/>
          <w:lang w:eastAsia="en-GB"/>
        </w:rPr>
        <w:lastRenderedPageBreak/>
        <w:t>In accordance with article 42-</w:t>
      </w:r>
      <w:proofErr w:type="gramStart"/>
      <w:r w:rsidRPr="009A1E6F">
        <w:rPr>
          <w:rFonts w:ascii="Times New Roman" w:hAnsi="Times New Roman"/>
          <w:sz w:val="24"/>
          <w:szCs w:val="24"/>
          <w:lang w:eastAsia="en-GB"/>
        </w:rPr>
        <w:t>a of</w:t>
      </w:r>
      <w:proofErr w:type="gramEnd"/>
      <w:r w:rsidRPr="009A1E6F">
        <w:rPr>
          <w:rFonts w:ascii="Times New Roman" w:hAnsi="Times New Roman"/>
          <w:sz w:val="24"/>
          <w:szCs w:val="24"/>
          <w:lang w:eastAsia="en-GB"/>
        </w:rPr>
        <w:t xml:space="preserve"> the Listing Rules on the Macedonian Stock Exchange AD Skopje, the Board of Directors of Stopanska Banka AD – Skopje (hereinafter: SB) issue the following: </w:t>
      </w:r>
    </w:p>
    <w:p w14:paraId="140FA3D9" w14:textId="77777777" w:rsidR="00EC708E" w:rsidRDefault="00EC708E" w:rsidP="00BB27D7">
      <w:pPr>
        <w:spacing w:after="0"/>
        <w:jc w:val="center"/>
        <w:rPr>
          <w:rFonts w:ascii="Times New Roman" w:hAnsi="Times New Roman"/>
          <w:b/>
          <w:sz w:val="24"/>
          <w:szCs w:val="24"/>
          <w:lang w:eastAsia="en-GB"/>
        </w:rPr>
      </w:pPr>
      <w:r w:rsidRPr="009A1E6F">
        <w:rPr>
          <w:rFonts w:ascii="Times New Roman" w:hAnsi="Times New Roman"/>
          <w:b/>
          <w:sz w:val="24"/>
          <w:szCs w:val="24"/>
          <w:lang w:eastAsia="en-GB"/>
        </w:rPr>
        <w:t xml:space="preserve">S T A T E M E N </w:t>
      </w:r>
      <w:proofErr w:type="gramStart"/>
      <w:r w:rsidRPr="009A1E6F">
        <w:rPr>
          <w:rFonts w:ascii="Times New Roman" w:hAnsi="Times New Roman"/>
          <w:b/>
          <w:sz w:val="24"/>
          <w:szCs w:val="24"/>
          <w:lang w:eastAsia="en-GB"/>
        </w:rPr>
        <w:t>T  O</w:t>
      </w:r>
      <w:proofErr w:type="gramEnd"/>
      <w:r w:rsidRPr="009A1E6F">
        <w:rPr>
          <w:rFonts w:ascii="Times New Roman" w:hAnsi="Times New Roman"/>
          <w:b/>
          <w:sz w:val="24"/>
          <w:szCs w:val="24"/>
          <w:lang w:eastAsia="en-GB"/>
        </w:rPr>
        <w:t xml:space="preserve"> F  C O N</w:t>
      </w:r>
      <w:r>
        <w:rPr>
          <w:rFonts w:ascii="Times New Roman" w:hAnsi="Times New Roman"/>
          <w:b/>
          <w:sz w:val="24"/>
          <w:szCs w:val="24"/>
          <w:lang w:eastAsia="en-GB"/>
        </w:rPr>
        <w:t xml:space="preserve"> F O R M I T Y </w:t>
      </w:r>
    </w:p>
    <w:p w14:paraId="370D681E" w14:textId="77777777" w:rsidR="00EC708E" w:rsidRDefault="00EC708E" w:rsidP="00BB27D7">
      <w:pPr>
        <w:spacing w:after="0"/>
        <w:jc w:val="center"/>
        <w:rPr>
          <w:rFonts w:ascii="Times New Roman" w:hAnsi="Times New Roman"/>
          <w:b/>
          <w:sz w:val="24"/>
          <w:szCs w:val="24"/>
          <w:lang w:eastAsia="en-GB"/>
        </w:rPr>
      </w:pPr>
      <w:proofErr w:type="gramStart"/>
      <w:r w:rsidRPr="009A1E6F">
        <w:rPr>
          <w:rFonts w:ascii="Times New Roman" w:hAnsi="Times New Roman"/>
          <w:b/>
          <w:sz w:val="24"/>
          <w:szCs w:val="24"/>
          <w:lang w:eastAsia="en-GB"/>
        </w:rPr>
        <w:t>with</w:t>
      </w:r>
      <w:proofErr w:type="gramEnd"/>
      <w:r w:rsidRPr="009A1E6F">
        <w:rPr>
          <w:rFonts w:ascii="Times New Roman" w:hAnsi="Times New Roman"/>
          <w:b/>
          <w:sz w:val="24"/>
          <w:szCs w:val="24"/>
          <w:lang w:eastAsia="en-GB"/>
        </w:rPr>
        <w:t xml:space="preserve"> the Corporate Governance Co</w:t>
      </w:r>
      <w:r>
        <w:rPr>
          <w:rFonts w:ascii="Times New Roman" w:hAnsi="Times New Roman"/>
          <w:b/>
          <w:sz w:val="24"/>
          <w:szCs w:val="24"/>
          <w:lang w:eastAsia="en-GB"/>
        </w:rPr>
        <w:t xml:space="preserve">de for companies listed on the </w:t>
      </w:r>
    </w:p>
    <w:p w14:paraId="186007CA" w14:textId="77777777" w:rsidR="00EC708E" w:rsidRPr="009A1E6F" w:rsidRDefault="00EC708E" w:rsidP="00BB27D7">
      <w:pPr>
        <w:spacing w:after="0"/>
        <w:jc w:val="center"/>
        <w:rPr>
          <w:rFonts w:ascii="Times New Roman" w:hAnsi="Times New Roman"/>
          <w:b/>
          <w:sz w:val="24"/>
          <w:szCs w:val="24"/>
          <w:lang w:eastAsia="en-GB"/>
        </w:rPr>
      </w:pPr>
      <w:r w:rsidRPr="009A1E6F">
        <w:rPr>
          <w:rFonts w:ascii="Times New Roman" w:hAnsi="Times New Roman"/>
          <w:b/>
          <w:sz w:val="24"/>
          <w:szCs w:val="24"/>
          <w:lang w:eastAsia="en-GB"/>
        </w:rPr>
        <w:t>Macedonian Stock Exchange</w:t>
      </w:r>
    </w:p>
    <w:p w14:paraId="37178F66" w14:textId="77777777" w:rsidR="00EC708E" w:rsidRPr="009A1E6F" w:rsidRDefault="00EC708E" w:rsidP="00BB27D7">
      <w:pPr>
        <w:ind w:left="1440" w:firstLine="720"/>
        <w:rPr>
          <w:rFonts w:ascii="Times New Roman" w:hAnsi="Times New Roman"/>
          <w:b/>
          <w:sz w:val="24"/>
          <w:szCs w:val="24"/>
          <w:lang w:eastAsia="en-GB"/>
        </w:rPr>
      </w:pPr>
      <w:r w:rsidRPr="009A1E6F">
        <w:rPr>
          <w:rFonts w:ascii="Times New Roman" w:eastAsia="Times New Roman" w:hAnsi="Times New Roman"/>
          <w:vanish/>
          <w:sz w:val="24"/>
          <w:szCs w:val="24"/>
          <w:lang w:val="en"/>
        </w:rPr>
        <w:t>In accordance with the Article 384-a of the Law on Trade Companies, the Board of Directors of Stopanska banka AD - Skopje, gives the following:</w:t>
      </w:r>
    </w:p>
    <w:p w14:paraId="1DE50CAE" w14:textId="77777777" w:rsidR="00EC708E" w:rsidRPr="009A1E6F" w:rsidRDefault="00EC708E" w:rsidP="00BB27D7">
      <w:pPr>
        <w:jc w:val="both"/>
        <w:rPr>
          <w:rFonts w:ascii="Times New Roman" w:eastAsia="Times New Roman" w:hAnsi="Times New Roman"/>
          <w:vanish/>
          <w:sz w:val="24"/>
          <w:szCs w:val="24"/>
          <w:lang w:val="en"/>
        </w:rPr>
      </w:pPr>
    </w:p>
    <w:p w14:paraId="772433C4" w14:textId="77777777" w:rsidR="00EC708E" w:rsidRPr="009A1E6F" w:rsidRDefault="00EC708E" w:rsidP="00BB27D7">
      <w:pPr>
        <w:jc w:val="center"/>
        <w:rPr>
          <w:rFonts w:ascii="Times New Roman" w:eastAsia="Times New Roman" w:hAnsi="Times New Roman"/>
          <w:b/>
          <w:vanish/>
          <w:sz w:val="24"/>
          <w:szCs w:val="24"/>
          <w:lang w:val="en"/>
        </w:rPr>
      </w:pPr>
      <w:r w:rsidRPr="009A1E6F">
        <w:rPr>
          <w:rFonts w:ascii="Times New Roman" w:eastAsia="Times New Roman" w:hAnsi="Times New Roman"/>
          <w:b/>
          <w:vanish/>
          <w:sz w:val="24"/>
          <w:szCs w:val="24"/>
          <w:lang w:val="en"/>
        </w:rPr>
        <w:t>STATEMENT</w:t>
      </w:r>
    </w:p>
    <w:p w14:paraId="42E2EE20" w14:textId="77777777" w:rsidR="00EC708E" w:rsidRPr="009A1E6F" w:rsidRDefault="00EC708E" w:rsidP="00BB27D7">
      <w:pPr>
        <w:jc w:val="both"/>
        <w:rPr>
          <w:rFonts w:ascii="Times New Roman" w:eastAsia="Times New Roman" w:hAnsi="Times New Roman"/>
          <w:vanish/>
          <w:sz w:val="24"/>
          <w:szCs w:val="24"/>
          <w:lang w:val="en"/>
        </w:rPr>
      </w:pPr>
    </w:p>
    <w:p w14:paraId="16D60849" w14:textId="77777777" w:rsidR="00EC708E" w:rsidRPr="009A1E6F" w:rsidRDefault="00EC708E" w:rsidP="00BB27D7">
      <w:pPr>
        <w:jc w:val="both"/>
        <w:rPr>
          <w:rFonts w:ascii="Times New Roman" w:hAnsi="Times New Roman"/>
          <w:sz w:val="24"/>
          <w:szCs w:val="24"/>
        </w:rPr>
      </w:pPr>
      <w:r w:rsidRPr="009A1E6F">
        <w:rPr>
          <w:rFonts w:ascii="Times New Roman" w:eastAsia="Times New Roman" w:hAnsi="Times New Roman"/>
          <w:vanish/>
          <w:sz w:val="24"/>
          <w:szCs w:val="24"/>
          <w:lang w:val="en"/>
        </w:rPr>
        <w:t>We, the undersigned members of the Board of Directors of Stopanska banka AD - Skopje, (hereinafter: Bank) declare that Stopanska banka AD - Skopje applies the Corporate Governance Code.</w:t>
      </w:r>
      <w:r>
        <w:rPr>
          <w:rFonts w:ascii="Times New Roman" w:eastAsia="Times New Roman" w:hAnsi="Times New Roman"/>
          <w:sz w:val="24"/>
          <w:szCs w:val="24"/>
          <w:lang w:val="en"/>
        </w:rPr>
        <w:tab/>
      </w:r>
      <w:r w:rsidRPr="009A1E6F">
        <w:rPr>
          <w:rFonts w:ascii="Times New Roman" w:hAnsi="Times New Roman"/>
          <w:sz w:val="24"/>
          <w:szCs w:val="24"/>
        </w:rPr>
        <w:t xml:space="preserve">We, the undersigned members of the Board of Directors of Stopanska Banka AD Skopje, confirm that SB applies the Corporate Governance Code for companies listed on the Macedonian Stock Exchange, published on </w:t>
      </w:r>
      <w:hyperlink r:id="rId29" w:history="1">
        <w:r w:rsidRPr="009A1E6F">
          <w:rPr>
            <w:rStyle w:val="Hyperlink"/>
            <w:rFonts w:ascii="Times New Roman" w:hAnsi="Times New Roman"/>
            <w:sz w:val="24"/>
            <w:szCs w:val="24"/>
          </w:rPr>
          <w:t>www.mse.mk</w:t>
        </w:r>
      </w:hyperlink>
      <w:r w:rsidRPr="009A1E6F">
        <w:rPr>
          <w:rFonts w:ascii="Times New Roman" w:hAnsi="Times New Roman"/>
          <w:sz w:val="24"/>
          <w:szCs w:val="24"/>
        </w:rPr>
        <w:t xml:space="preserve">. </w:t>
      </w:r>
    </w:p>
    <w:p w14:paraId="2C089703" w14:textId="77777777" w:rsidR="00EC708E" w:rsidRPr="009A1E6F" w:rsidRDefault="00EC708E" w:rsidP="00BB27D7">
      <w:pPr>
        <w:jc w:val="both"/>
        <w:rPr>
          <w:rFonts w:ascii="Times New Roman" w:hAnsi="Times New Roman"/>
          <w:sz w:val="24"/>
          <w:szCs w:val="24"/>
        </w:rPr>
      </w:pPr>
      <w:r w:rsidRPr="009A1E6F">
        <w:rPr>
          <w:rFonts w:ascii="Times New Roman" w:hAnsi="Times New Roman"/>
          <w:sz w:val="24"/>
          <w:szCs w:val="24"/>
        </w:rPr>
        <w:t xml:space="preserve">SB applies the principles and best practices of corporate governance provided in the Code according to the approach "apply or explain why it was not applied", by filling out questionnaires whose form and content </w:t>
      </w:r>
      <w:proofErr w:type="gramStart"/>
      <w:r w:rsidRPr="009A1E6F">
        <w:rPr>
          <w:rFonts w:ascii="Times New Roman" w:hAnsi="Times New Roman"/>
          <w:sz w:val="24"/>
          <w:szCs w:val="24"/>
        </w:rPr>
        <w:t>are prescribed</w:t>
      </w:r>
      <w:proofErr w:type="gramEnd"/>
      <w:r w:rsidRPr="009A1E6F">
        <w:rPr>
          <w:rFonts w:ascii="Times New Roman" w:hAnsi="Times New Roman"/>
          <w:sz w:val="24"/>
          <w:szCs w:val="24"/>
        </w:rPr>
        <w:t xml:space="preserve"> by the Code.</w:t>
      </w:r>
    </w:p>
    <w:p w14:paraId="6096144C" w14:textId="77777777" w:rsidR="00EC708E" w:rsidRPr="009A1E6F" w:rsidRDefault="00EC708E" w:rsidP="00BB27D7">
      <w:pPr>
        <w:jc w:val="both"/>
        <w:rPr>
          <w:rFonts w:ascii="Times New Roman" w:hAnsi="Times New Roman"/>
          <w:sz w:val="24"/>
          <w:szCs w:val="24"/>
        </w:rPr>
      </w:pPr>
      <w:r w:rsidRPr="009A1E6F">
        <w:rPr>
          <w:rFonts w:ascii="Times New Roman" w:hAnsi="Times New Roman"/>
          <w:sz w:val="24"/>
          <w:szCs w:val="24"/>
        </w:rPr>
        <w:t xml:space="preserve">With this </w:t>
      </w:r>
      <w:proofErr w:type="gramStart"/>
      <w:r w:rsidRPr="009A1E6F">
        <w:rPr>
          <w:rFonts w:ascii="Times New Roman" w:hAnsi="Times New Roman"/>
          <w:sz w:val="24"/>
          <w:szCs w:val="24"/>
        </w:rPr>
        <w:t>Statement</w:t>
      </w:r>
      <w:proofErr w:type="gramEnd"/>
      <w:r w:rsidRPr="009A1E6F">
        <w:rPr>
          <w:rFonts w:ascii="Times New Roman" w:hAnsi="Times New Roman"/>
          <w:sz w:val="24"/>
          <w:szCs w:val="24"/>
        </w:rPr>
        <w:t xml:space="preserve"> we confirm that the questionnaires are published on SEI-NET and on the SB website and that the answers in them are correct and true and reliably reflect the application of the principles and best practices of corporate governance by SB prescribed by the Code. </w:t>
      </w:r>
    </w:p>
    <w:p w14:paraId="78958903" w14:textId="77777777" w:rsidR="00EC708E" w:rsidRDefault="00EC708E" w:rsidP="00BB27D7">
      <w:pPr>
        <w:ind w:left="5812"/>
        <w:jc w:val="both"/>
        <w:rPr>
          <w:rFonts w:ascii="Times New Roman" w:hAnsi="Times New Roman"/>
          <w:b/>
          <w:sz w:val="24"/>
          <w:szCs w:val="24"/>
          <w:lang w:eastAsia="mk-MK"/>
        </w:rPr>
      </w:pPr>
    </w:p>
    <w:p w14:paraId="1BB63D64" w14:textId="77777777" w:rsidR="00EC708E" w:rsidRDefault="00EC708E" w:rsidP="00BB27D7">
      <w:pPr>
        <w:ind w:left="5812"/>
        <w:jc w:val="both"/>
        <w:rPr>
          <w:rFonts w:ascii="Times New Roman" w:hAnsi="Times New Roman"/>
          <w:b/>
          <w:sz w:val="24"/>
          <w:szCs w:val="24"/>
          <w:lang w:eastAsia="mk-MK"/>
        </w:rPr>
      </w:pPr>
      <w:r w:rsidRPr="009A1E6F">
        <w:rPr>
          <w:rFonts w:ascii="Times New Roman" w:hAnsi="Times New Roman"/>
          <w:b/>
          <w:sz w:val="24"/>
          <w:szCs w:val="24"/>
          <w:lang w:eastAsia="mk-MK"/>
        </w:rPr>
        <w:t>BOARD OF DIRECTORS</w:t>
      </w:r>
    </w:p>
    <w:p w14:paraId="395DDE33" w14:textId="77777777" w:rsidR="00EC708E" w:rsidRPr="009A1E6F" w:rsidRDefault="00EC708E" w:rsidP="00BB27D7">
      <w:pPr>
        <w:ind w:left="5812"/>
        <w:jc w:val="both"/>
        <w:rPr>
          <w:rFonts w:ascii="Times New Roman" w:hAnsi="Times New Roman"/>
          <w:b/>
          <w:sz w:val="24"/>
          <w:szCs w:val="24"/>
          <w:lang w:eastAsia="mk-MK"/>
        </w:rPr>
      </w:pPr>
    </w:p>
    <w:p w14:paraId="61221F32" w14:textId="77777777" w:rsidR="00EC708E" w:rsidRPr="009A1E6F"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_______________________</w:t>
      </w:r>
    </w:p>
    <w:p w14:paraId="7513A4BE" w14:textId="77777777" w:rsidR="00EC708E" w:rsidRPr="009A1E6F"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Diomidis Nikoletopoulos</w:t>
      </w:r>
    </w:p>
    <w:p w14:paraId="0DA3F63A" w14:textId="77777777" w:rsidR="00EC708E"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Chief Executive Officer</w:t>
      </w:r>
    </w:p>
    <w:p w14:paraId="6629C371" w14:textId="77777777" w:rsidR="00EC708E" w:rsidRPr="009A1E6F" w:rsidRDefault="00EC708E" w:rsidP="00BB27D7">
      <w:pPr>
        <w:spacing w:after="0"/>
        <w:ind w:left="5818"/>
        <w:jc w:val="both"/>
        <w:rPr>
          <w:rFonts w:ascii="Times New Roman" w:hAnsi="Times New Roman"/>
          <w:sz w:val="24"/>
          <w:szCs w:val="24"/>
          <w:lang w:eastAsia="mk-MK"/>
        </w:rPr>
      </w:pPr>
    </w:p>
    <w:p w14:paraId="6B3BC4FA" w14:textId="77777777" w:rsidR="00EC708E" w:rsidRPr="009A1E6F" w:rsidRDefault="00EC708E" w:rsidP="00BB27D7">
      <w:pPr>
        <w:spacing w:after="0"/>
        <w:ind w:left="5818"/>
        <w:jc w:val="both"/>
        <w:rPr>
          <w:rFonts w:ascii="Times New Roman" w:hAnsi="Times New Roman"/>
          <w:b/>
          <w:sz w:val="24"/>
          <w:szCs w:val="24"/>
          <w:lang w:val="mk-MK" w:eastAsia="mk-MK"/>
        </w:rPr>
      </w:pPr>
      <w:r w:rsidRPr="009A1E6F">
        <w:rPr>
          <w:rFonts w:ascii="Times New Roman" w:hAnsi="Times New Roman"/>
          <w:noProof/>
          <w:sz w:val="24"/>
          <w:szCs w:val="24"/>
        </w:rPr>
        <mc:AlternateContent>
          <mc:Choice Requires="wps">
            <w:drawing>
              <wp:anchor distT="0" distB="0" distL="114300" distR="114300" simplePos="0" relativeHeight="251954688" behindDoc="0" locked="0" layoutInCell="1" allowOverlap="1" wp14:anchorId="2B7DC0D0" wp14:editId="125AB824">
                <wp:simplePos x="0" y="0"/>
                <wp:positionH relativeFrom="column">
                  <wp:posOffset>3680460</wp:posOffset>
                </wp:positionH>
                <wp:positionV relativeFrom="paragraph">
                  <wp:posOffset>165735</wp:posOffset>
                </wp:positionV>
                <wp:extent cx="170497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E60C1A" id="Straight Connector 10" o:spid="_x0000_s1026" style="position:absolute;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pt,13.05pt" to="424.0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" strokecolor="windowText" strokeweight=".5pt">
                <v:stroke joinstyle="miter"/>
              </v:line>
            </w:pict>
          </mc:Fallback>
        </mc:AlternateContent>
      </w:r>
    </w:p>
    <w:p w14:paraId="6F009F7B" w14:textId="77777777" w:rsidR="00EC708E" w:rsidRPr="009A1E6F" w:rsidRDefault="00EC708E" w:rsidP="00BB27D7">
      <w:pPr>
        <w:spacing w:after="0"/>
        <w:ind w:left="5818"/>
        <w:jc w:val="both"/>
        <w:rPr>
          <w:rFonts w:ascii="Times New Roman" w:hAnsi="Times New Roman"/>
          <w:sz w:val="24"/>
          <w:szCs w:val="24"/>
          <w:lang w:val="mk-MK" w:eastAsia="mk-MK"/>
        </w:rPr>
      </w:pPr>
      <w:r w:rsidRPr="009A1E6F">
        <w:rPr>
          <w:rFonts w:ascii="Times New Roman" w:hAnsi="Times New Roman"/>
          <w:sz w:val="24"/>
          <w:szCs w:val="24"/>
          <w:lang w:val="mk-MK" w:eastAsia="mk-MK"/>
        </w:rPr>
        <w:t>Toni Stojanovski</w:t>
      </w:r>
    </w:p>
    <w:p w14:paraId="05F32AD9" w14:textId="77777777" w:rsidR="00EC708E"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Chief Corporate Officer</w:t>
      </w:r>
    </w:p>
    <w:p w14:paraId="5CBF6F5E" w14:textId="77777777" w:rsidR="00EC708E" w:rsidRPr="009A1E6F" w:rsidRDefault="00EC708E" w:rsidP="00BB27D7">
      <w:pPr>
        <w:spacing w:after="0"/>
        <w:ind w:left="5818"/>
        <w:jc w:val="both"/>
        <w:rPr>
          <w:rFonts w:ascii="Times New Roman" w:hAnsi="Times New Roman"/>
          <w:sz w:val="24"/>
          <w:szCs w:val="24"/>
          <w:lang w:eastAsia="mk-MK"/>
        </w:rPr>
      </w:pPr>
    </w:p>
    <w:p w14:paraId="37204D41" w14:textId="77777777" w:rsidR="00EC708E" w:rsidRPr="009A1E6F" w:rsidRDefault="00EC708E" w:rsidP="00BB27D7">
      <w:pPr>
        <w:spacing w:after="0"/>
        <w:ind w:left="5818"/>
        <w:jc w:val="both"/>
        <w:rPr>
          <w:rFonts w:ascii="Times New Roman" w:hAnsi="Times New Roman"/>
          <w:b/>
          <w:sz w:val="24"/>
          <w:szCs w:val="24"/>
          <w:lang w:val="mk-MK" w:eastAsia="mk-MK"/>
        </w:rPr>
      </w:pPr>
      <w:r w:rsidRPr="009A1E6F">
        <w:rPr>
          <w:rFonts w:ascii="Times New Roman" w:hAnsi="Times New Roman"/>
          <w:noProof/>
          <w:sz w:val="24"/>
          <w:szCs w:val="24"/>
        </w:rPr>
        <mc:AlternateContent>
          <mc:Choice Requires="wps">
            <w:drawing>
              <wp:anchor distT="0" distB="0" distL="114300" distR="114300" simplePos="0" relativeHeight="251955712" behindDoc="0" locked="0" layoutInCell="1" allowOverlap="1" wp14:anchorId="3D5708FB" wp14:editId="4F005F19">
                <wp:simplePos x="0" y="0"/>
                <wp:positionH relativeFrom="column">
                  <wp:posOffset>3680460</wp:posOffset>
                </wp:positionH>
                <wp:positionV relativeFrom="paragraph">
                  <wp:posOffset>169545</wp:posOffset>
                </wp:positionV>
                <wp:extent cx="17621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4277A7" id="Straight Connector 11" o:spid="_x0000_s1026" style="position:absolute;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pt,13.35pt" to="428.5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" strokecolor="windowText" strokeweight=".5pt">
                <v:stroke joinstyle="miter"/>
              </v:line>
            </w:pict>
          </mc:Fallback>
        </mc:AlternateContent>
      </w:r>
    </w:p>
    <w:p w14:paraId="6D4083DD" w14:textId="77777777" w:rsidR="00EC708E" w:rsidRPr="009A1E6F"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Milica Chaparovska-Jovanovska</w:t>
      </w:r>
    </w:p>
    <w:p w14:paraId="5F0F998A" w14:textId="77777777" w:rsidR="00EC708E"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Chief Retail Officer</w:t>
      </w:r>
    </w:p>
    <w:p w14:paraId="74821E78" w14:textId="77777777" w:rsidR="00EC708E" w:rsidRPr="009A1E6F" w:rsidRDefault="00EC708E" w:rsidP="00BB27D7">
      <w:pPr>
        <w:spacing w:after="0"/>
        <w:ind w:left="5818"/>
        <w:jc w:val="both"/>
        <w:rPr>
          <w:rFonts w:ascii="Times New Roman" w:hAnsi="Times New Roman"/>
          <w:sz w:val="24"/>
          <w:szCs w:val="24"/>
          <w:lang w:eastAsia="mk-MK"/>
        </w:rPr>
      </w:pPr>
    </w:p>
    <w:p w14:paraId="3ED7CB8B" w14:textId="77777777" w:rsidR="00EC708E" w:rsidRPr="009A1E6F" w:rsidRDefault="00EC708E" w:rsidP="00BB27D7">
      <w:pPr>
        <w:spacing w:after="0"/>
        <w:ind w:left="5818"/>
        <w:jc w:val="both"/>
        <w:rPr>
          <w:rFonts w:ascii="Times New Roman" w:hAnsi="Times New Roman"/>
          <w:b/>
          <w:sz w:val="24"/>
          <w:szCs w:val="24"/>
          <w:lang w:eastAsia="mk-MK"/>
        </w:rPr>
      </w:pPr>
      <w:r w:rsidRPr="009A1E6F">
        <w:rPr>
          <w:rFonts w:ascii="Times New Roman" w:hAnsi="Times New Roman"/>
          <w:noProof/>
          <w:sz w:val="24"/>
          <w:szCs w:val="24"/>
        </w:rPr>
        <mc:AlternateContent>
          <mc:Choice Requires="wps">
            <w:drawing>
              <wp:anchor distT="0" distB="0" distL="114300" distR="114300" simplePos="0" relativeHeight="251956736" behindDoc="0" locked="0" layoutInCell="1" allowOverlap="1" wp14:anchorId="5C4D1AB9" wp14:editId="1507007A">
                <wp:simplePos x="0" y="0"/>
                <wp:positionH relativeFrom="column">
                  <wp:posOffset>3680460</wp:posOffset>
                </wp:positionH>
                <wp:positionV relativeFrom="paragraph">
                  <wp:posOffset>144780</wp:posOffset>
                </wp:positionV>
                <wp:extent cx="170497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1704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7B4213" id="Straight Connector 12" o:spid="_x0000_s1026" style="position:absolute;z-index:2519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8pt,11.4pt" to="424.0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" strokecolor="windowText" strokeweight=".5pt">
                <v:stroke joinstyle="miter"/>
              </v:line>
            </w:pict>
          </mc:Fallback>
        </mc:AlternateContent>
      </w:r>
      <w:r w:rsidRPr="009A1E6F">
        <w:rPr>
          <w:rFonts w:ascii="Times New Roman" w:hAnsi="Times New Roman"/>
          <w:b/>
          <w:sz w:val="24"/>
          <w:szCs w:val="24"/>
          <w:lang w:eastAsia="mk-MK"/>
        </w:rPr>
        <w:t xml:space="preserve">        </w:t>
      </w:r>
    </w:p>
    <w:p w14:paraId="77A86756" w14:textId="77777777" w:rsidR="00EC708E" w:rsidRPr="009A1E6F" w:rsidRDefault="00EC708E" w:rsidP="00BB27D7">
      <w:pPr>
        <w:spacing w:after="0"/>
        <w:ind w:left="5818"/>
        <w:jc w:val="both"/>
        <w:rPr>
          <w:rFonts w:ascii="Times New Roman" w:hAnsi="Times New Roman"/>
          <w:sz w:val="24"/>
          <w:szCs w:val="24"/>
          <w:lang w:eastAsia="mk-MK"/>
        </w:rPr>
      </w:pPr>
      <w:r w:rsidRPr="009A1E6F">
        <w:rPr>
          <w:rFonts w:ascii="Times New Roman" w:hAnsi="Times New Roman"/>
          <w:sz w:val="24"/>
          <w:szCs w:val="24"/>
          <w:lang w:eastAsia="mk-MK"/>
        </w:rPr>
        <w:t xml:space="preserve">Bojan Stojanoski </w:t>
      </w:r>
    </w:p>
    <w:p w14:paraId="12915843" w14:textId="77777777" w:rsidR="00EC708E" w:rsidRPr="009A1E6F" w:rsidRDefault="00EC708E" w:rsidP="00BB27D7">
      <w:pPr>
        <w:spacing w:after="0"/>
        <w:ind w:left="5818"/>
        <w:jc w:val="both"/>
        <w:rPr>
          <w:rFonts w:ascii="Times New Roman" w:hAnsi="Times New Roman"/>
          <w:sz w:val="24"/>
          <w:szCs w:val="24"/>
        </w:rPr>
      </w:pPr>
      <w:r w:rsidRPr="009A1E6F">
        <w:rPr>
          <w:rFonts w:ascii="Times New Roman" w:hAnsi="Times New Roman"/>
          <w:sz w:val="24"/>
          <w:szCs w:val="24"/>
        </w:rPr>
        <w:t>Chief Risk Officer</w:t>
      </w:r>
    </w:p>
    <w:p w14:paraId="6CF3CC4B" w14:textId="77777777" w:rsidR="00EC708E" w:rsidRDefault="00EC708E" w:rsidP="00BB27D7">
      <w:pPr>
        <w:pStyle w:val="Subtitle1"/>
        <w:shd w:val="clear" w:color="auto" w:fill="FFFFFF"/>
        <w:spacing w:before="0" w:beforeAutospacing="0" w:after="0" w:afterAutospacing="0" w:line="276" w:lineRule="auto"/>
        <w:rPr>
          <w:color w:val="EC008C"/>
        </w:rPr>
      </w:pPr>
    </w:p>
    <w:p w14:paraId="5FF13DCC" w14:textId="77777777" w:rsidR="00EC708E" w:rsidRDefault="00EC708E" w:rsidP="00BB27D7">
      <w:pPr>
        <w:pStyle w:val="Subtitle1"/>
        <w:shd w:val="clear" w:color="auto" w:fill="FFFFFF"/>
        <w:spacing w:before="0" w:beforeAutospacing="0" w:after="0" w:afterAutospacing="0" w:line="276" w:lineRule="auto"/>
        <w:rPr>
          <w:color w:val="EC008C"/>
        </w:rPr>
      </w:pPr>
    </w:p>
    <w:p w14:paraId="44DCB252" w14:textId="77777777" w:rsidR="00EC708E" w:rsidRDefault="00EC708E" w:rsidP="00BB27D7">
      <w:pPr>
        <w:pStyle w:val="Subtitle1"/>
        <w:shd w:val="clear" w:color="auto" w:fill="FFFFFF"/>
        <w:spacing w:before="0" w:beforeAutospacing="0" w:after="0" w:afterAutospacing="0" w:line="276" w:lineRule="auto"/>
        <w:rPr>
          <w:color w:val="EC008C"/>
        </w:rPr>
      </w:pPr>
    </w:p>
    <w:p w14:paraId="61B1CD40" w14:textId="77777777" w:rsidR="00EC708E" w:rsidRDefault="00EC708E" w:rsidP="00BB27D7">
      <w:pPr>
        <w:pStyle w:val="Subtitle1"/>
        <w:shd w:val="clear" w:color="auto" w:fill="FFFFFF"/>
        <w:spacing w:before="0" w:beforeAutospacing="0" w:after="0" w:afterAutospacing="0" w:line="276" w:lineRule="auto"/>
        <w:rPr>
          <w:color w:val="EC008C"/>
        </w:rPr>
      </w:pPr>
    </w:p>
    <w:p w14:paraId="7D1C0BCE" w14:textId="77777777" w:rsidR="00EC708E" w:rsidRDefault="00EC708E" w:rsidP="00BB27D7">
      <w:pPr>
        <w:pStyle w:val="Subtitle1"/>
        <w:shd w:val="clear" w:color="auto" w:fill="FFFFFF"/>
        <w:spacing w:before="0" w:beforeAutospacing="0" w:after="0" w:afterAutospacing="0" w:line="276" w:lineRule="auto"/>
        <w:rPr>
          <w:color w:val="EC008C"/>
        </w:rPr>
      </w:pPr>
    </w:p>
    <w:p w14:paraId="37FDCBD5" w14:textId="77777777" w:rsidR="00EC708E" w:rsidRDefault="00EC708E" w:rsidP="00BB27D7">
      <w:pPr>
        <w:pStyle w:val="Subtitle1"/>
        <w:shd w:val="clear" w:color="auto" w:fill="FFFFFF"/>
        <w:spacing w:before="0" w:beforeAutospacing="0" w:after="0" w:afterAutospacing="0" w:line="276" w:lineRule="auto"/>
        <w:jc w:val="center"/>
        <w:rPr>
          <w:color w:val="EC008C"/>
        </w:rPr>
      </w:pPr>
    </w:p>
    <w:p w14:paraId="1E8176BC" w14:textId="77777777" w:rsidR="00EC708E" w:rsidRDefault="00EC708E" w:rsidP="00BB27D7">
      <w:pPr>
        <w:pStyle w:val="Subtitle1"/>
        <w:shd w:val="clear" w:color="auto" w:fill="FFFFFF"/>
        <w:spacing w:before="0" w:beforeAutospacing="0" w:after="0" w:afterAutospacing="0" w:line="276" w:lineRule="auto"/>
        <w:jc w:val="center"/>
        <w:rPr>
          <w:rFonts w:asciiTheme="minorHAnsi" w:hAnsiTheme="minorHAnsi" w:cstheme="minorHAnsi"/>
          <w:color w:val="EC008C"/>
          <w:sz w:val="22"/>
          <w:szCs w:val="22"/>
        </w:rPr>
      </w:pPr>
    </w:p>
    <w:p w14:paraId="67B4C14B" w14:textId="77777777" w:rsidR="00EC708E" w:rsidRDefault="00EC708E" w:rsidP="00BB27D7">
      <w:pPr>
        <w:pStyle w:val="Subtitle1"/>
        <w:shd w:val="clear" w:color="auto" w:fill="FFFFFF"/>
        <w:spacing w:before="0" w:beforeAutospacing="0" w:after="0" w:afterAutospacing="0" w:line="276" w:lineRule="auto"/>
        <w:jc w:val="center"/>
        <w:rPr>
          <w:rFonts w:asciiTheme="minorHAnsi" w:hAnsiTheme="minorHAnsi" w:cstheme="minorHAnsi"/>
          <w:color w:val="EC008C"/>
          <w:sz w:val="22"/>
          <w:szCs w:val="22"/>
        </w:rPr>
      </w:pPr>
    </w:p>
    <w:p w14:paraId="1C684087" w14:textId="77777777" w:rsidR="00EC708E" w:rsidRDefault="00EC708E" w:rsidP="00BB27D7">
      <w:pPr>
        <w:pStyle w:val="Subtitle1"/>
        <w:shd w:val="clear" w:color="auto" w:fill="FFFFFF"/>
        <w:spacing w:before="0" w:beforeAutospacing="0" w:after="0" w:afterAutospacing="0" w:line="276" w:lineRule="auto"/>
        <w:jc w:val="center"/>
        <w:rPr>
          <w:rFonts w:asciiTheme="minorHAnsi" w:hAnsiTheme="minorHAnsi" w:cstheme="minorHAnsi"/>
          <w:color w:val="EC008C"/>
          <w:sz w:val="22"/>
          <w:szCs w:val="22"/>
        </w:rPr>
      </w:pPr>
    </w:p>
    <w:p w14:paraId="66802C32" w14:textId="77777777" w:rsidR="00EC708E" w:rsidRDefault="00EC708E" w:rsidP="00BB27D7">
      <w:pPr>
        <w:pStyle w:val="Subtitle1"/>
        <w:shd w:val="clear" w:color="auto" w:fill="FFFFFF"/>
        <w:spacing w:before="0" w:beforeAutospacing="0" w:after="0" w:afterAutospacing="0" w:line="276" w:lineRule="auto"/>
        <w:jc w:val="center"/>
        <w:rPr>
          <w:rFonts w:asciiTheme="minorHAnsi" w:hAnsiTheme="minorHAnsi" w:cstheme="minorHAnsi"/>
          <w:color w:val="EC008C"/>
          <w:sz w:val="22"/>
          <w:szCs w:val="22"/>
        </w:rPr>
      </w:pPr>
    </w:p>
    <w:p w14:paraId="5E2C59FF" w14:textId="77777777" w:rsidR="00EC708E" w:rsidRDefault="00EC708E" w:rsidP="00BB27D7">
      <w:pPr>
        <w:pStyle w:val="Subtitle1"/>
        <w:shd w:val="clear" w:color="auto" w:fill="FFFFFF"/>
        <w:spacing w:before="0" w:beforeAutospacing="0" w:after="0" w:afterAutospacing="0" w:line="276" w:lineRule="auto"/>
        <w:jc w:val="center"/>
        <w:rPr>
          <w:rFonts w:asciiTheme="minorHAnsi" w:hAnsiTheme="minorHAnsi" w:cstheme="minorHAnsi"/>
          <w:color w:val="EC008C"/>
          <w:sz w:val="22"/>
          <w:szCs w:val="22"/>
        </w:rPr>
      </w:pPr>
    </w:p>
    <w:p w14:paraId="668571B0" w14:textId="77777777" w:rsidR="00EC708E" w:rsidRDefault="00EC708E" w:rsidP="00BB27D7">
      <w:pPr>
        <w:pStyle w:val="Subtitle1"/>
        <w:shd w:val="clear" w:color="auto" w:fill="FFFFFF"/>
        <w:spacing w:before="0" w:beforeAutospacing="0" w:after="0" w:afterAutospacing="0" w:line="276" w:lineRule="auto"/>
        <w:jc w:val="center"/>
        <w:rPr>
          <w:rFonts w:asciiTheme="minorHAnsi" w:hAnsiTheme="minorHAnsi" w:cstheme="minorHAnsi"/>
          <w:color w:val="EC008C"/>
          <w:sz w:val="22"/>
          <w:szCs w:val="22"/>
        </w:rPr>
      </w:pPr>
    </w:p>
    <w:p w14:paraId="286755EA" w14:textId="77777777" w:rsidR="00EC708E" w:rsidRDefault="00EC708E" w:rsidP="00BB27D7">
      <w:pPr>
        <w:pStyle w:val="Subtitle1"/>
        <w:shd w:val="clear" w:color="auto" w:fill="FFFFFF"/>
        <w:spacing w:before="0" w:beforeAutospacing="0" w:after="0" w:afterAutospacing="0" w:line="276" w:lineRule="auto"/>
        <w:jc w:val="center"/>
        <w:rPr>
          <w:rFonts w:asciiTheme="minorHAnsi" w:hAnsiTheme="minorHAnsi" w:cstheme="minorHAnsi"/>
          <w:color w:val="EC008C"/>
          <w:sz w:val="22"/>
          <w:szCs w:val="22"/>
        </w:rPr>
      </w:pPr>
    </w:p>
    <w:p w14:paraId="1F57B7D8" w14:textId="77777777" w:rsidR="00EC708E" w:rsidRDefault="00EC708E" w:rsidP="00BB27D7">
      <w:pPr>
        <w:pStyle w:val="Subtitle1"/>
        <w:shd w:val="clear" w:color="auto" w:fill="FFFFFF"/>
        <w:spacing w:before="0" w:beforeAutospacing="0" w:after="0" w:afterAutospacing="0" w:line="276" w:lineRule="auto"/>
        <w:jc w:val="center"/>
        <w:rPr>
          <w:rFonts w:asciiTheme="minorHAnsi" w:hAnsiTheme="minorHAnsi" w:cstheme="minorHAnsi"/>
          <w:color w:val="EC008C"/>
          <w:sz w:val="22"/>
          <w:szCs w:val="22"/>
        </w:rPr>
      </w:pPr>
    </w:p>
    <w:p w14:paraId="0334980A" w14:textId="77777777" w:rsidR="00EC708E" w:rsidRDefault="00EC708E" w:rsidP="00BB27D7">
      <w:pPr>
        <w:pStyle w:val="Subtitle1"/>
        <w:shd w:val="clear" w:color="auto" w:fill="FFFFFF"/>
        <w:spacing w:before="0" w:beforeAutospacing="0" w:after="0" w:afterAutospacing="0" w:line="276" w:lineRule="auto"/>
        <w:jc w:val="center"/>
        <w:rPr>
          <w:rFonts w:asciiTheme="minorHAnsi" w:hAnsiTheme="minorHAnsi" w:cstheme="minorHAnsi"/>
          <w:color w:val="EC008C"/>
          <w:sz w:val="22"/>
          <w:szCs w:val="22"/>
        </w:rPr>
      </w:pPr>
    </w:p>
    <w:p w14:paraId="13B95E73" w14:textId="77777777" w:rsidR="00EC708E" w:rsidRDefault="00EC708E" w:rsidP="00BB27D7">
      <w:pPr>
        <w:pStyle w:val="Subtitle1"/>
        <w:shd w:val="clear" w:color="auto" w:fill="FFFFFF"/>
        <w:spacing w:before="0" w:beforeAutospacing="0" w:after="0" w:afterAutospacing="0" w:line="276" w:lineRule="auto"/>
        <w:jc w:val="center"/>
        <w:rPr>
          <w:rFonts w:asciiTheme="minorHAnsi" w:hAnsiTheme="minorHAnsi" w:cstheme="minorHAnsi"/>
          <w:color w:val="EC008C"/>
          <w:sz w:val="22"/>
          <w:szCs w:val="22"/>
        </w:rPr>
      </w:pPr>
    </w:p>
    <w:p w14:paraId="496918B4" w14:textId="77777777" w:rsidR="00EC708E" w:rsidRDefault="00EC708E" w:rsidP="00BB27D7">
      <w:pPr>
        <w:pStyle w:val="Subtitle1"/>
        <w:shd w:val="clear" w:color="auto" w:fill="FFFFFF"/>
        <w:spacing w:before="0" w:beforeAutospacing="0" w:after="0" w:afterAutospacing="0" w:line="276" w:lineRule="auto"/>
        <w:rPr>
          <w:rFonts w:asciiTheme="minorHAnsi" w:hAnsiTheme="minorHAnsi" w:cstheme="minorHAnsi"/>
          <w:color w:val="EC008C"/>
          <w:sz w:val="22"/>
          <w:szCs w:val="22"/>
        </w:rPr>
      </w:pPr>
    </w:p>
    <w:p w14:paraId="5FE58156" w14:textId="77777777" w:rsidR="00EC708E" w:rsidRPr="0037695E" w:rsidRDefault="00EC708E" w:rsidP="00BB27D7">
      <w:pPr>
        <w:pStyle w:val="Subtitle1"/>
        <w:shd w:val="clear" w:color="auto" w:fill="FFFFFF"/>
        <w:spacing w:before="0" w:beforeAutospacing="0" w:after="0" w:afterAutospacing="0" w:line="276" w:lineRule="auto"/>
        <w:rPr>
          <w:rFonts w:asciiTheme="minorHAnsi" w:hAnsiTheme="minorHAnsi" w:cstheme="minorHAnsi"/>
          <w:color w:val="EC008C"/>
          <w:sz w:val="22"/>
          <w:szCs w:val="22"/>
        </w:rPr>
      </w:pPr>
    </w:p>
    <w:p w14:paraId="029FB92E" w14:textId="77777777" w:rsidR="00EC708E" w:rsidRPr="00C72333" w:rsidRDefault="00EC708E" w:rsidP="00BB27D7">
      <w:pPr>
        <w:pStyle w:val="Subtitle1"/>
        <w:shd w:val="clear" w:color="auto" w:fill="FFFFFF"/>
        <w:spacing w:before="0" w:beforeAutospacing="0" w:after="0" w:afterAutospacing="0" w:line="276" w:lineRule="auto"/>
        <w:jc w:val="center"/>
        <w:rPr>
          <w:color w:val="EC008C"/>
          <w:sz w:val="22"/>
          <w:szCs w:val="22"/>
        </w:rPr>
      </w:pPr>
      <w:r w:rsidRPr="00C72333">
        <w:rPr>
          <w:color w:val="EC008C"/>
          <w:sz w:val="22"/>
          <w:szCs w:val="22"/>
        </w:rPr>
        <w:t>STOPANSKA BANKA AD - SKOPJE</w:t>
      </w:r>
    </w:p>
    <w:p w14:paraId="448FD3A1" w14:textId="77777777" w:rsidR="00EC708E" w:rsidRPr="00C72333" w:rsidRDefault="00EC708E" w:rsidP="00BB27D7">
      <w:pPr>
        <w:pStyle w:val="NormalWeb"/>
        <w:shd w:val="clear" w:color="auto" w:fill="FFFFFF"/>
        <w:spacing w:before="0" w:beforeAutospacing="0" w:after="0" w:afterAutospacing="0" w:line="276" w:lineRule="auto"/>
        <w:rPr>
          <w:color w:val="000000"/>
          <w:sz w:val="22"/>
          <w:szCs w:val="22"/>
        </w:rPr>
      </w:pPr>
      <w:r w:rsidRPr="00C72333">
        <w:rPr>
          <w:color w:val="000000"/>
          <w:sz w:val="22"/>
          <w:szCs w:val="22"/>
        </w:rPr>
        <w:t> </w:t>
      </w:r>
    </w:p>
    <w:p w14:paraId="5CB6B0FD" w14:textId="77777777" w:rsidR="00EC708E" w:rsidRPr="00C72333" w:rsidRDefault="00EC708E" w:rsidP="00BB27D7">
      <w:pPr>
        <w:pStyle w:val="normaltext"/>
        <w:shd w:val="clear" w:color="auto" w:fill="FFFFFF"/>
        <w:spacing w:before="0" w:beforeAutospacing="0" w:after="0" w:afterAutospacing="0" w:line="276" w:lineRule="auto"/>
        <w:jc w:val="center"/>
        <w:rPr>
          <w:color w:val="000000"/>
          <w:sz w:val="22"/>
          <w:szCs w:val="22"/>
        </w:rPr>
      </w:pPr>
      <w:r w:rsidRPr="00C72333">
        <w:rPr>
          <w:color w:val="6D6D6D"/>
          <w:sz w:val="22"/>
          <w:szCs w:val="22"/>
        </w:rPr>
        <w:t>11 OKTOMVRI, 1000 SKOPJE</w:t>
      </w:r>
      <w:r w:rsidRPr="00C72333">
        <w:rPr>
          <w:rStyle w:val="apple-converted-space"/>
          <w:color w:val="6D6D6D"/>
          <w:sz w:val="22"/>
          <w:szCs w:val="22"/>
        </w:rPr>
        <w:t> </w:t>
      </w:r>
      <w:r w:rsidRPr="00C72333">
        <w:rPr>
          <w:color w:val="6D6D6D"/>
          <w:sz w:val="22"/>
          <w:szCs w:val="22"/>
        </w:rPr>
        <w:br/>
        <w:t>phone: +389 (0)2 3295-295</w:t>
      </w:r>
      <w:r w:rsidRPr="00C72333">
        <w:rPr>
          <w:rStyle w:val="apple-converted-space"/>
          <w:color w:val="6D6D6D"/>
          <w:sz w:val="22"/>
          <w:szCs w:val="22"/>
        </w:rPr>
        <w:t> </w:t>
      </w:r>
      <w:r w:rsidRPr="00C72333">
        <w:rPr>
          <w:color w:val="6D6D6D"/>
          <w:sz w:val="22"/>
          <w:szCs w:val="22"/>
        </w:rPr>
        <w:br/>
      </w:r>
      <w:r w:rsidRPr="00C72333">
        <w:rPr>
          <w:rStyle w:val="normaltext1"/>
          <w:rFonts w:eastAsiaTheme="majorEastAsia"/>
          <w:color w:val="6D6D6D"/>
          <w:sz w:val="22"/>
          <w:szCs w:val="22"/>
        </w:rPr>
        <w:t>E-mail:</w:t>
      </w:r>
      <w:r w:rsidRPr="00C72333">
        <w:rPr>
          <w:rStyle w:val="apple-converted-space"/>
          <w:color w:val="000000"/>
          <w:sz w:val="22"/>
          <w:szCs w:val="22"/>
        </w:rPr>
        <w:t> </w:t>
      </w:r>
      <w:hyperlink r:id="rId30" w:history="1">
        <w:r w:rsidRPr="00C72333">
          <w:rPr>
            <w:rStyle w:val="Hyperlink"/>
            <w:rFonts w:eastAsiaTheme="majorEastAsia"/>
            <w:b/>
            <w:bCs/>
            <w:color w:val="4D4D4D"/>
            <w:sz w:val="22"/>
            <w:szCs w:val="22"/>
          </w:rPr>
          <w:t>sbank@stb.com.mk</w:t>
        </w:r>
      </w:hyperlink>
      <w:r w:rsidRPr="00C72333">
        <w:rPr>
          <w:color w:val="000000"/>
          <w:sz w:val="22"/>
          <w:szCs w:val="22"/>
        </w:rPr>
        <w:br/>
      </w:r>
      <w:r w:rsidRPr="00C72333">
        <w:rPr>
          <w:rStyle w:val="normaltext1"/>
          <w:rFonts w:eastAsiaTheme="majorEastAsia"/>
          <w:color w:val="6D6D6D"/>
          <w:sz w:val="22"/>
          <w:szCs w:val="22"/>
        </w:rPr>
        <w:t>http://</w:t>
      </w:r>
      <w:r w:rsidRPr="00C72333">
        <w:rPr>
          <w:rStyle w:val="apple-converted-space"/>
          <w:color w:val="000000"/>
          <w:sz w:val="22"/>
          <w:szCs w:val="22"/>
        </w:rPr>
        <w:t> </w:t>
      </w:r>
      <w:hyperlink r:id="rId31" w:history="1">
        <w:r w:rsidRPr="00C72333">
          <w:rPr>
            <w:rStyle w:val="Hyperlink"/>
            <w:rFonts w:eastAsiaTheme="majorEastAsia"/>
            <w:b/>
            <w:bCs/>
            <w:color w:val="4D4D4D"/>
            <w:sz w:val="22"/>
            <w:szCs w:val="22"/>
          </w:rPr>
          <w:t>www.stb.com.mk</w:t>
        </w:r>
      </w:hyperlink>
    </w:p>
    <w:p w14:paraId="67B0C129" w14:textId="77777777" w:rsidR="00EC708E" w:rsidRDefault="00EC708E" w:rsidP="00BB27D7">
      <w:pPr>
        <w:autoSpaceDE w:val="0"/>
        <w:autoSpaceDN w:val="0"/>
        <w:adjustRightInd w:val="0"/>
        <w:spacing w:before="240"/>
        <w:jc w:val="both"/>
        <w:rPr>
          <w:rFonts w:asciiTheme="minorHAnsi" w:hAnsiTheme="minorHAnsi" w:cstheme="minorHAnsi"/>
        </w:rPr>
      </w:pPr>
    </w:p>
    <w:p w14:paraId="02EF2747" w14:textId="77777777" w:rsidR="00EC708E" w:rsidRDefault="00EC708E" w:rsidP="00BB27D7">
      <w:pPr>
        <w:autoSpaceDE w:val="0"/>
        <w:autoSpaceDN w:val="0"/>
        <w:adjustRightInd w:val="0"/>
        <w:spacing w:before="240"/>
        <w:jc w:val="both"/>
        <w:rPr>
          <w:rFonts w:asciiTheme="minorHAnsi" w:hAnsiTheme="minorHAnsi" w:cstheme="minorHAnsi"/>
        </w:rPr>
      </w:pPr>
    </w:p>
    <w:p w14:paraId="2BC2790E" w14:textId="77777777" w:rsidR="00EC708E" w:rsidRDefault="00EC708E" w:rsidP="00BB27D7">
      <w:pPr>
        <w:autoSpaceDE w:val="0"/>
        <w:autoSpaceDN w:val="0"/>
        <w:adjustRightInd w:val="0"/>
        <w:spacing w:before="240"/>
        <w:jc w:val="both"/>
        <w:rPr>
          <w:rFonts w:asciiTheme="minorHAnsi" w:hAnsiTheme="minorHAnsi" w:cstheme="minorHAnsi"/>
        </w:rPr>
      </w:pPr>
    </w:p>
    <w:p w14:paraId="5EAAD2A5" w14:textId="77777777" w:rsidR="00EC708E" w:rsidRDefault="00EC708E" w:rsidP="00BB27D7">
      <w:pPr>
        <w:autoSpaceDE w:val="0"/>
        <w:autoSpaceDN w:val="0"/>
        <w:adjustRightInd w:val="0"/>
        <w:spacing w:before="240"/>
        <w:jc w:val="both"/>
        <w:rPr>
          <w:rFonts w:asciiTheme="minorHAnsi" w:hAnsiTheme="minorHAnsi" w:cstheme="minorHAnsi"/>
        </w:rPr>
      </w:pPr>
    </w:p>
    <w:p w14:paraId="09EF48B2" w14:textId="77777777" w:rsidR="00EC708E" w:rsidRDefault="00EC708E" w:rsidP="00BB27D7">
      <w:pPr>
        <w:autoSpaceDE w:val="0"/>
        <w:autoSpaceDN w:val="0"/>
        <w:adjustRightInd w:val="0"/>
        <w:spacing w:before="240" w:after="0"/>
        <w:rPr>
          <w:rFonts w:ascii="Times New Roman" w:eastAsia="Times New Roman" w:hAnsi="Times New Roman"/>
          <w:b/>
          <w:bCs/>
          <w:color w:val="000000"/>
          <w:sz w:val="24"/>
          <w:szCs w:val="24"/>
          <w:lang w:eastAsia="en-GB"/>
        </w:rPr>
      </w:pPr>
    </w:p>
    <w:p w14:paraId="01F53155" w14:textId="77777777" w:rsidR="002D23DF" w:rsidRDefault="002D23DF" w:rsidP="00BB27D7">
      <w:pPr>
        <w:autoSpaceDE w:val="0"/>
        <w:autoSpaceDN w:val="0"/>
        <w:adjustRightInd w:val="0"/>
        <w:spacing w:before="240"/>
        <w:jc w:val="both"/>
        <w:rPr>
          <w:rFonts w:asciiTheme="minorHAnsi" w:hAnsiTheme="minorHAnsi" w:cstheme="minorHAnsi"/>
        </w:rPr>
      </w:pPr>
    </w:p>
    <w:sectPr w:rsidR="002D23DF" w:rsidSect="00CC3D4F">
      <w:footerReference w:type="first" r:id="rId32"/>
      <w:pgSz w:w="12240" w:h="15840" w:code="1"/>
      <w:pgMar w:top="1440" w:right="1440" w:bottom="1260" w:left="153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1E3917" w14:textId="77777777" w:rsidR="001F382F" w:rsidRDefault="001F382F" w:rsidP="005B6AFC">
      <w:pPr>
        <w:spacing w:after="0" w:line="240" w:lineRule="auto"/>
      </w:pPr>
      <w:r>
        <w:separator/>
      </w:r>
    </w:p>
  </w:endnote>
  <w:endnote w:type="continuationSeparator" w:id="0">
    <w:p w14:paraId="2DC04026" w14:textId="77777777" w:rsidR="001F382F" w:rsidRDefault="001F382F" w:rsidP="005B6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cedonian Tms">
    <w:altName w:val="Times New Roman"/>
    <w:panose1 w:val="02020603050405020304"/>
    <w:charset w:val="00"/>
    <w:family w:val="roman"/>
    <w:pitch w:val="variable"/>
    <w:sig w:usb0="00000003" w:usb1="00000000" w:usb2="00000000" w:usb3="00000000" w:csb0="00000001" w:csb1="00000000"/>
  </w:font>
  <w:font w:name="CG Times (WN)">
    <w:panose1 w:val="00000000000000000000"/>
    <w:charset w:val="00"/>
    <w:family w:val="roman"/>
    <w:notTrueType/>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MAC C Times">
    <w:panose1 w:val="02027200000000000000"/>
    <w:charset w:val="00"/>
    <w:family w:val="roman"/>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Garamond Three">
    <w:panose1 w:val="00000000000000000000"/>
    <w:charset w:val="00"/>
    <w:family w:val="roman"/>
    <w:notTrueType/>
    <w:pitch w:val="default"/>
    <w:sig w:usb0="00000003" w:usb1="00000000" w:usb2="00000000" w:usb3="00000000" w:csb0="00000001" w:csb1="00000000"/>
  </w:font>
  <w:font w:name="MakCirT">
    <w:panose1 w:val="02027200000000000000"/>
    <w:charset w:val="00"/>
    <w:family w:val="roman"/>
    <w:pitch w:val="variable"/>
    <w:sig w:usb0="00000087" w:usb1="00000000" w:usb2="00000000" w:usb3="00000000" w:csb0="0000001B" w:csb1="00000000"/>
  </w:font>
  <w:font w:name="Batang">
    <w:altName w:val="바탕"/>
    <w:panose1 w:val="02030600000101010101"/>
    <w:charset w:val="81"/>
    <w:family w:val="roman"/>
    <w:pitch w:val="variable"/>
    <w:sig w:usb0="B00002AF" w:usb1="69D77CFB" w:usb2="00000030" w:usb3="00000000" w:csb0="0008009F" w:csb1="00000000"/>
  </w:font>
  <w:font w:name="MAC C Swiss">
    <w:panose1 w:val="020B7200000000000000"/>
    <w:charset w:val="00"/>
    <w:family w:val="swiss"/>
    <w:pitch w:val="variable"/>
    <w:sig w:usb0="00000083" w:usb1="00000000" w:usb2="00000000" w:usb3="00000000" w:csb0="00000009"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7508"/>
      <w:docPartObj>
        <w:docPartGallery w:val="Page Numbers (Bottom of Page)"/>
        <w:docPartUnique/>
      </w:docPartObj>
    </w:sdtPr>
    <w:sdtContent>
      <w:p w14:paraId="489D19D1" w14:textId="2E3A4941" w:rsidR="001F382F" w:rsidRDefault="001F382F">
        <w:pPr>
          <w:pStyle w:val="Footer"/>
          <w:jc w:val="right"/>
        </w:pPr>
        <w:r>
          <w:fldChar w:fldCharType="begin"/>
        </w:r>
        <w:r>
          <w:instrText xml:space="preserve"> PAGE   \* MERGEFORMAT </w:instrText>
        </w:r>
        <w:r>
          <w:fldChar w:fldCharType="separate"/>
        </w:r>
        <w:r w:rsidR="005D34A7">
          <w:rPr>
            <w:noProof/>
          </w:rPr>
          <w:t>3</w:t>
        </w:r>
        <w:r>
          <w:rPr>
            <w:noProof/>
          </w:rPr>
          <w:fldChar w:fldCharType="end"/>
        </w:r>
      </w:p>
    </w:sdtContent>
  </w:sdt>
  <w:p w14:paraId="4DF44855" w14:textId="77777777" w:rsidR="001F382F" w:rsidRDefault="001F382F" w:rsidP="00CB6108">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FE1BA" w14:textId="77777777" w:rsidR="001F382F" w:rsidRDefault="001F382F">
    <w:pPr>
      <w:pStyle w:val="Footer"/>
      <w:jc w:val="right"/>
    </w:pPr>
  </w:p>
  <w:p w14:paraId="0D3343E9" w14:textId="77777777" w:rsidR="001F382F" w:rsidRDefault="001F38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A0191" w14:textId="2B647A62" w:rsidR="001F382F" w:rsidRDefault="001F382F">
    <w:pPr>
      <w:pStyle w:val="Footer"/>
      <w:jc w:val="right"/>
    </w:pPr>
    <w:r>
      <w:fldChar w:fldCharType="begin"/>
    </w:r>
    <w:r>
      <w:instrText xml:space="preserve"> PAGE   \* MERGEFORMAT </w:instrText>
    </w:r>
    <w:r>
      <w:fldChar w:fldCharType="separate"/>
    </w:r>
    <w:r w:rsidR="005D34A7">
      <w:rPr>
        <w:noProof/>
      </w:rPr>
      <w:t>1</w:t>
    </w:r>
    <w:r>
      <w:rPr>
        <w:noProof/>
      </w:rPr>
      <w:fldChar w:fldCharType="end"/>
    </w:r>
  </w:p>
  <w:p w14:paraId="286AFCD5" w14:textId="77777777" w:rsidR="001F382F" w:rsidRDefault="001F3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858B82" w14:textId="77777777" w:rsidR="001F382F" w:rsidRDefault="001F382F" w:rsidP="005B6AFC">
      <w:pPr>
        <w:spacing w:after="0" w:line="240" w:lineRule="auto"/>
      </w:pPr>
      <w:r>
        <w:separator/>
      </w:r>
    </w:p>
  </w:footnote>
  <w:footnote w:type="continuationSeparator" w:id="0">
    <w:p w14:paraId="360C6F78" w14:textId="77777777" w:rsidR="001F382F" w:rsidRDefault="001F382F" w:rsidP="005B6AFC">
      <w:pPr>
        <w:spacing w:after="0" w:line="240" w:lineRule="auto"/>
      </w:pPr>
      <w:r>
        <w:continuationSeparator/>
      </w:r>
    </w:p>
  </w:footnote>
  <w:footnote w:id="1">
    <w:p w14:paraId="48AA16EB" w14:textId="77777777" w:rsidR="001F382F" w:rsidRPr="00F020BB" w:rsidRDefault="001F382F" w:rsidP="00EC708E">
      <w:pPr>
        <w:pStyle w:val="FootnoteText"/>
        <w:jc w:val="both"/>
        <w:rPr>
          <w:sz w:val="18"/>
          <w:szCs w:val="18"/>
          <w:lang w:val="en-US"/>
        </w:rPr>
      </w:pPr>
      <w:r w:rsidRPr="00F020BB">
        <w:rPr>
          <w:rStyle w:val="FootnoteReference"/>
          <w:sz w:val="18"/>
          <w:szCs w:val="18"/>
        </w:rPr>
        <w:footnoteRef/>
      </w:r>
      <w:r w:rsidRPr="00F020BB">
        <w:rPr>
          <w:sz w:val="18"/>
          <w:szCs w:val="18"/>
          <w:lang w:val="mk-MK"/>
        </w:rPr>
        <w:t xml:space="preserve"> </w:t>
      </w:r>
      <w:r w:rsidRPr="00F020BB">
        <w:rPr>
          <w:sz w:val="18"/>
          <w:szCs w:val="18"/>
        </w:rPr>
        <w:t xml:space="preserve">Mr. Antonio Veljanov is also member of the Institute of Chartered Auditors of Republic of N. Macedonia, on voluntary basis. </w:t>
      </w:r>
    </w:p>
  </w:footnote>
  <w:footnote w:id="2">
    <w:p w14:paraId="403E23F7" w14:textId="7054484F" w:rsidR="001F382F" w:rsidRPr="00F020BB" w:rsidRDefault="001F382F" w:rsidP="00EC708E">
      <w:pPr>
        <w:pStyle w:val="FootnoteText"/>
        <w:jc w:val="both"/>
        <w:rPr>
          <w:sz w:val="18"/>
          <w:szCs w:val="18"/>
          <w:lang w:val="en-US"/>
        </w:rPr>
      </w:pPr>
      <w:r w:rsidRPr="00F020BB">
        <w:rPr>
          <w:rStyle w:val="FootnoteReference"/>
          <w:sz w:val="18"/>
          <w:szCs w:val="18"/>
        </w:rPr>
        <w:footnoteRef/>
      </w:r>
      <w:r w:rsidRPr="00F020BB">
        <w:rPr>
          <w:sz w:val="18"/>
          <w:szCs w:val="18"/>
          <w:lang w:val="en-US"/>
        </w:rPr>
        <w:t xml:space="preserve"> Ms. M. Trajanovska is also Chairman of the Supervisory Board of the Clearing House KIBS AD Skopje. </w:t>
      </w:r>
    </w:p>
  </w:footnote>
  <w:footnote w:id="3">
    <w:p w14:paraId="2AF69878" w14:textId="01CADFEB" w:rsidR="001F382F" w:rsidRPr="00F020BB" w:rsidRDefault="001F382F" w:rsidP="00EC708E">
      <w:pPr>
        <w:pStyle w:val="FootnoteText"/>
        <w:jc w:val="both"/>
        <w:rPr>
          <w:sz w:val="18"/>
          <w:szCs w:val="18"/>
          <w:lang w:val="en-US"/>
        </w:rPr>
      </w:pPr>
      <w:r w:rsidRPr="00F020BB">
        <w:rPr>
          <w:rStyle w:val="FootnoteReference"/>
          <w:sz w:val="18"/>
          <w:szCs w:val="18"/>
        </w:rPr>
        <w:footnoteRef/>
      </w:r>
      <w:r w:rsidRPr="00F020BB">
        <w:rPr>
          <w:sz w:val="18"/>
          <w:szCs w:val="18"/>
          <w:lang w:val="en-US"/>
        </w:rPr>
        <w:t xml:space="preserve"> Mr. Stojanovski is member in the following organizations: </w:t>
      </w:r>
    </w:p>
    <w:p w14:paraId="5143EFFC" w14:textId="77777777" w:rsidR="001F382F" w:rsidRPr="00F020BB" w:rsidRDefault="001F382F" w:rsidP="00EC708E">
      <w:pPr>
        <w:pStyle w:val="FootnoteText"/>
        <w:numPr>
          <w:ilvl w:val="0"/>
          <w:numId w:val="24"/>
        </w:numPr>
        <w:jc w:val="both"/>
        <w:rPr>
          <w:sz w:val="18"/>
          <w:szCs w:val="18"/>
          <w:lang w:val="en-US"/>
        </w:rPr>
      </w:pPr>
      <w:r w:rsidRPr="00F020BB">
        <w:rPr>
          <w:sz w:val="18"/>
          <w:szCs w:val="18"/>
          <w:lang w:val="en-US"/>
        </w:rPr>
        <w:t xml:space="preserve">Macedonian Stock Exchange, Chairman (non-executive member) of the Board of Directors; </w:t>
      </w:r>
    </w:p>
    <w:p w14:paraId="365A7FD2" w14:textId="77777777" w:rsidR="001F382F" w:rsidRPr="00F020BB" w:rsidRDefault="001F382F" w:rsidP="00EC708E">
      <w:pPr>
        <w:pStyle w:val="FootnoteText"/>
        <w:numPr>
          <w:ilvl w:val="0"/>
          <w:numId w:val="24"/>
        </w:numPr>
        <w:jc w:val="both"/>
        <w:rPr>
          <w:sz w:val="18"/>
          <w:szCs w:val="18"/>
          <w:lang w:val="en-US"/>
        </w:rPr>
      </w:pPr>
      <w:r w:rsidRPr="00F020BB">
        <w:rPr>
          <w:sz w:val="18"/>
          <w:szCs w:val="18"/>
          <w:lang w:val="en-US"/>
        </w:rPr>
        <w:t>Banking Association, Deputy Chairman (on voluntary basis).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3549A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2AAD6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74E89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B8027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9406D2E"/>
    <w:lvl w:ilvl="0">
      <w:start w:val="1"/>
      <w:numFmt w:val="bullet"/>
      <w:pStyle w:val="ListBullet5"/>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5CDCCCD4"/>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B456D2C0"/>
    <w:lvl w:ilvl="0">
      <w:start w:val="1"/>
      <w:numFmt w:val="bullet"/>
      <w:pStyle w:val="ListBullet3"/>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8C9A51E8"/>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3AAC31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90E34C"/>
    <w:lvl w:ilvl="0">
      <w:start w:val="1"/>
      <w:numFmt w:val="bullet"/>
      <w:pStyle w:val="ListBullet"/>
      <w:lvlText w:val=""/>
      <w:lvlJc w:val="left"/>
      <w:pPr>
        <w:tabs>
          <w:tab w:val="num" w:pos="360"/>
        </w:tabs>
        <w:ind w:left="360" w:hanging="360"/>
      </w:pPr>
      <w:rPr>
        <w:rFonts w:ascii="Symbol" w:hAnsi="Symbol" w:cs="Symbol" w:hint="default"/>
      </w:rPr>
    </w:lvl>
  </w:abstractNum>
  <w:abstractNum w:abstractNumId="10" w15:restartNumberingAfterBreak="0">
    <w:nsid w:val="060C18EF"/>
    <w:multiLevelType w:val="hybridMultilevel"/>
    <w:tmpl w:val="833C1202"/>
    <w:lvl w:ilvl="0" w:tplc="6F987246">
      <w:numFmt w:val="bullet"/>
      <w:lvlText w:val="-"/>
      <w:lvlJc w:val="left"/>
      <w:pPr>
        <w:ind w:left="900" w:hanging="360"/>
      </w:pPr>
      <w:rPr>
        <w:rFonts w:ascii="Calibri" w:eastAsia="Times New Roman" w:hAnsi="Calibri" w:cstheme="minorHAns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0B8E00AE"/>
    <w:multiLevelType w:val="hybridMultilevel"/>
    <w:tmpl w:val="59161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6A1932"/>
    <w:multiLevelType w:val="hybridMultilevel"/>
    <w:tmpl w:val="761E0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B36635"/>
    <w:multiLevelType w:val="hybridMultilevel"/>
    <w:tmpl w:val="A19E9226"/>
    <w:lvl w:ilvl="0" w:tplc="A55ADBBE">
      <w:numFmt w:val="bullet"/>
      <w:lvlText w:val="-"/>
      <w:lvlJc w:val="left"/>
      <w:pPr>
        <w:ind w:left="1066" w:hanging="360"/>
      </w:pPr>
      <w:rPr>
        <w:rFonts w:ascii="Calibri" w:eastAsia="Times New Roman" w:hAnsi="Calibri" w:cs="Calibri"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4" w15:restartNumberingAfterBreak="0">
    <w:nsid w:val="1FEA7CD3"/>
    <w:multiLevelType w:val="hybridMultilevel"/>
    <w:tmpl w:val="53AA1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C77A5A"/>
    <w:multiLevelType w:val="hybridMultilevel"/>
    <w:tmpl w:val="546C1FB4"/>
    <w:lvl w:ilvl="0" w:tplc="64580662">
      <w:numFmt w:val="bullet"/>
      <w:lvlText w:val="-"/>
      <w:lvlJc w:val="left"/>
      <w:pPr>
        <w:ind w:left="720" w:hanging="360"/>
      </w:pPr>
      <w:rPr>
        <w:rFonts w:ascii="Corbel" w:eastAsia="Times New Roma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F21BBE"/>
    <w:multiLevelType w:val="hybridMultilevel"/>
    <w:tmpl w:val="F80CB010"/>
    <w:lvl w:ilvl="0" w:tplc="121E505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6E00938"/>
    <w:multiLevelType w:val="hybridMultilevel"/>
    <w:tmpl w:val="97063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CF734B"/>
    <w:multiLevelType w:val="hybridMultilevel"/>
    <w:tmpl w:val="8A1E101E"/>
    <w:lvl w:ilvl="0" w:tplc="6F987246">
      <w:numFmt w:val="bullet"/>
      <w:lvlText w:val="-"/>
      <w:lvlJc w:val="left"/>
      <w:pPr>
        <w:ind w:left="1080" w:hanging="360"/>
      </w:pPr>
      <w:rPr>
        <w:rFonts w:ascii="Calibri" w:eastAsia="Times New Roman" w:hAnsi="Calibri"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5D15021"/>
    <w:multiLevelType w:val="hybridMultilevel"/>
    <w:tmpl w:val="87A8B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9FA6E03"/>
    <w:multiLevelType w:val="hybridMultilevel"/>
    <w:tmpl w:val="7354F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7504EF"/>
    <w:multiLevelType w:val="hybridMultilevel"/>
    <w:tmpl w:val="0038C3E2"/>
    <w:lvl w:ilvl="0" w:tplc="6F987246">
      <w:numFmt w:val="bullet"/>
      <w:lvlText w:val="-"/>
      <w:lvlJc w:val="left"/>
      <w:pPr>
        <w:ind w:left="900" w:hanging="360"/>
      </w:pPr>
      <w:rPr>
        <w:rFonts w:ascii="Calibri" w:eastAsia="Times New Roman" w:hAnsi="Calibri" w:cstheme="minorHAns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F642977"/>
    <w:multiLevelType w:val="hybridMultilevel"/>
    <w:tmpl w:val="12F6ED1A"/>
    <w:lvl w:ilvl="0" w:tplc="85208122">
      <w:numFmt w:val="bullet"/>
      <w:pStyle w:val="Bijlagebullets"/>
      <w:lvlText w:val="-"/>
      <w:lvlJc w:val="left"/>
      <w:pPr>
        <w:tabs>
          <w:tab w:val="num" w:pos="936"/>
        </w:tabs>
        <w:ind w:left="936" w:hanging="360"/>
      </w:pPr>
      <w:rPr>
        <w:rFonts w:ascii="Times New Roman" w:hAnsi="Times New Roman" w:cs="Times New Roman" w:hint="default"/>
        <w:caps w:val="0"/>
        <w:strike w:val="0"/>
        <w:dstrike w:val="0"/>
        <w:vanish w:val="0"/>
        <w:color w:val="auto"/>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7D018A"/>
    <w:multiLevelType w:val="hybridMultilevel"/>
    <w:tmpl w:val="6C961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B5339C"/>
    <w:multiLevelType w:val="hybridMultilevel"/>
    <w:tmpl w:val="3F32CD32"/>
    <w:lvl w:ilvl="0" w:tplc="6F987246">
      <w:numFmt w:val="bullet"/>
      <w:lvlText w:val="-"/>
      <w:lvlJc w:val="left"/>
      <w:pPr>
        <w:ind w:left="900" w:hanging="360"/>
      </w:pPr>
      <w:rPr>
        <w:rFonts w:ascii="Calibri" w:eastAsia="Times New Roman" w:hAnsi="Calibri" w:cstheme="minorHAns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4D0A3C36"/>
    <w:multiLevelType w:val="hybridMultilevel"/>
    <w:tmpl w:val="567C4EA6"/>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4EA42FDC"/>
    <w:multiLevelType w:val="hybridMultilevel"/>
    <w:tmpl w:val="42A63798"/>
    <w:lvl w:ilvl="0" w:tplc="E618DC0C">
      <w:start w:val="4"/>
      <w:numFmt w:val="bullet"/>
      <w:lvlText w:val="-"/>
      <w:lvlJc w:val="left"/>
      <w:pPr>
        <w:ind w:left="720" w:hanging="360"/>
      </w:pPr>
      <w:rPr>
        <w:rFonts w:ascii="Corbel" w:eastAsia="Times New Roma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33780C"/>
    <w:multiLevelType w:val="hybridMultilevel"/>
    <w:tmpl w:val="6A7E03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08E1ABF"/>
    <w:multiLevelType w:val="hybridMultilevel"/>
    <w:tmpl w:val="F592913C"/>
    <w:lvl w:ilvl="0" w:tplc="27C64402">
      <w:start w:val="1"/>
      <w:numFmt w:val="decimal"/>
      <w:lvlText w:val="%1."/>
      <w:lvlJc w:val="left"/>
      <w:pPr>
        <w:ind w:left="770" w:hanging="360"/>
      </w:pPr>
      <w:rPr>
        <w:rFonts w:ascii="Times New Roman" w:eastAsia="Times New Roman" w:hAnsi="Times New Roman" w:cs="Times New Roman"/>
      </w:rPr>
    </w:lvl>
    <w:lvl w:ilvl="1" w:tplc="04090003">
      <w:start w:val="1"/>
      <w:numFmt w:val="bullet"/>
      <w:lvlText w:val="o"/>
      <w:lvlJc w:val="left"/>
      <w:pPr>
        <w:ind w:left="1490" w:hanging="360"/>
      </w:pPr>
      <w:rPr>
        <w:rFonts w:ascii="Courier New" w:hAnsi="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hint="default"/>
      </w:rPr>
    </w:lvl>
    <w:lvl w:ilvl="8" w:tplc="04090005">
      <w:start w:val="1"/>
      <w:numFmt w:val="bullet"/>
      <w:lvlText w:val=""/>
      <w:lvlJc w:val="left"/>
      <w:pPr>
        <w:ind w:left="6530" w:hanging="360"/>
      </w:pPr>
      <w:rPr>
        <w:rFonts w:ascii="Wingdings" w:hAnsi="Wingdings" w:hint="default"/>
      </w:rPr>
    </w:lvl>
  </w:abstractNum>
  <w:abstractNum w:abstractNumId="29" w15:restartNumberingAfterBreak="0">
    <w:nsid w:val="51462612"/>
    <w:multiLevelType w:val="multilevel"/>
    <w:tmpl w:val="D9BA5070"/>
    <w:lvl w:ilvl="0">
      <w:start w:val="1"/>
      <w:numFmt w:val="decimal"/>
      <w:pStyle w:val="Numbered1"/>
      <w:lvlText w:val="%1"/>
      <w:lvlJc w:val="left"/>
      <w:pPr>
        <w:tabs>
          <w:tab w:val="num" w:pos="720"/>
        </w:tabs>
        <w:ind w:left="720" w:hanging="720"/>
      </w:pPr>
      <w:rPr>
        <w:rFonts w:cs="Times New Roman" w:hint="default"/>
      </w:rPr>
    </w:lvl>
    <w:lvl w:ilvl="1">
      <w:start w:val="1"/>
      <w:numFmt w:val="decimal"/>
      <w:pStyle w:val="Numbered2"/>
      <w:lvlText w:val="%1.%2"/>
      <w:lvlJc w:val="left"/>
      <w:pPr>
        <w:tabs>
          <w:tab w:val="num" w:pos="1134"/>
        </w:tabs>
        <w:ind w:left="1134" w:hanging="544"/>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30" w15:restartNumberingAfterBreak="0">
    <w:nsid w:val="54C30151"/>
    <w:multiLevelType w:val="hybridMultilevel"/>
    <w:tmpl w:val="44D8A814"/>
    <w:lvl w:ilvl="0" w:tplc="6F987246">
      <w:numFmt w:val="bullet"/>
      <w:lvlText w:val="-"/>
      <w:lvlJc w:val="left"/>
      <w:pPr>
        <w:ind w:left="900" w:hanging="360"/>
      </w:pPr>
      <w:rPr>
        <w:rFonts w:ascii="Calibri" w:eastAsia="Times New Roman" w:hAnsi="Calibri" w:cstheme="minorHAns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15:restartNumberingAfterBreak="0">
    <w:nsid w:val="56887789"/>
    <w:multiLevelType w:val="hybridMultilevel"/>
    <w:tmpl w:val="5E2667D8"/>
    <w:lvl w:ilvl="0" w:tplc="8878D4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1000A5"/>
    <w:multiLevelType w:val="hybridMultilevel"/>
    <w:tmpl w:val="CC708346"/>
    <w:lvl w:ilvl="0" w:tplc="121E5052">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3554A3"/>
    <w:multiLevelType w:val="hybridMultilevel"/>
    <w:tmpl w:val="E05A92C0"/>
    <w:lvl w:ilvl="0" w:tplc="EFEE1326">
      <w:start w:val="1"/>
      <w:numFmt w:val="upperLetter"/>
      <w:lvlText w:val="%1)"/>
      <w:lvlJc w:val="left"/>
      <w:pPr>
        <w:ind w:left="234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9F77D9"/>
    <w:multiLevelType w:val="hybridMultilevel"/>
    <w:tmpl w:val="192C0DC0"/>
    <w:lvl w:ilvl="0" w:tplc="168E967E">
      <w:start w:val="1"/>
      <w:numFmt w:val="decimal"/>
      <w:pStyle w:val="BlockNumbered"/>
      <w:lvlText w:val="%1."/>
      <w:lvlJc w:val="left"/>
      <w:pPr>
        <w:tabs>
          <w:tab w:val="num" w:pos="1430"/>
        </w:tabs>
        <w:ind w:left="1430" w:hanging="360"/>
      </w:pPr>
      <w:rPr>
        <w:rFonts w:hint="default"/>
      </w:rPr>
    </w:lvl>
    <w:lvl w:ilvl="1" w:tplc="04090019">
      <w:start w:val="1"/>
      <w:numFmt w:val="lowerLetter"/>
      <w:pStyle w:val="BlockNumbered"/>
      <w:lvlText w:val="%2."/>
      <w:lvlJc w:val="left"/>
      <w:pPr>
        <w:tabs>
          <w:tab w:val="num" w:pos="1146"/>
        </w:tabs>
        <w:ind w:left="1146" w:hanging="360"/>
      </w:pPr>
    </w:lvl>
    <w:lvl w:ilvl="2" w:tplc="0409001B" w:tentative="1">
      <w:start w:val="1"/>
      <w:numFmt w:val="lowerRoman"/>
      <w:lvlText w:val="%3."/>
      <w:lvlJc w:val="right"/>
      <w:pPr>
        <w:tabs>
          <w:tab w:val="num" w:pos="1866"/>
        </w:tabs>
        <w:ind w:left="1866" w:hanging="180"/>
      </w:pPr>
    </w:lvl>
    <w:lvl w:ilvl="3" w:tplc="0409000F" w:tentative="1">
      <w:start w:val="1"/>
      <w:numFmt w:val="decimal"/>
      <w:lvlText w:val="%4."/>
      <w:lvlJc w:val="left"/>
      <w:pPr>
        <w:tabs>
          <w:tab w:val="num" w:pos="2586"/>
        </w:tabs>
        <w:ind w:left="2586" w:hanging="360"/>
      </w:pPr>
    </w:lvl>
    <w:lvl w:ilvl="4" w:tplc="04090019" w:tentative="1">
      <w:start w:val="1"/>
      <w:numFmt w:val="lowerLetter"/>
      <w:lvlText w:val="%5."/>
      <w:lvlJc w:val="left"/>
      <w:pPr>
        <w:tabs>
          <w:tab w:val="num" w:pos="3306"/>
        </w:tabs>
        <w:ind w:left="3306" w:hanging="360"/>
      </w:pPr>
    </w:lvl>
    <w:lvl w:ilvl="5" w:tplc="0409001B" w:tentative="1">
      <w:start w:val="1"/>
      <w:numFmt w:val="lowerRoman"/>
      <w:lvlText w:val="%6."/>
      <w:lvlJc w:val="right"/>
      <w:pPr>
        <w:tabs>
          <w:tab w:val="num" w:pos="4026"/>
        </w:tabs>
        <w:ind w:left="4026" w:hanging="180"/>
      </w:pPr>
    </w:lvl>
    <w:lvl w:ilvl="6" w:tplc="0409000F" w:tentative="1">
      <w:start w:val="1"/>
      <w:numFmt w:val="decimal"/>
      <w:lvlText w:val="%7."/>
      <w:lvlJc w:val="left"/>
      <w:pPr>
        <w:tabs>
          <w:tab w:val="num" w:pos="4746"/>
        </w:tabs>
        <w:ind w:left="4746" w:hanging="360"/>
      </w:pPr>
    </w:lvl>
    <w:lvl w:ilvl="7" w:tplc="04090019" w:tentative="1">
      <w:start w:val="1"/>
      <w:numFmt w:val="lowerLetter"/>
      <w:lvlText w:val="%8."/>
      <w:lvlJc w:val="left"/>
      <w:pPr>
        <w:tabs>
          <w:tab w:val="num" w:pos="5466"/>
        </w:tabs>
        <w:ind w:left="5466" w:hanging="360"/>
      </w:pPr>
    </w:lvl>
    <w:lvl w:ilvl="8" w:tplc="0409001B" w:tentative="1">
      <w:start w:val="1"/>
      <w:numFmt w:val="lowerRoman"/>
      <w:lvlText w:val="%9."/>
      <w:lvlJc w:val="right"/>
      <w:pPr>
        <w:tabs>
          <w:tab w:val="num" w:pos="6186"/>
        </w:tabs>
        <w:ind w:left="6186" w:hanging="180"/>
      </w:pPr>
    </w:lvl>
  </w:abstractNum>
  <w:abstractNum w:abstractNumId="35" w15:restartNumberingAfterBreak="0">
    <w:nsid w:val="5D9573E3"/>
    <w:multiLevelType w:val="hybridMultilevel"/>
    <w:tmpl w:val="C422DD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494DC7"/>
    <w:multiLevelType w:val="hybridMultilevel"/>
    <w:tmpl w:val="21F06C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7DD4DC0"/>
    <w:multiLevelType w:val="hybridMultilevel"/>
    <w:tmpl w:val="E76845C2"/>
    <w:lvl w:ilvl="0" w:tplc="121E5052">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D55E4B"/>
    <w:multiLevelType w:val="hybridMultilevel"/>
    <w:tmpl w:val="6854BB4C"/>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9" w15:restartNumberingAfterBreak="0">
    <w:nsid w:val="72126AB4"/>
    <w:multiLevelType w:val="hybridMultilevel"/>
    <w:tmpl w:val="8B26D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C85BE3"/>
    <w:multiLevelType w:val="hybridMultilevel"/>
    <w:tmpl w:val="71D6A3CC"/>
    <w:lvl w:ilvl="0" w:tplc="D950660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1" w15:restartNumberingAfterBreak="0">
    <w:nsid w:val="797F4E92"/>
    <w:multiLevelType w:val="hybridMultilevel"/>
    <w:tmpl w:val="646E57F6"/>
    <w:lvl w:ilvl="0" w:tplc="9CE2094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15:restartNumberingAfterBreak="0">
    <w:nsid w:val="7B400D24"/>
    <w:multiLevelType w:val="hybridMultilevel"/>
    <w:tmpl w:val="A0B6F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320C7D"/>
    <w:multiLevelType w:val="hybridMultilevel"/>
    <w:tmpl w:val="9FAC331A"/>
    <w:lvl w:ilvl="0" w:tplc="64580662">
      <w:numFmt w:val="bullet"/>
      <w:lvlText w:val="-"/>
      <w:lvlJc w:val="left"/>
      <w:pPr>
        <w:ind w:left="720" w:hanging="360"/>
      </w:pPr>
      <w:rPr>
        <w:rFonts w:ascii="Corbel" w:eastAsia="Times New Roman" w:hAnsi="Corbel"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4"/>
  </w:num>
  <w:num w:numId="14">
    <w:abstractNumId w:val="36"/>
  </w:num>
  <w:num w:numId="15">
    <w:abstractNumId w:val="25"/>
  </w:num>
  <w:num w:numId="16">
    <w:abstractNumId w:val="12"/>
  </w:num>
  <w:num w:numId="17">
    <w:abstractNumId w:val="29"/>
  </w:num>
  <w:num w:numId="18">
    <w:abstractNumId w:val="27"/>
  </w:num>
  <w:num w:numId="19">
    <w:abstractNumId w:val="33"/>
  </w:num>
  <w:num w:numId="20">
    <w:abstractNumId w:val="39"/>
  </w:num>
  <w:num w:numId="21">
    <w:abstractNumId w:val="14"/>
  </w:num>
  <w:num w:numId="22">
    <w:abstractNumId w:val="11"/>
  </w:num>
  <w:num w:numId="23">
    <w:abstractNumId w:val="13"/>
  </w:num>
  <w:num w:numId="24">
    <w:abstractNumId w:val="26"/>
  </w:num>
  <w:num w:numId="25">
    <w:abstractNumId w:val="17"/>
  </w:num>
  <w:num w:numId="26">
    <w:abstractNumId w:val="18"/>
  </w:num>
  <w:num w:numId="27">
    <w:abstractNumId w:val="20"/>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1"/>
  </w:num>
  <w:num w:numId="31">
    <w:abstractNumId w:val="15"/>
  </w:num>
  <w:num w:numId="32">
    <w:abstractNumId w:val="43"/>
  </w:num>
  <w:num w:numId="33">
    <w:abstractNumId w:val="19"/>
  </w:num>
  <w:num w:numId="34">
    <w:abstractNumId w:val="21"/>
  </w:num>
  <w:num w:numId="35">
    <w:abstractNumId w:val="24"/>
  </w:num>
  <w:num w:numId="36">
    <w:abstractNumId w:val="30"/>
  </w:num>
  <w:num w:numId="37">
    <w:abstractNumId w:val="10"/>
  </w:num>
  <w:num w:numId="38">
    <w:abstractNumId w:val="37"/>
  </w:num>
  <w:num w:numId="39">
    <w:abstractNumId w:val="23"/>
  </w:num>
  <w:num w:numId="40">
    <w:abstractNumId w:val="16"/>
  </w:num>
  <w:num w:numId="41">
    <w:abstractNumId w:val="38"/>
  </w:num>
  <w:num w:numId="42">
    <w:abstractNumId w:val="35"/>
  </w:num>
  <w:num w:numId="43">
    <w:abstractNumId w:val="23"/>
  </w:num>
  <w:num w:numId="44">
    <w:abstractNumId w:val="42"/>
  </w:num>
  <w:num w:numId="45">
    <w:abstractNumId w:val="3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00D"/>
    <w:rsid w:val="000018E5"/>
    <w:rsid w:val="00002680"/>
    <w:rsid w:val="00005C30"/>
    <w:rsid w:val="000103C3"/>
    <w:rsid w:val="00010640"/>
    <w:rsid w:val="000106A8"/>
    <w:rsid w:val="00010884"/>
    <w:rsid w:val="00011661"/>
    <w:rsid w:val="000120F5"/>
    <w:rsid w:val="00012EAE"/>
    <w:rsid w:val="00013F3D"/>
    <w:rsid w:val="000160F4"/>
    <w:rsid w:val="0001694D"/>
    <w:rsid w:val="0002024F"/>
    <w:rsid w:val="00020484"/>
    <w:rsid w:val="00021107"/>
    <w:rsid w:val="000214AB"/>
    <w:rsid w:val="00021B8E"/>
    <w:rsid w:val="00022744"/>
    <w:rsid w:val="00022C0C"/>
    <w:rsid w:val="00023F10"/>
    <w:rsid w:val="000254BC"/>
    <w:rsid w:val="00027831"/>
    <w:rsid w:val="00027B93"/>
    <w:rsid w:val="00027F64"/>
    <w:rsid w:val="00031E3D"/>
    <w:rsid w:val="00032BDF"/>
    <w:rsid w:val="000340D0"/>
    <w:rsid w:val="000341A4"/>
    <w:rsid w:val="00035A68"/>
    <w:rsid w:val="00035BEA"/>
    <w:rsid w:val="0003797B"/>
    <w:rsid w:val="000413A7"/>
    <w:rsid w:val="00041558"/>
    <w:rsid w:val="00041E4D"/>
    <w:rsid w:val="00042B6F"/>
    <w:rsid w:val="00042BCB"/>
    <w:rsid w:val="00042EBB"/>
    <w:rsid w:val="00043369"/>
    <w:rsid w:val="00047ECC"/>
    <w:rsid w:val="000525C8"/>
    <w:rsid w:val="000528F9"/>
    <w:rsid w:val="00053562"/>
    <w:rsid w:val="00054363"/>
    <w:rsid w:val="00054C17"/>
    <w:rsid w:val="00055958"/>
    <w:rsid w:val="00056768"/>
    <w:rsid w:val="0005741A"/>
    <w:rsid w:val="00057B26"/>
    <w:rsid w:val="00061AF4"/>
    <w:rsid w:val="00066F82"/>
    <w:rsid w:val="00071C25"/>
    <w:rsid w:val="00072DA1"/>
    <w:rsid w:val="00074848"/>
    <w:rsid w:val="00077F42"/>
    <w:rsid w:val="000803E6"/>
    <w:rsid w:val="00081C0C"/>
    <w:rsid w:val="00082459"/>
    <w:rsid w:val="00082E40"/>
    <w:rsid w:val="0008370B"/>
    <w:rsid w:val="00085374"/>
    <w:rsid w:val="000870C1"/>
    <w:rsid w:val="00087349"/>
    <w:rsid w:val="00087FC1"/>
    <w:rsid w:val="00090145"/>
    <w:rsid w:val="000904FC"/>
    <w:rsid w:val="00090C15"/>
    <w:rsid w:val="00090D79"/>
    <w:rsid w:val="0009209A"/>
    <w:rsid w:val="000924FF"/>
    <w:rsid w:val="00093797"/>
    <w:rsid w:val="000943C5"/>
    <w:rsid w:val="000955F4"/>
    <w:rsid w:val="000963C0"/>
    <w:rsid w:val="000A0848"/>
    <w:rsid w:val="000A199E"/>
    <w:rsid w:val="000A1FC3"/>
    <w:rsid w:val="000A3865"/>
    <w:rsid w:val="000A4238"/>
    <w:rsid w:val="000A5303"/>
    <w:rsid w:val="000A5367"/>
    <w:rsid w:val="000A5B89"/>
    <w:rsid w:val="000A618D"/>
    <w:rsid w:val="000B0072"/>
    <w:rsid w:val="000B038C"/>
    <w:rsid w:val="000B1A35"/>
    <w:rsid w:val="000B3788"/>
    <w:rsid w:val="000B3A2C"/>
    <w:rsid w:val="000B3B72"/>
    <w:rsid w:val="000B3D14"/>
    <w:rsid w:val="000B4EFC"/>
    <w:rsid w:val="000B59D2"/>
    <w:rsid w:val="000B59EE"/>
    <w:rsid w:val="000B7A9A"/>
    <w:rsid w:val="000C02D2"/>
    <w:rsid w:val="000C0F73"/>
    <w:rsid w:val="000C6269"/>
    <w:rsid w:val="000C6908"/>
    <w:rsid w:val="000C71C6"/>
    <w:rsid w:val="000C7B41"/>
    <w:rsid w:val="000D03FD"/>
    <w:rsid w:val="000D33D1"/>
    <w:rsid w:val="000D3DA2"/>
    <w:rsid w:val="000D4A60"/>
    <w:rsid w:val="000D70FE"/>
    <w:rsid w:val="000D73B4"/>
    <w:rsid w:val="000D77C3"/>
    <w:rsid w:val="000E1D01"/>
    <w:rsid w:val="000E1F7F"/>
    <w:rsid w:val="000E1FA4"/>
    <w:rsid w:val="000E35AC"/>
    <w:rsid w:val="000E3665"/>
    <w:rsid w:val="000E44B9"/>
    <w:rsid w:val="000E520C"/>
    <w:rsid w:val="000E5480"/>
    <w:rsid w:val="000E5967"/>
    <w:rsid w:val="000E688E"/>
    <w:rsid w:val="000E7DC6"/>
    <w:rsid w:val="000F0036"/>
    <w:rsid w:val="000F0C9C"/>
    <w:rsid w:val="000F0D47"/>
    <w:rsid w:val="000F251F"/>
    <w:rsid w:val="000F30BC"/>
    <w:rsid w:val="000F3234"/>
    <w:rsid w:val="000F3BAB"/>
    <w:rsid w:val="000F3F0C"/>
    <w:rsid w:val="000F5315"/>
    <w:rsid w:val="000F5567"/>
    <w:rsid w:val="000F7AE9"/>
    <w:rsid w:val="0010063B"/>
    <w:rsid w:val="00100FCB"/>
    <w:rsid w:val="0010109A"/>
    <w:rsid w:val="001015DF"/>
    <w:rsid w:val="00101AA0"/>
    <w:rsid w:val="00103BF0"/>
    <w:rsid w:val="001050D3"/>
    <w:rsid w:val="00106781"/>
    <w:rsid w:val="00106E94"/>
    <w:rsid w:val="001118B4"/>
    <w:rsid w:val="001119A2"/>
    <w:rsid w:val="00112ADF"/>
    <w:rsid w:val="00112AE3"/>
    <w:rsid w:val="001133CB"/>
    <w:rsid w:val="00113A63"/>
    <w:rsid w:val="00113F2E"/>
    <w:rsid w:val="00114284"/>
    <w:rsid w:val="0011597D"/>
    <w:rsid w:val="0011660B"/>
    <w:rsid w:val="00117461"/>
    <w:rsid w:val="00120E94"/>
    <w:rsid w:val="0012138E"/>
    <w:rsid w:val="00121BA8"/>
    <w:rsid w:val="001227FA"/>
    <w:rsid w:val="00123C4C"/>
    <w:rsid w:val="00124BB8"/>
    <w:rsid w:val="001253DC"/>
    <w:rsid w:val="00126EE6"/>
    <w:rsid w:val="00126F3C"/>
    <w:rsid w:val="00127AC2"/>
    <w:rsid w:val="00131BA1"/>
    <w:rsid w:val="001321E7"/>
    <w:rsid w:val="00133669"/>
    <w:rsid w:val="00133B8E"/>
    <w:rsid w:val="00133F14"/>
    <w:rsid w:val="00134095"/>
    <w:rsid w:val="001342D3"/>
    <w:rsid w:val="00135BEC"/>
    <w:rsid w:val="00136366"/>
    <w:rsid w:val="00136852"/>
    <w:rsid w:val="00140041"/>
    <w:rsid w:val="00140244"/>
    <w:rsid w:val="00143747"/>
    <w:rsid w:val="00146FE9"/>
    <w:rsid w:val="001501FE"/>
    <w:rsid w:val="00152012"/>
    <w:rsid w:val="00152F80"/>
    <w:rsid w:val="0015369F"/>
    <w:rsid w:val="00156160"/>
    <w:rsid w:val="00157110"/>
    <w:rsid w:val="00157127"/>
    <w:rsid w:val="0015776F"/>
    <w:rsid w:val="00161FEF"/>
    <w:rsid w:val="001654E7"/>
    <w:rsid w:val="00166C91"/>
    <w:rsid w:val="001672ED"/>
    <w:rsid w:val="00170330"/>
    <w:rsid w:val="00170EA6"/>
    <w:rsid w:val="001727C1"/>
    <w:rsid w:val="001737B8"/>
    <w:rsid w:val="00173A32"/>
    <w:rsid w:val="00174962"/>
    <w:rsid w:val="0017612A"/>
    <w:rsid w:val="001806E5"/>
    <w:rsid w:val="0018181A"/>
    <w:rsid w:val="00181F04"/>
    <w:rsid w:val="00182E0E"/>
    <w:rsid w:val="001830BD"/>
    <w:rsid w:val="00183422"/>
    <w:rsid w:val="00184143"/>
    <w:rsid w:val="00184460"/>
    <w:rsid w:val="001850B8"/>
    <w:rsid w:val="00186568"/>
    <w:rsid w:val="00187E35"/>
    <w:rsid w:val="001911BC"/>
    <w:rsid w:val="00192617"/>
    <w:rsid w:val="001932E8"/>
    <w:rsid w:val="00194739"/>
    <w:rsid w:val="001948C9"/>
    <w:rsid w:val="0019548B"/>
    <w:rsid w:val="0019586E"/>
    <w:rsid w:val="001968D1"/>
    <w:rsid w:val="00196F15"/>
    <w:rsid w:val="00196F45"/>
    <w:rsid w:val="0019714A"/>
    <w:rsid w:val="001979EC"/>
    <w:rsid w:val="001A04D9"/>
    <w:rsid w:val="001A2F57"/>
    <w:rsid w:val="001A4727"/>
    <w:rsid w:val="001A5D96"/>
    <w:rsid w:val="001A73D7"/>
    <w:rsid w:val="001B0BB2"/>
    <w:rsid w:val="001B5D93"/>
    <w:rsid w:val="001B6A10"/>
    <w:rsid w:val="001B6ABE"/>
    <w:rsid w:val="001B7C3D"/>
    <w:rsid w:val="001C0A3D"/>
    <w:rsid w:val="001C1755"/>
    <w:rsid w:val="001C26ED"/>
    <w:rsid w:val="001C341D"/>
    <w:rsid w:val="001C3D56"/>
    <w:rsid w:val="001C7BD3"/>
    <w:rsid w:val="001C7DC1"/>
    <w:rsid w:val="001D2884"/>
    <w:rsid w:val="001D43C0"/>
    <w:rsid w:val="001D6531"/>
    <w:rsid w:val="001D6F7C"/>
    <w:rsid w:val="001E04AD"/>
    <w:rsid w:val="001E0B82"/>
    <w:rsid w:val="001E2292"/>
    <w:rsid w:val="001E34F0"/>
    <w:rsid w:val="001E4AE2"/>
    <w:rsid w:val="001E4C82"/>
    <w:rsid w:val="001E5794"/>
    <w:rsid w:val="001E708B"/>
    <w:rsid w:val="001F0D13"/>
    <w:rsid w:val="001F190B"/>
    <w:rsid w:val="001F2D59"/>
    <w:rsid w:val="001F3057"/>
    <w:rsid w:val="001F31DC"/>
    <w:rsid w:val="001F34D4"/>
    <w:rsid w:val="001F382F"/>
    <w:rsid w:val="001F44EF"/>
    <w:rsid w:val="001F5A5E"/>
    <w:rsid w:val="001F6071"/>
    <w:rsid w:val="0020003C"/>
    <w:rsid w:val="0020365D"/>
    <w:rsid w:val="0020472F"/>
    <w:rsid w:val="002054FE"/>
    <w:rsid w:val="00205947"/>
    <w:rsid w:val="00206016"/>
    <w:rsid w:val="002073FB"/>
    <w:rsid w:val="00207B7B"/>
    <w:rsid w:val="00210095"/>
    <w:rsid w:val="00211797"/>
    <w:rsid w:val="00212C89"/>
    <w:rsid w:val="00212D91"/>
    <w:rsid w:val="00214838"/>
    <w:rsid w:val="00215293"/>
    <w:rsid w:val="00215501"/>
    <w:rsid w:val="00216142"/>
    <w:rsid w:val="002168B1"/>
    <w:rsid w:val="00217468"/>
    <w:rsid w:val="00221C35"/>
    <w:rsid w:val="002238F6"/>
    <w:rsid w:val="00226CAA"/>
    <w:rsid w:val="002274C8"/>
    <w:rsid w:val="0022790F"/>
    <w:rsid w:val="00231318"/>
    <w:rsid w:val="00233087"/>
    <w:rsid w:val="00233B1B"/>
    <w:rsid w:val="00233E51"/>
    <w:rsid w:val="00235ABC"/>
    <w:rsid w:val="00235D61"/>
    <w:rsid w:val="00240BFC"/>
    <w:rsid w:val="00240D5E"/>
    <w:rsid w:val="002429D7"/>
    <w:rsid w:val="0024364B"/>
    <w:rsid w:val="0024475B"/>
    <w:rsid w:val="00250745"/>
    <w:rsid w:val="002513A3"/>
    <w:rsid w:val="002535AC"/>
    <w:rsid w:val="00254D6C"/>
    <w:rsid w:val="00255402"/>
    <w:rsid w:val="002555E5"/>
    <w:rsid w:val="00255AA3"/>
    <w:rsid w:val="00255DCF"/>
    <w:rsid w:val="00256199"/>
    <w:rsid w:val="00262D17"/>
    <w:rsid w:val="00263D80"/>
    <w:rsid w:val="002652B2"/>
    <w:rsid w:val="002703EA"/>
    <w:rsid w:val="00271F48"/>
    <w:rsid w:val="00272250"/>
    <w:rsid w:val="002727A4"/>
    <w:rsid w:val="00274DBC"/>
    <w:rsid w:val="00275B15"/>
    <w:rsid w:val="00275DD2"/>
    <w:rsid w:val="00275F62"/>
    <w:rsid w:val="0027701F"/>
    <w:rsid w:val="00277981"/>
    <w:rsid w:val="00277FC1"/>
    <w:rsid w:val="0028158C"/>
    <w:rsid w:val="00281732"/>
    <w:rsid w:val="00281AFA"/>
    <w:rsid w:val="00282945"/>
    <w:rsid w:val="00283AC2"/>
    <w:rsid w:val="00285D42"/>
    <w:rsid w:val="00287A3F"/>
    <w:rsid w:val="00292795"/>
    <w:rsid w:val="0029423F"/>
    <w:rsid w:val="00294455"/>
    <w:rsid w:val="00295B71"/>
    <w:rsid w:val="00295C3C"/>
    <w:rsid w:val="002A1427"/>
    <w:rsid w:val="002A5BBA"/>
    <w:rsid w:val="002A7BCE"/>
    <w:rsid w:val="002B06EC"/>
    <w:rsid w:val="002B44BA"/>
    <w:rsid w:val="002B452D"/>
    <w:rsid w:val="002B6B59"/>
    <w:rsid w:val="002B6F57"/>
    <w:rsid w:val="002C291D"/>
    <w:rsid w:val="002C2EF8"/>
    <w:rsid w:val="002C5462"/>
    <w:rsid w:val="002C580C"/>
    <w:rsid w:val="002C6946"/>
    <w:rsid w:val="002C6D82"/>
    <w:rsid w:val="002C702A"/>
    <w:rsid w:val="002D04EB"/>
    <w:rsid w:val="002D0C5C"/>
    <w:rsid w:val="002D116D"/>
    <w:rsid w:val="002D140C"/>
    <w:rsid w:val="002D23DF"/>
    <w:rsid w:val="002D3DE3"/>
    <w:rsid w:val="002D7265"/>
    <w:rsid w:val="002D79AB"/>
    <w:rsid w:val="002D7C47"/>
    <w:rsid w:val="002E054B"/>
    <w:rsid w:val="002E05E6"/>
    <w:rsid w:val="002E27B1"/>
    <w:rsid w:val="002E2DEC"/>
    <w:rsid w:val="002E3D54"/>
    <w:rsid w:val="002E7507"/>
    <w:rsid w:val="002F1D55"/>
    <w:rsid w:val="002F490D"/>
    <w:rsid w:val="002F7C7B"/>
    <w:rsid w:val="00301349"/>
    <w:rsid w:val="003027D8"/>
    <w:rsid w:val="00302BC7"/>
    <w:rsid w:val="003046AF"/>
    <w:rsid w:val="00306F0A"/>
    <w:rsid w:val="0030781A"/>
    <w:rsid w:val="00311BF2"/>
    <w:rsid w:val="00313590"/>
    <w:rsid w:val="0031380F"/>
    <w:rsid w:val="00313BE8"/>
    <w:rsid w:val="00315D12"/>
    <w:rsid w:val="00316DF5"/>
    <w:rsid w:val="00316F7E"/>
    <w:rsid w:val="00317880"/>
    <w:rsid w:val="00317D96"/>
    <w:rsid w:val="00317F99"/>
    <w:rsid w:val="00321948"/>
    <w:rsid w:val="003251B2"/>
    <w:rsid w:val="0032711F"/>
    <w:rsid w:val="0033379B"/>
    <w:rsid w:val="00333E16"/>
    <w:rsid w:val="003348A1"/>
    <w:rsid w:val="00334F51"/>
    <w:rsid w:val="003353C2"/>
    <w:rsid w:val="00335745"/>
    <w:rsid w:val="00336F7A"/>
    <w:rsid w:val="00340CD8"/>
    <w:rsid w:val="003418C2"/>
    <w:rsid w:val="003434FA"/>
    <w:rsid w:val="003447F4"/>
    <w:rsid w:val="003466C2"/>
    <w:rsid w:val="00353CE4"/>
    <w:rsid w:val="00353EBD"/>
    <w:rsid w:val="00354F5C"/>
    <w:rsid w:val="00355162"/>
    <w:rsid w:val="00362F43"/>
    <w:rsid w:val="003636A6"/>
    <w:rsid w:val="003642B4"/>
    <w:rsid w:val="00364301"/>
    <w:rsid w:val="00364523"/>
    <w:rsid w:val="00364DAC"/>
    <w:rsid w:val="00364DD9"/>
    <w:rsid w:val="003659FC"/>
    <w:rsid w:val="00366517"/>
    <w:rsid w:val="00371BF8"/>
    <w:rsid w:val="003755BE"/>
    <w:rsid w:val="00375D6E"/>
    <w:rsid w:val="00377E2D"/>
    <w:rsid w:val="00380726"/>
    <w:rsid w:val="00380D48"/>
    <w:rsid w:val="0038112E"/>
    <w:rsid w:val="00384427"/>
    <w:rsid w:val="0038520C"/>
    <w:rsid w:val="003854AB"/>
    <w:rsid w:val="003857AA"/>
    <w:rsid w:val="00387237"/>
    <w:rsid w:val="00387B21"/>
    <w:rsid w:val="003919F5"/>
    <w:rsid w:val="00392310"/>
    <w:rsid w:val="00393C12"/>
    <w:rsid w:val="00393D4E"/>
    <w:rsid w:val="00394E98"/>
    <w:rsid w:val="003969C2"/>
    <w:rsid w:val="00397C23"/>
    <w:rsid w:val="003A1752"/>
    <w:rsid w:val="003A17E9"/>
    <w:rsid w:val="003A6D08"/>
    <w:rsid w:val="003A6F97"/>
    <w:rsid w:val="003B13A1"/>
    <w:rsid w:val="003B27D5"/>
    <w:rsid w:val="003B2CDC"/>
    <w:rsid w:val="003B33ED"/>
    <w:rsid w:val="003B4F34"/>
    <w:rsid w:val="003B4F91"/>
    <w:rsid w:val="003B54CA"/>
    <w:rsid w:val="003B653C"/>
    <w:rsid w:val="003B6EC6"/>
    <w:rsid w:val="003B782F"/>
    <w:rsid w:val="003C0A81"/>
    <w:rsid w:val="003C0F6E"/>
    <w:rsid w:val="003C2AB4"/>
    <w:rsid w:val="003C3265"/>
    <w:rsid w:val="003C3B71"/>
    <w:rsid w:val="003C5571"/>
    <w:rsid w:val="003C65D4"/>
    <w:rsid w:val="003C76C6"/>
    <w:rsid w:val="003C7B81"/>
    <w:rsid w:val="003D177E"/>
    <w:rsid w:val="003D1829"/>
    <w:rsid w:val="003D2F7F"/>
    <w:rsid w:val="003D4268"/>
    <w:rsid w:val="003D653F"/>
    <w:rsid w:val="003D7906"/>
    <w:rsid w:val="003D7A03"/>
    <w:rsid w:val="003D7A29"/>
    <w:rsid w:val="003D7C3B"/>
    <w:rsid w:val="003D7D4E"/>
    <w:rsid w:val="003E00B0"/>
    <w:rsid w:val="003E28F0"/>
    <w:rsid w:val="003E3CFF"/>
    <w:rsid w:val="003E4053"/>
    <w:rsid w:val="003E4140"/>
    <w:rsid w:val="003F32AE"/>
    <w:rsid w:val="003F3EAC"/>
    <w:rsid w:val="003F554D"/>
    <w:rsid w:val="003F7B68"/>
    <w:rsid w:val="00400E63"/>
    <w:rsid w:val="00401233"/>
    <w:rsid w:val="0040187D"/>
    <w:rsid w:val="00404184"/>
    <w:rsid w:val="004044E7"/>
    <w:rsid w:val="004116D7"/>
    <w:rsid w:val="004117A8"/>
    <w:rsid w:val="004126EC"/>
    <w:rsid w:val="00417D4F"/>
    <w:rsid w:val="00417D77"/>
    <w:rsid w:val="00420A29"/>
    <w:rsid w:val="004217B7"/>
    <w:rsid w:val="00422A29"/>
    <w:rsid w:val="0042408F"/>
    <w:rsid w:val="00424901"/>
    <w:rsid w:val="004262A0"/>
    <w:rsid w:val="0043257F"/>
    <w:rsid w:val="0043266C"/>
    <w:rsid w:val="00433964"/>
    <w:rsid w:val="00436089"/>
    <w:rsid w:val="00442732"/>
    <w:rsid w:val="00442E1F"/>
    <w:rsid w:val="00444A58"/>
    <w:rsid w:val="004456C9"/>
    <w:rsid w:val="00445CDA"/>
    <w:rsid w:val="00446915"/>
    <w:rsid w:val="00450D0E"/>
    <w:rsid w:val="004512FE"/>
    <w:rsid w:val="00452FB5"/>
    <w:rsid w:val="00453A51"/>
    <w:rsid w:val="004544C7"/>
    <w:rsid w:val="004547E9"/>
    <w:rsid w:val="00455BD4"/>
    <w:rsid w:val="004600EE"/>
    <w:rsid w:val="004607BF"/>
    <w:rsid w:val="0046157F"/>
    <w:rsid w:val="0046259A"/>
    <w:rsid w:val="00463815"/>
    <w:rsid w:val="00463EA9"/>
    <w:rsid w:val="004651C6"/>
    <w:rsid w:val="004656DD"/>
    <w:rsid w:val="00465D07"/>
    <w:rsid w:val="0047128C"/>
    <w:rsid w:val="00472C52"/>
    <w:rsid w:val="00473322"/>
    <w:rsid w:val="00474133"/>
    <w:rsid w:val="00475815"/>
    <w:rsid w:val="004769BB"/>
    <w:rsid w:val="00476EFC"/>
    <w:rsid w:val="00481708"/>
    <w:rsid w:val="00481ECA"/>
    <w:rsid w:val="00482263"/>
    <w:rsid w:val="004822B3"/>
    <w:rsid w:val="00487000"/>
    <w:rsid w:val="0048706F"/>
    <w:rsid w:val="00493B95"/>
    <w:rsid w:val="00494372"/>
    <w:rsid w:val="004954C1"/>
    <w:rsid w:val="00496517"/>
    <w:rsid w:val="00497D1A"/>
    <w:rsid w:val="00497E28"/>
    <w:rsid w:val="004A2166"/>
    <w:rsid w:val="004A30A1"/>
    <w:rsid w:val="004A39E7"/>
    <w:rsid w:val="004A4893"/>
    <w:rsid w:val="004A52A3"/>
    <w:rsid w:val="004A7A39"/>
    <w:rsid w:val="004B057C"/>
    <w:rsid w:val="004B1743"/>
    <w:rsid w:val="004B214C"/>
    <w:rsid w:val="004B4FEB"/>
    <w:rsid w:val="004B5B61"/>
    <w:rsid w:val="004B5F54"/>
    <w:rsid w:val="004B60EA"/>
    <w:rsid w:val="004B6150"/>
    <w:rsid w:val="004C22C6"/>
    <w:rsid w:val="004C34E5"/>
    <w:rsid w:val="004C363B"/>
    <w:rsid w:val="004C374E"/>
    <w:rsid w:val="004C3DF2"/>
    <w:rsid w:val="004C417A"/>
    <w:rsid w:val="004C4217"/>
    <w:rsid w:val="004C434A"/>
    <w:rsid w:val="004C43EB"/>
    <w:rsid w:val="004C60C1"/>
    <w:rsid w:val="004D2237"/>
    <w:rsid w:val="004D3B8B"/>
    <w:rsid w:val="004D57D3"/>
    <w:rsid w:val="004D5E0B"/>
    <w:rsid w:val="004E12B9"/>
    <w:rsid w:val="004E3F7B"/>
    <w:rsid w:val="004E7CC8"/>
    <w:rsid w:val="004F1A93"/>
    <w:rsid w:val="004F1DFE"/>
    <w:rsid w:val="004F1E3C"/>
    <w:rsid w:val="004F20A9"/>
    <w:rsid w:val="004F31EF"/>
    <w:rsid w:val="004F3D80"/>
    <w:rsid w:val="004F4937"/>
    <w:rsid w:val="004F5C30"/>
    <w:rsid w:val="004F70CD"/>
    <w:rsid w:val="00500189"/>
    <w:rsid w:val="00500C1B"/>
    <w:rsid w:val="00500DD1"/>
    <w:rsid w:val="005016D8"/>
    <w:rsid w:val="005029D0"/>
    <w:rsid w:val="0050325A"/>
    <w:rsid w:val="00503529"/>
    <w:rsid w:val="00504C7C"/>
    <w:rsid w:val="00505123"/>
    <w:rsid w:val="005075BC"/>
    <w:rsid w:val="00507EF8"/>
    <w:rsid w:val="0051259C"/>
    <w:rsid w:val="00513A92"/>
    <w:rsid w:val="00517576"/>
    <w:rsid w:val="00517992"/>
    <w:rsid w:val="0052008E"/>
    <w:rsid w:val="00520405"/>
    <w:rsid w:val="005209A5"/>
    <w:rsid w:val="00522D68"/>
    <w:rsid w:val="00524162"/>
    <w:rsid w:val="00524568"/>
    <w:rsid w:val="005250A0"/>
    <w:rsid w:val="00526622"/>
    <w:rsid w:val="00526E61"/>
    <w:rsid w:val="00527D00"/>
    <w:rsid w:val="005319BE"/>
    <w:rsid w:val="00532DD1"/>
    <w:rsid w:val="00533652"/>
    <w:rsid w:val="00534978"/>
    <w:rsid w:val="00535756"/>
    <w:rsid w:val="00535C91"/>
    <w:rsid w:val="00535F83"/>
    <w:rsid w:val="005360FF"/>
    <w:rsid w:val="0053713B"/>
    <w:rsid w:val="00537CC4"/>
    <w:rsid w:val="00541076"/>
    <w:rsid w:val="00541B0D"/>
    <w:rsid w:val="00542074"/>
    <w:rsid w:val="0054386F"/>
    <w:rsid w:val="00543941"/>
    <w:rsid w:val="005459D4"/>
    <w:rsid w:val="00545A09"/>
    <w:rsid w:val="00547B2A"/>
    <w:rsid w:val="00551682"/>
    <w:rsid w:val="0055256F"/>
    <w:rsid w:val="005550F5"/>
    <w:rsid w:val="00557179"/>
    <w:rsid w:val="005601AF"/>
    <w:rsid w:val="005607D8"/>
    <w:rsid w:val="00560E2E"/>
    <w:rsid w:val="005612D0"/>
    <w:rsid w:val="005629E9"/>
    <w:rsid w:val="0056320E"/>
    <w:rsid w:val="00563452"/>
    <w:rsid w:val="0056608E"/>
    <w:rsid w:val="0056662E"/>
    <w:rsid w:val="00566713"/>
    <w:rsid w:val="00566AB5"/>
    <w:rsid w:val="00566E93"/>
    <w:rsid w:val="00566EE0"/>
    <w:rsid w:val="00567CDD"/>
    <w:rsid w:val="00570671"/>
    <w:rsid w:val="005709CB"/>
    <w:rsid w:val="00571FC5"/>
    <w:rsid w:val="005722C8"/>
    <w:rsid w:val="005733D1"/>
    <w:rsid w:val="00574B2C"/>
    <w:rsid w:val="00577CD7"/>
    <w:rsid w:val="00583E3D"/>
    <w:rsid w:val="00584ACD"/>
    <w:rsid w:val="00585549"/>
    <w:rsid w:val="00587656"/>
    <w:rsid w:val="00587F1D"/>
    <w:rsid w:val="005913BD"/>
    <w:rsid w:val="00593D63"/>
    <w:rsid w:val="005940DC"/>
    <w:rsid w:val="0059443B"/>
    <w:rsid w:val="00595E83"/>
    <w:rsid w:val="005978BB"/>
    <w:rsid w:val="00597C23"/>
    <w:rsid w:val="005A230E"/>
    <w:rsid w:val="005A2B78"/>
    <w:rsid w:val="005A45ED"/>
    <w:rsid w:val="005A523D"/>
    <w:rsid w:val="005A6051"/>
    <w:rsid w:val="005A64D1"/>
    <w:rsid w:val="005A700D"/>
    <w:rsid w:val="005B0154"/>
    <w:rsid w:val="005B30AF"/>
    <w:rsid w:val="005B6447"/>
    <w:rsid w:val="005B6AFC"/>
    <w:rsid w:val="005C21A0"/>
    <w:rsid w:val="005C24BD"/>
    <w:rsid w:val="005C32AA"/>
    <w:rsid w:val="005C3FEE"/>
    <w:rsid w:val="005C7AD9"/>
    <w:rsid w:val="005C7E04"/>
    <w:rsid w:val="005C7E12"/>
    <w:rsid w:val="005D04C8"/>
    <w:rsid w:val="005D1F71"/>
    <w:rsid w:val="005D2402"/>
    <w:rsid w:val="005D34A7"/>
    <w:rsid w:val="005D4ABF"/>
    <w:rsid w:val="005D7358"/>
    <w:rsid w:val="005E1615"/>
    <w:rsid w:val="005E1CD3"/>
    <w:rsid w:val="005E2D76"/>
    <w:rsid w:val="005E2FB7"/>
    <w:rsid w:val="005E38C5"/>
    <w:rsid w:val="005E69B3"/>
    <w:rsid w:val="005E7FE7"/>
    <w:rsid w:val="005F02F1"/>
    <w:rsid w:val="005F17D0"/>
    <w:rsid w:val="005F232F"/>
    <w:rsid w:val="005F25AD"/>
    <w:rsid w:val="005F27A3"/>
    <w:rsid w:val="005F369C"/>
    <w:rsid w:val="005F4487"/>
    <w:rsid w:val="005F5235"/>
    <w:rsid w:val="005F574D"/>
    <w:rsid w:val="005F59F2"/>
    <w:rsid w:val="005F5C97"/>
    <w:rsid w:val="005F62EB"/>
    <w:rsid w:val="005F65FA"/>
    <w:rsid w:val="005F6B17"/>
    <w:rsid w:val="005F6C5E"/>
    <w:rsid w:val="005F6F09"/>
    <w:rsid w:val="005F7FC4"/>
    <w:rsid w:val="0060186B"/>
    <w:rsid w:val="00602A14"/>
    <w:rsid w:val="00603463"/>
    <w:rsid w:val="0060407C"/>
    <w:rsid w:val="00604FE6"/>
    <w:rsid w:val="00605889"/>
    <w:rsid w:val="00605F62"/>
    <w:rsid w:val="00606BC0"/>
    <w:rsid w:val="00610082"/>
    <w:rsid w:val="00611549"/>
    <w:rsid w:val="006129BB"/>
    <w:rsid w:val="006153B6"/>
    <w:rsid w:val="00615BD8"/>
    <w:rsid w:val="0061688F"/>
    <w:rsid w:val="00616E91"/>
    <w:rsid w:val="00620C07"/>
    <w:rsid w:val="00621393"/>
    <w:rsid w:val="00621FFA"/>
    <w:rsid w:val="00623508"/>
    <w:rsid w:val="006239F9"/>
    <w:rsid w:val="0062538D"/>
    <w:rsid w:val="00625BE6"/>
    <w:rsid w:val="00625C6C"/>
    <w:rsid w:val="00626AA2"/>
    <w:rsid w:val="00630691"/>
    <w:rsid w:val="00630C51"/>
    <w:rsid w:val="00630EEE"/>
    <w:rsid w:val="006329C3"/>
    <w:rsid w:val="006348D8"/>
    <w:rsid w:val="00635B19"/>
    <w:rsid w:val="006360FE"/>
    <w:rsid w:val="0063663D"/>
    <w:rsid w:val="00650851"/>
    <w:rsid w:val="00651C98"/>
    <w:rsid w:val="00652830"/>
    <w:rsid w:val="00652D23"/>
    <w:rsid w:val="00653311"/>
    <w:rsid w:val="00654E33"/>
    <w:rsid w:val="00654FFC"/>
    <w:rsid w:val="00655B93"/>
    <w:rsid w:val="00655D7B"/>
    <w:rsid w:val="006617E0"/>
    <w:rsid w:val="00662CC6"/>
    <w:rsid w:val="00662D07"/>
    <w:rsid w:val="006641BA"/>
    <w:rsid w:val="00665410"/>
    <w:rsid w:val="00665857"/>
    <w:rsid w:val="0066639D"/>
    <w:rsid w:val="00666833"/>
    <w:rsid w:val="00670928"/>
    <w:rsid w:val="00672D7E"/>
    <w:rsid w:val="00672EB3"/>
    <w:rsid w:val="00672FFD"/>
    <w:rsid w:val="00673F5A"/>
    <w:rsid w:val="006740E2"/>
    <w:rsid w:val="0067477C"/>
    <w:rsid w:val="00676732"/>
    <w:rsid w:val="006771AF"/>
    <w:rsid w:val="00677948"/>
    <w:rsid w:val="006862A6"/>
    <w:rsid w:val="00686824"/>
    <w:rsid w:val="00686A4C"/>
    <w:rsid w:val="00687082"/>
    <w:rsid w:val="00687ADB"/>
    <w:rsid w:val="00690759"/>
    <w:rsid w:val="006909DF"/>
    <w:rsid w:val="006945FA"/>
    <w:rsid w:val="00695BC3"/>
    <w:rsid w:val="006963AF"/>
    <w:rsid w:val="0069678C"/>
    <w:rsid w:val="0069733A"/>
    <w:rsid w:val="00697786"/>
    <w:rsid w:val="006A1E7F"/>
    <w:rsid w:val="006A2383"/>
    <w:rsid w:val="006A2EC4"/>
    <w:rsid w:val="006A3B10"/>
    <w:rsid w:val="006A7D5B"/>
    <w:rsid w:val="006B055D"/>
    <w:rsid w:val="006B4378"/>
    <w:rsid w:val="006B43C7"/>
    <w:rsid w:val="006B4D9F"/>
    <w:rsid w:val="006B50EA"/>
    <w:rsid w:val="006C0381"/>
    <w:rsid w:val="006C0395"/>
    <w:rsid w:val="006C0721"/>
    <w:rsid w:val="006C0F30"/>
    <w:rsid w:val="006C1B0C"/>
    <w:rsid w:val="006C38B5"/>
    <w:rsid w:val="006C406E"/>
    <w:rsid w:val="006C4600"/>
    <w:rsid w:val="006C4880"/>
    <w:rsid w:val="006C6C11"/>
    <w:rsid w:val="006D1426"/>
    <w:rsid w:val="006D165A"/>
    <w:rsid w:val="006D25D4"/>
    <w:rsid w:val="006D3A3B"/>
    <w:rsid w:val="006D4B6D"/>
    <w:rsid w:val="006D56D8"/>
    <w:rsid w:val="006D5F26"/>
    <w:rsid w:val="006D6506"/>
    <w:rsid w:val="006D6898"/>
    <w:rsid w:val="006E0662"/>
    <w:rsid w:val="006E1117"/>
    <w:rsid w:val="006E1280"/>
    <w:rsid w:val="006E16BF"/>
    <w:rsid w:val="006E28CF"/>
    <w:rsid w:val="006E2905"/>
    <w:rsid w:val="006E2AF2"/>
    <w:rsid w:val="006E2CD7"/>
    <w:rsid w:val="006E2DA5"/>
    <w:rsid w:val="006E3C5E"/>
    <w:rsid w:val="006E5AC9"/>
    <w:rsid w:val="006E694F"/>
    <w:rsid w:val="006E6A90"/>
    <w:rsid w:val="006E6EC3"/>
    <w:rsid w:val="006E758C"/>
    <w:rsid w:val="006F394A"/>
    <w:rsid w:val="006F5CEF"/>
    <w:rsid w:val="006F64B1"/>
    <w:rsid w:val="00700027"/>
    <w:rsid w:val="00701C3D"/>
    <w:rsid w:val="00701D65"/>
    <w:rsid w:val="00702F05"/>
    <w:rsid w:val="00702FA0"/>
    <w:rsid w:val="00703958"/>
    <w:rsid w:val="00703FC2"/>
    <w:rsid w:val="00704154"/>
    <w:rsid w:val="007042B1"/>
    <w:rsid w:val="00707A93"/>
    <w:rsid w:val="00707BE2"/>
    <w:rsid w:val="00710725"/>
    <w:rsid w:val="0071102B"/>
    <w:rsid w:val="00712920"/>
    <w:rsid w:val="0071370D"/>
    <w:rsid w:val="00713B00"/>
    <w:rsid w:val="00713C00"/>
    <w:rsid w:val="00715945"/>
    <w:rsid w:val="00716292"/>
    <w:rsid w:val="00717F0B"/>
    <w:rsid w:val="007201B6"/>
    <w:rsid w:val="00721F4E"/>
    <w:rsid w:val="00721FB0"/>
    <w:rsid w:val="00723006"/>
    <w:rsid w:val="0072324B"/>
    <w:rsid w:val="0072608F"/>
    <w:rsid w:val="00727D41"/>
    <w:rsid w:val="00730CDD"/>
    <w:rsid w:val="00731F28"/>
    <w:rsid w:val="00732069"/>
    <w:rsid w:val="00733465"/>
    <w:rsid w:val="0073580B"/>
    <w:rsid w:val="007358FD"/>
    <w:rsid w:val="00736439"/>
    <w:rsid w:val="0073687E"/>
    <w:rsid w:val="0073706E"/>
    <w:rsid w:val="00737953"/>
    <w:rsid w:val="00741107"/>
    <w:rsid w:val="007422DF"/>
    <w:rsid w:val="00746140"/>
    <w:rsid w:val="007466EB"/>
    <w:rsid w:val="00746968"/>
    <w:rsid w:val="00746AA4"/>
    <w:rsid w:val="00746F50"/>
    <w:rsid w:val="007500E1"/>
    <w:rsid w:val="007519F3"/>
    <w:rsid w:val="00752507"/>
    <w:rsid w:val="0075295C"/>
    <w:rsid w:val="00752AAD"/>
    <w:rsid w:val="0075378D"/>
    <w:rsid w:val="00754C00"/>
    <w:rsid w:val="00755158"/>
    <w:rsid w:val="0075553E"/>
    <w:rsid w:val="007574E8"/>
    <w:rsid w:val="0076018C"/>
    <w:rsid w:val="00760805"/>
    <w:rsid w:val="00761651"/>
    <w:rsid w:val="007630ED"/>
    <w:rsid w:val="00764979"/>
    <w:rsid w:val="00764A75"/>
    <w:rsid w:val="00764B1A"/>
    <w:rsid w:val="007659BD"/>
    <w:rsid w:val="00765D9A"/>
    <w:rsid w:val="00766B96"/>
    <w:rsid w:val="007671B1"/>
    <w:rsid w:val="0076721B"/>
    <w:rsid w:val="007700BB"/>
    <w:rsid w:val="00770B01"/>
    <w:rsid w:val="00770F32"/>
    <w:rsid w:val="00772F54"/>
    <w:rsid w:val="00776319"/>
    <w:rsid w:val="00776908"/>
    <w:rsid w:val="00777173"/>
    <w:rsid w:val="00781B92"/>
    <w:rsid w:val="00783686"/>
    <w:rsid w:val="00783A27"/>
    <w:rsid w:val="00785B76"/>
    <w:rsid w:val="00786481"/>
    <w:rsid w:val="00790090"/>
    <w:rsid w:val="0079026D"/>
    <w:rsid w:val="007922B8"/>
    <w:rsid w:val="00793A3F"/>
    <w:rsid w:val="00793E06"/>
    <w:rsid w:val="00795D38"/>
    <w:rsid w:val="007960FD"/>
    <w:rsid w:val="007968C5"/>
    <w:rsid w:val="007A0EB3"/>
    <w:rsid w:val="007A11CD"/>
    <w:rsid w:val="007A1A01"/>
    <w:rsid w:val="007A342E"/>
    <w:rsid w:val="007A48A3"/>
    <w:rsid w:val="007A5577"/>
    <w:rsid w:val="007B03DE"/>
    <w:rsid w:val="007B262F"/>
    <w:rsid w:val="007B2E49"/>
    <w:rsid w:val="007B46FF"/>
    <w:rsid w:val="007B530A"/>
    <w:rsid w:val="007B638A"/>
    <w:rsid w:val="007B6A81"/>
    <w:rsid w:val="007B7599"/>
    <w:rsid w:val="007C0175"/>
    <w:rsid w:val="007C08F8"/>
    <w:rsid w:val="007C1E20"/>
    <w:rsid w:val="007C2E88"/>
    <w:rsid w:val="007C3A33"/>
    <w:rsid w:val="007C43DD"/>
    <w:rsid w:val="007C4454"/>
    <w:rsid w:val="007C4910"/>
    <w:rsid w:val="007C5521"/>
    <w:rsid w:val="007C55A6"/>
    <w:rsid w:val="007C7936"/>
    <w:rsid w:val="007D01C3"/>
    <w:rsid w:val="007D2E67"/>
    <w:rsid w:val="007D36E5"/>
    <w:rsid w:val="007D3AA7"/>
    <w:rsid w:val="007D4161"/>
    <w:rsid w:val="007D49C7"/>
    <w:rsid w:val="007D5335"/>
    <w:rsid w:val="007D5F5B"/>
    <w:rsid w:val="007D6CE7"/>
    <w:rsid w:val="007E05C2"/>
    <w:rsid w:val="007E08E5"/>
    <w:rsid w:val="007E444E"/>
    <w:rsid w:val="007E5228"/>
    <w:rsid w:val="007E5EC8"/>
    <w:rsid w:val="007E6589"/>
    <w:rsid w:val="007E675F"/>
    <w:rsid w:val="007E7424"/>
    <w:rsid w:val="007E753F"/>
    <w:rsid w:val="007F1885"/>
    <w:rsid w:val="007F50E2"/>
    <w:rsid w:val="007F6A69"/>
    <w:rsid w:val="007F6EF8"/>
    <w:rsid w:val="007F71A0"/>
    <w:rsid w:val="007F74F3"/>
    <w:rsid w:val="008026C4"/>
    <w:rsid w:val="00805125"/>
    <w:rsid w:val="00805F09"/>
    <w:rsid w:val="00806747"/>
    <w:rsid w:val="008078B3"/>
    <w:rsid w:val="00811429"/>
    <w:rsid w:val="00813216"/>
    <w:rsid w:val="00813BDC"/>
    <w:rsid w:val="00816719"/>
    <w:rsid w:val="00816725"/>
    <w:rsid w:val="00816F1F"/>
    <w:rsid w:val="008172D6"/>
    <w:rsid w:val="0081778C"/>
    <w:rsid w:val="0082033E"/>
    <w:rsid w:val="00820C34"/>
    <w:rsid w:val="00820CC6"/>
    <w:rsid w:val="00820EB5"/>
    <w:rsid w:val="00820FC8"/>
    <w:rsid w:val="008228D9"/>
    <w:rsid w:val="00822C11"/>
    <w:rsid w:val="00825AE6"/>
    <w:rsid w:val="0082638E"/>
    <w:rsid w:val="008314D0"/>
    <w:rsid w:val="008327D7"/>
    <w:rsid w:val="00835F74"/>
    <w:rsid w:val="00840313"/>
    <w:rsid w:val="00841B31"/>
    <w:rsid w:val="00842094"/>
    <w:rsid w:val="00843348"/>
    <w:rsid w:val="008435A3"/>
    <w:rsid w:val="00845473"/>
    <w:rsid w:val="008462FF"/>
    <w:rsid w:val="00846E84"/>
    <w:rsid w:val="00847292"/>
    <w:rsid w:val="008501A3"/>
    <w:rsid w:val="00850387"/>
    <w:rsid w:val="0085083A"/>
    <w:rsid w:val="008508BE"/>
    <w:rsid w:val="008509AB"/>
    <w:rsid w:val="00850ABC"/>
    <w:rsid w:val="0085215F"/>
    <w:rsid w:val="0085298C"/>
    <w:rsid w:val="00852A3E"/>
    <w:rsid w:val="00852C94"/>
    <w:rsid w:val="00854280"/>
    <w:rsid w:val="00854650"/>
    <w:rsid w:val="0085529A"/>
    <w:rsid w:val="00856548"/>
    <w:rsid w:val="008610E4"/>
    <w:rsid w:val="008645B3"/>
    <w:rsid w:val="0086745E"/>
    <w:rsid w:val="00872C10"/>
    <w:rsid w:val="00872F09"/>
    <w:rsid w:val="00873560"/>
    <w:rsid w:val="0087397F"/>
    <w:rsid w:val="00874214"/>
    <w:rsid w:val="00874FC4"/>
    <w:rsid w:val="0087583C"/>
    <w:rsid w:val="00876321"/>
    <w:rsid w:val="0087746E"/>
    <w:rsid w:val="00877A14"/>
    <w:rsid w:val="00877E40"/>
    <w:rsid w:val="00880954"/>
    <w:rsid w:val="00881A7D"/>
    <w:rsid w:val="00883BB0"/>
    <w:rsid w:val="00883C33"/>
    <w:rsid w:val="00884229"/>
    <w:rsid w:val="0088478C"/>
    <w:rsid w:val="00884A8F"/>
    <w:rsid w:val="0088670A"/>
    <w:rsid w:val="00886955"/>
    <w:rsid w:val="00887E3F"/>
    <w:rsid w:val="0089009F"/>
    <w:rsid w:val="00893426"/>
    <w:rsid w:val="00893F9D"/>
    <w:rsid w:val="008948BF"/>
    <w:rsid w:val="008975D5"/>
    <w:rsid w:val="008A0464"/>
    <w:rsid w:val="008A13D4"/>
    <w:rsid w:val="008A2446"/>
    <w:rsid w:val="008A27AD"/>
    <w:rsid w:val="008A3CFC"/>
    <w:rsid w:val="008A48DF"/>
    <w:rsid w:val="008A49BB"/>
    <w:rsid w:val="008A63A8"/>
    <w:rsid w:val="008A6EA4"/>
    <w:rsid w:val="008B1318"/>
    <w:rsid w:val="008B1CC2"/>
    <w:rsid w:val="008B449D"/>
    <w:rsid w:val="008B59CE"/>
    <w:rsid w:val="008B68E6"/>
    <w:rsid w:val="008C1539"/>
    <w:rsid w:val="008C222E"/>
    <w:rsid w:val="008C586E"/>
    <w:rsid w:val="008C5C32"/>
    <w:rsid w:val="008C5E70"/>
    <w:rsid w:val="008C6BAA"/>
    <w:rsid w:val="008D150A"/>
    <w:rsid w:val="008D4146"/>
    <w:rsid w:val="008D56D2"/>
    <w:rsid w:val="008D6F30"/>
    <w:rsid w:val="008E1606"/>
    <w:rsid w:val="008E3879"/>
    <w:rsid w:val="008E415A"/>
    <w:rsid w:val="008E45DE"/>
    <w:rsid w:val="008E5557"/>
    <w:rsid w:val="008E6709"/>
    <w:rsid w:val="008E7C50"/>
    <w:rsid w:val="008F02EA"/>
    <w:rsid w:val="008F179C"/>
    <w:rsid w:val="008F1CF3"/>
    <w:rsid w:val="008F595C"/>
    <w:rsid w:val="008F5D83"/>
    <w:rsid w:val="008F6387"/>
    <w:rsid w:val="008F66ED"/>
    <w:rsid w:val="008F6917"/>
    <w:rsid w:val="008F6D75"/>
    <w:rsid w:val="009006E0"/>
    <w:rsid w:val="009038A2"/>
    <w:rsid w:val="0090391A"/>
    <w:rsid w:val="00903F43"/>
    <w:rsid w:val="00904D95"/>
    <w:rsid w:val="0090512E"/>
    <w:rsid w:val="00905205"/>
    <w:rsid w:val="0090638B"/>
    <w:rsid w:val="00906528"/>
    <w:rsid w:val="00910540"/>
    <w:rsid w:val="009113C2"/>
    <w:rsid w:val="0091162B"/>
    <w:rsid w:val="0091648D"/>
    <w:rsid w:val="00917A44"/>
    <w:rsid w:val="00917AEC"/>
    <w:rsid w:val="00917E67"/>
    <w:rsid w:val="0092104B"/>
    <w:rsid w:val="00921FE4"/>
    <w:rsid w:val="00925D06"/>
    <w:rsid w:val="00925F4E"/>
    <w:rsid w:val="009277DB"/>
    <w:rsid w:val="00930CA6"/>
    <w:rsid w:val="00932791"/>
    <w:rsid w:val="00932FF9"/>
    <w:rsid w:val="00933B5F"/>
    <w:rsid w:val="00934907"/>
    <w:rsid w:val="00934EB2"/>
    <w:rsid w:val="009355E3"/>
    <w:rsid w:val="0093596A"/>
    <w:rsid w:val="00937499"/>
    <w:rsid w:val="009377A7"/>
    <w:rsid w:val="00942F27"/>
    <w:rsid w:val="00944360"/>
    <w:rsid w:val="00945078"/>
    <w:rsid w:val="009467E5"/>
    <w:rsid w:val="00946DC8"/>
    <w:rsid w:val="00946F51"/>
    <w:rsid w:val="009472B4"/>
    <w:rsid w:val="00947618"/>
    <w:rsid w:val="00947D4E"/>
    <w:rsid w:val="00951032"/>
    <w:rsid w:val="0095108D"/>
    <w:rsid w:val="009510AB"/>
    <w:rsid w:val="00951C8B"/>
    <w:rsid w:val="00952306"/>
    <w:rsid w:val="009533D9"/>
    <w:rsid w:val="00954F8D"/>
    <w:rsid w:val="009570D1"/>
    <w:rsid w:val="00957F2F"/>
    <w:rsid w:val="009601FE"/>
    <w:rsid w:val="00960DB8"/>
    <w:rsid w:val="00963A2E"/>
    <w:rsid w:val="00965A52"/>
    <w:rsid w:val="00967324"/>
    <w:rsid w:val="00967B1A"/>
    <w:rsid w:val="0097104A"/>
    <w:rsid w:val="00972A5B"/>
    <w:rsid w:val="00974133"/>
    <w:rsid w:val="00975E9F"/>
    <w:rsid w:val="00977279"/>
    <w:rsid w:val="00977A0D"/>
    <w:rsid w:val="00977ED1"/>
    <w:rsid w:val="009801A3"/>
    <w:rsid w:val="009802EA"/>
    <w:rsid w:val="00980555"/>
    <w:rsid w:val="0098155D"/>
    <w:rsid w:val="0098432D"/>
    <w:rsid w:val="00986A0B"/>
    <w:rsid w:val="00986CC0"/>
    <w:rsid w:val="00986D0E"/>
    <w:rsid w:val="00987DC0"/>
    <w:rsid w:val="00987FA9"/>
    <w:rsid w:val="00990769"/>
    <w:rsid w:val="00990B74"/>
    <w:rsid w:val="009914B4"/>
    <w:rsid w:val="009932BF"/>
    <w:rsid w:val="0099483D"/>
    <w:rsid w:val="0099630A"/>
    <w:rsid w:val="00996C74"/>
    <w:rsid w:val="00996F3B"/>
    <w:rsid w:val="00997FC4"/>
    <w:rsid w:val="009A1E6F"/>
    <w:rsid w:val="009A5794"/>
    <w:rsid w:val="009A5A15"/>
    <w:rsid w:val="009A7D26"/>
    <w:rsid w:val="009B015D"/>
    <w:rsid w:val="009B2CA8"/>
    <w:rsid w:val="009B3B86"/>
    <w:rsid w:val="009B5532"/>
    <w:rsid w:val="009B6A14"/>
    <w:rsid w:val="009C01C1"/>
    <w:rsid w:val="009C0523"/>
    <w:rsid w:val="009C265C"/>
    <w:rsid w:val="009C33FA"/>
    <w:rsid w:val="009C35E6"/>
    <w:rsid w:val="009C3B10"/>
    <w:rsid w:val="009C3D8C"/>
    <w:rsid w:val="009C3EE1"/>
    <w:rsid w:val="009C40E3"/>
    <w:rsid w:val="009C5282"/>
    <w:rsid w:val="009C5FDC"/>
    <w:rsid w:val="009C603C"/>
    <w:rsid w:val="009C61C9"/>
    <w:rsid w:val="009C6FB8"/>
    <w:rsid w:val="009C77E9"/>
    <w:rsid w:val="009C7D66"/>
    <w:rsid w:val="009D0800"/>
    <w:rsid w:val="009D1588"/>
    <w:rsid w:val="009D20C9"/>
    <w:rsid w:val="009D21C1"/>
    <w:rsid w:val="009D25A9"/>
    <w:rsid w:val="009D2A05"/>
    <w:rsid w:val="009D38E1"/>
    <w:rsid w:val="009D46B3"/>
    <w:rsid w:val="009D515D"/>
    <w:rsid w:val="009D57FA"/>
    <w:rsid w:val="009D59F1"/>
    <w:rsid w:val="009D631E"/>
    <w:rsid w:val="009D748C"/>
    <w:rsid w:val="009E1300"/>
    <w:rsid w:val="009E14E6"/>
    <w:rsid w:val="009E359F"/>
    <w:rsid w:val="009E7D09"/>
    <w:rsid w:val="009F1075"/>
    <w:rsid w:val="009F172C"/>
    <w:rsid w:val="009F17A2"/>
    <w:rsid w:val="009F18EE"/>
    <w:rsid w:val="009F3871"/>
    <w:rsid w:val="009F647E"/>
    <w:rsid w:val="009F7123"/>
    <w:rsid w:val="00A01427"/>
    <w:rsid w:val="00A07634"/>
    <w:rsid w:val="00A11280"/>
    <w:rsid w:val="00A11F82"/>
    <w:rsid w:val="00A1302E"/>
    <w:rsid w:val="00A13EE2"/>
    <w:rsid w:val="00A1499F"/>
    <w:rsid w:val="00A160B3"/>
    <w:rsid w:val="00A1695F"/>
    <w:rsid w:val="00A17A0F"/>
    <w:rsid w:val="00A2029B"/>
    <w:rsid w:val="00A215E7"/>
    <w:rsid w:val="00A23F77"/>
    <w:rsid w:val="00A25B74"/>
    <w:rsid w:val="00A264B0"/>
    <w:rsid w:val="00A2750E"/>
    <w:rsid w:val="00A30276"/>
    <w:rsid w:val="00A302BB"/>
    <w:rsid w:val="00A32FD5"/>
    <w:rsid w:val="00A3325C"/>
    <w:rsid w:val="00A3340E"/>
    <w:rsid w:val="00A33E11"/>
    <w:rsid w:val="00A34733"/>
    <w:rsid w:val="00A360E1"/>
    <w:rsid w:val="00A36DD4"/>
    <w:rsid w:val="00A37A44"/>
    <w:rsid w:val="00A4093C"/>
    <w:rsid w:val="00A40C24"/>
    <w:rsid w:val="00A42A56"/>
    <w:rsid w:val="00A452A2"/>
    <w:rsid w:val="00A456FA"/>
    <w:rsid w:val="00A468DE"/>
    <w:rsid w:val="00A46DFF"/>
    <w:rsid w:val="00A46F37"/>
    <w:rsid w:val="00A474B6"/>
    <w:rsid w:val="00A47F27"/>
    <w:rsid w:val="00A51543"/>
    <w:rsid w:val="00A51BA6"/>
    <w:rsid w:val="00A526B5"/>
    <w:rsid w:val="00A52F36"/>
    <w:rsid w:val="00A53284"/>
    <w:rsid w:val="00A5432A"/>
    <w:rsid w:val="00A54858"/>
    <w:rsid w:val="00A54F60"/>
    <w:rsid w:val="00A55597"/>
    <w:rsid w:val="00A55B58"/>
    <w:rsid w:val="00A55C24"/>
    <w:rsid w:val="00A57C01"/>
    <w:rsid w:val="00A613AB"/>
    <w:rsid w:val="00A61E21"/>
    <w:rsid w:val="00A62223"/>
    <w:rsid w:val="00A632B1"/>
    <w:rsid w:val="00A63DB5"/>
    <w:rsid w:val="00A64D1E"/>
    <w:rsid w:val="00A64F34"/>
    <w:rsid w:val="00A65440"/>
    <w:rsid w:val="00A67CE1"/>
    <w:rsid w:val="00A72DF4"/>
    <w:rsid w:val="00A74299"/>
    <w:rsid w:val="00A75A09"/>
    <w:rsid w:val="00A831DB"/>
    <w:rsid w:val="00A84880"/>
    <w:rsid w:val="00A85597"/>
    <w:rsid w:val="00A85DC9"/>
    <w:rsid w:val="00A86B66"/>
    <w:rsid w:val="00A8758D"/>
    <w:rsid w:val="00A911BF"/>
    <w:rsid w:val="00A913A5"/>
    <w:rsid w:val="00A918E4"/>
    <w:rsid w:val="00A9219A"/>
    <w:rsid w:val="00A945F4"/>
    <w:rsid w:val="00A946AE"/>
    <w:rsid w:val="00A946D7"/>
    <w:rsid w:val="00A97DFB"/>
    <w:rsid w:val="00AA076A"/>
    <w:rsid w:val="00AA29DF"/>
    <w:rsid w:val="00AA2F2B"/>
    <w:rsid w:val="00AA351A"/>
    <w:rsid w:val="00AA463B"/>
    <w:rsid w:val="00AA48A3"/>
    <w:rsid w:val="00AA5B98"/>
    <w:rsid w:val="00AA5E7E"/>
    <w:rsid w:val="00AA6913"/>
    <w:rsid w:val="00AA7507"/>
    <w:rsid w:val="00AB2E20"/>
    <w:rsid w:val="00AB45FC"/>
    <w:rsid w:val="00AB496F"/>
    <w:rsid w:val="00AB52A5"/>
    <w:rsid w:val="00AB5CF5"/>
    <w:rsid w:val="00AB6561"/>
    <w:rsid w:val="00AB65B4"/>
    <w:rsid w:val="00AC037F"/>
    <w:rsid w:val="00AC094A"/>
    <w:rsid w:val="00AC0E63"/>
    <w:rsid w:val="00AC255E"/>
    <w:rsid w:val="00AC3A7E"/>
    <w:rsid w:val="00AC4FD1"/>
    <w:rsid w:val="00AC532E"/>
    <w:rsid w:val="00AC7875"/>
    <w:rsid w:val="00AC7E69"/>
    <w:rsid w:val="00AD0C90"/>
    <w:rsid w:val="00AD1755"/>
    <w:rsid w:val="00AD1BFA"/>
    <w:rsid w:val="00AD4EA0"/>
    <w:rsid w:val="00AD5AF0"/>
    <w:rsid w:val="00AD62CD"/>
    <w:rsid w:val="00AD6FB3"/>
    <w:rsid w:val="00AE033A"/>
    <w:rsid w:val="00AE261A"/>
    <w:rsid w:val="00AE33D4"/>
    <w:rsid w:val="00AE6243"/>
    <w:rsid w:val="00AE6A27"/>
    <w:rsid w:val="00AE7937"/>
    <w:rsid w:val="00AF2AC7"/>
    <w:rsid w:val="00AF2C27"/>
    <w:rsid w:val="00AF4F45"/>
    <w:rsid w:val="00AF506E"/>
    <w:rsid w:val="00AF6349"/>
    <w:rsid w:val="00AF67C3"/>
    <w:rsid w:val="00AF6EF8"/>
    <w:rsid w:val="00AF78F4"/>
    <w:rsid w:val="00B00529"/>
    <w:rsid w:val="00B00CAC"/>
    <w:rsid w:val="00B02892"/>
    <w:rsid w:val="00B04F51"/>
    <w:rsid w:val="00B058C9"/>
    <w:rsid w:val="00B05AD5"/>
    <w:rsid w:val="00B06505"/>
    <w:rsid w:val="00B067FD"/>
    <w:rsid w:val="00B07B84"/>
    <w:rsid w:val="00B07C70"/>
    <w:rsid w:val="00B113D1"/>
    <w:rsid w:val="00B12531"/>
    <w:rsid w:val="00B1264D"/>
    <w:rsid w:val="00B12AD8"/>
    <w:rsid w:val="00B1341B"/>
    <w:rsid w:val="00B155FD"/>
    <w:rsid w:val="00B16F2C"/>
    <w:rsid w:val="00B1738F"/>
    <w:rsid w:val="00B17743"/>
    <w:rsid w:val="00B201DF"/>
    <w:rsid w:val="00B21B91"/>
    <w:rsid w:val="00B2301B"/>
    <w:rsid w:val="00B23E45"/>
    <w:rsid w:val="00B24343"/>
    <w:rsid w:val="00B24E3B"/>
    <w:rsid w:val="00B26036"/>
    <w:rsid w:val="00B2712A"/>
    <w:rsid w:val="00B2798E"/>
    <w:rsid w:val="00B3092E"/>
    <w:rsid w:val="00B31F99"/>
    <w:rsid w:val="00B3209B"/>
    <w:rsid w:val="00B32C37"/>
    <w:rsid w:val="00B32D4C"/>
    <w:rsid w:val="00B3365F"/>
    <w:rsid w:val="00B33E8E"/>
    <w:rsid w:val="00B35305"/>
    <w:rsid w:val="00B35DF6"/>
    <w:rsid w:val="00B3621A"/>
    <w:rsid w:val="00B36DD2"/>
    <w:rsid w:val="00B37337"/>
    <w:rsid w:val="00B37EC3"/>
    <w:rsid w:val="00B422B4"/>
    <w:rsid w:val="00B43B9D"/>
    <w:rsid w:val="00B44534"/>
    <w:rsid w:val="00B508FB"/>
    <w:rsid w:val="00B52827"/>
    <w:rsid w:val="00B55158"/>
    <w:rsid w:val="00B55578"/>
    <w:rsid w:val="00B57E22"/>
    <w:rsid w:val="00B6043D"/>
    <w:rsid w:val="00B61006"/>
    <w:rsid w:val="00B620F6"/>
    <w:rsid w:val="00B625E5"/>
    <w:rsid w:val="00B627E0"/>
    <w:rsid w:val="00B64A23"/>
    <w:rsid w:val="00B707AB"/>
    <w:rsid w:val="00B70A02"/>
    <w:rsid w:val="00B719B0"/>
    <w:rsid w:val="00B71C51"/>
    <w:rsid w:val="00B71CE5"/>
    <w:rsid w:val="00B7224A"/>
    <w:rsid w:val="00B7234F"/>
    <w:rsid w:val="00B73207"/>
    <w:rsid w:val="00B737D6"/>
    <w:rsid w:val="00B7401E"/>
    <w:rsid w:val="00B75AD7"/>
    <w:rsid w:val="00B75B06"/>
    <w:rsid w:val="00B76236"/>
    <w:rsid w:val="00B76C31"/>
    <w:rsid w:val="00B7743E"/>
    <w:rsid w:val="00B77FF0"/>
    <w:rsid w:val="00B8075A"/>
    <w:rsid w:val="00B81062"/>
    <w:rsid w:val="00B82FBA"/>
    <w:rsid w:val="00B8355F"/>
    <w:rsid w:val="00B87000"/>
    <w:rsid w:val="00B87B0B"/>
    <w:rsid w:val="00B917C8"/>
    <w:rsid w:val="00B919EE"/>
    <w:rsid w:val="00B9204B"/>
    <w:rsid w:val="00B92137"/>
    <w:rsid w:val="00B92576"/>
    <w:rsid w:val="00B95081"/>
    <w:rsid w:val="00B96564"/>
    <w:rsid w:val="00B97240"/>
    <w:rsid w:val="00BA1133"/>
    <w:rsid w:val="00BA326B"/>
    <w:rsid w:val="00BA48AD"/>
    <w:rsid w:val="00BA4E84"/>
    <w:rsid w:val="00BA520A"/>
    <w:rsid w:val="00BA5353"/>
    <w:rsid w:val="00BA67A6"/>
    <w:rsid w:val="00BB0D03"/>
    <w:rsid w:val="00BB1180"/>
    <w:rsid w:val="00BB1345"/>
    <w:rsid w:val="00BB137D"/>
    <w:rsid w:val="00BB270C"/>
    <w:rsid w:val="00BB27D7"/>
    <w:rsid w:val="00BB3373"/>
    <w:rsid w:val="00BB38B7"/>
    <w:rsid w:val="00BB652A"/>
    <w:rsid w:val="00BB652E"/>
    <w:rsid w:val="00BB659B"/>
    <w:rsid w:val="00BB71CA"/>
    <w:rsid w:val="00BB7323"/>
    <w:rsid w:val="00BC2936"/>
    <w:rsid w:val="00BC3606"/>
    <w:rsid w:val="00BC4582"/>
    <w:rsid w:val="00BC4775"/>
    <w:rsid w:val="00BC4A38"/>
    <w:rsid w:val="00BC4D9D"/>
    <w:rsid w:val="00BC52E8"/>
    <w:rsid w:val="00BC5708"/>
    <w:rsid w:val="00BC6A39"/>
    <w:rsid w:val="00BC6EFB"/>
    <w:rsid w:val="00BD0ABD"/>
    <w:rsid w:val="00BD1820"/>
    <w:rsid w:val="00BD23B5"/>
    <w:rsid w:val="00BD3B3A"/>
    <w:rsid w:val="00BD457C"/>
    <w:rsid w:val="00BD56DC"/>
    <w:rsid w:val="00BD5821"/>
    <w:rsid w:val="00BD690F"/>
    <w:rsid w:val="00BD7DE9"/>
    <w:rsid w:val="00BE25EE"/>
    <w:rsid w:val="00BE3F55"/>
    <w:rsid w:val="00BE62BB"/>
    <w:rsid w:val="00BF0A5B"/>
    <w:rsid w:val="00BF0D3B"/>
    <w:rsid w:val="00BF1377"/>
    <w:rsid w:val="00BF259F"/>
    <w:rsid w:val="00BF2C0E"/>
    <w:rsid w:val="00BF40D8"/>
    <w:rsid w:val="00BF5AB7"/>
    <w:rsid w:val="00BF7ED8"/>
    <w:rsid w:val="00C01273"/>
    <w:rsid w:val="00C022FE"/>
    <w:rsid w:val="00C02912"/>
    <w:rsid w:val="00C03F4F"/>
    <w:rsid w:val="00C051B6"/>
    <w:rsid w:val="00C07084"/>
    <w:rsid w:val="00C072A0"/>
    <w:rsid w:val="00C0741E"/>
    <w:rsid w:val="00C0780B"/>
    <w:rsid w:val="00C07C4F"/>
    <w:rsid w:val="00C105D5"/>
    <w:rsid w:val="00C107D0"/>
    <w:rsid w:val="00C10CFF"/>
    <w:rsid w:val="00C13A81"/>
    <w:rsid w:val="00C13B99"/>
    <w:rsid w:val="00C14AE6"/>
    <w:rsid w:val="00C14FF6"/>
    <w:rsid w:val="00C16C83"/>
    <w:rsid w:val="00C172FB"/>
    <w:rsid w:val="00C17C81"/>
    <w:rsid w:val="00C20530"/>
    <w:rsid w:val="00C21D32"/>
    <w:rsid w:val="00C21E8D"/>
    <w:rsid w:val="00C232AF"/>
    <w:rsid w:val="00C23E1C"/>
    <w:rsid w:val="00C23F31"/>
    <w:rsid w:val="00C2581E"/>
    <w:rsid w:val="00C275B6"/>
    <w:rsid w:val="00C27A3E"/>
    <w:rsid w:val="00C3444E"/>
    <w:rsid w:val="00C356FD"/>
    <w:rsid w:val="00C373CC"/>
    <w:rsid w:val="00C421AE"/>
    <w:rsid w:val="00C437DF"/>
    <w:rsid w:val="00C440FB"/>
    <w:rsid w:val="00C44A0A"/>
    <w:rsid w:val="00C44ED0"/>
    <w:rsid w:val="00C45A8A"/>
    <w:rsid w:val="00C46090"/>
    <w:rsid w:val="00C46847"/>
    <w:rsid w:val="00C5152A"/>
    <w:rsid w:val="00C52143"/>
    <w:rsid w:val="00C53FBA"/>
    <w:rsid w:val="00C5506D"/>
    <w:rsid w:val="00C56248"/>
    <w:rsid w:val="00C56CB3"/>
    <w:rsid w:val="00C60E6B"/>
    <w:rsid w:val="00C60EDB"/>
    <w:rsid w:val="00C63D74"/>
    <w:rsid w:val="00C65804"/>
    <w:rsid w:val="00C665A8"/>
    <w:rsid w:val="00C709AC"/>
    <w:rsid w:val="00C72333"/>
    <w:rsid w:val="00C74460"/>
    <w:rsid w:val="00C75557"/>
    <w:rsid w:val="00C767A7"/>
    <w:rsid w:val="00C76C8E"/>
    <w:rsid w:val="00C76FC5"/>
    <w:rsid w:val="00C815D4"/>
    <w:rsid w:val="00C819BC"/>
    <w:rsid w:val="00C8316D"/>
    <w:rsid w:val="00C84E07"/>
    <w:rsid w:val="00C859EB"/>
    <w:rsid w:val="00C861DF"/>
    <w:rsid w:val="00C90DFF"/>
    <w:rsid w:val="00C91C44"/>
    <w:rsid w:val="00C93AFE"/>
    <w:rsid w:val="00C961E2"/>
    <w:rsid w:val="00C9638B"/>
    <w:rsid w:val="00C96718"/>
    <w:rsid w:val="00C9747E"/>
    <w:rsid w:val="00C97788"/>
    <w:rsid w:val="00C977B1"/>
    <w:rsid w:val="00CA1344"/>
    <w:rsid w:val="00CA29EA"/>
    <w:rsid w:val="00CA4B4D"/>
    <w:rsid w:val="00CA4C46"/>
    <w:rsid w:val="00CA62B0"/>
    <w:rsid w:val="00CA7530"/>
    <w:rsid w:val="00CA7CB5"/>
    <w:rsid w:val="00CB02B3"/>
    <w:rsid w:val="00CB18F7"/>
    <w:rsid w:val="00CB19EE"/>
    <w:rsid w:val="00CB24A8"/>
    <w:rsid w:val="00CB2ABC"/>
    <w:rsid w:val="00CB48F2"/>
    <w:rsid w:val="00CB6108"/>
    <w:rsid w:val="00CB698D"/>
    <w:rsid w:val="00CB73A2"/>
    <w:rsid w:val="00CB782A"/>
    <w:rsid w:val="00CC322A"/>
    <w:rsid w:val="00CC3D4F"/>
    <w:rsid w:val="00CC415B"/>
    <w:rsid w:val="00CC4B7E"/>
    <w:rsid w:val="00CC4B90"/>
    <w:rsid w:val="00CC7899"/>
    <w:rsid w:val="00CD06B8"/>
    <w:rsid w:val="00CD06F7"/>
    <w:rsid w:val="00CD070D"/>
    <w:rsid w:val="00CD1149"/>
    <w:rsid w:val="00CD16E4"/>
    <w:rsid w:val="00CD2332"/>
    <w:rsid w:val="00CD251F"/>
    <w:rsid w:val="00CD3A33"/>
    <w:rsid w:val="00CD451D"/>
    <w:rsid w:val="00CD4583"/>
    <w:rsid w:val="00CD4E43"/>
    <w:rsid w:val="00CD4F07"/>
    <w:rsid w:val="00CD4F99"/>
    <w:rsid w:val="00CD73E0"/>
    <w:rsid w:val="00CD795A"/>
    <w:rsid w:val="00CE0200"/>
    <w:rsid w:val="00CE0E1E"/>
    <w:rsid w:val="00CE22CB"/>
    <w:rsid w:val="00CE3B64"/>
    <w:rsid w:val="00CE41DE"/>
    <w:rsid w:val="00CE6838"/>
    <w:rsid w:val="00CE717B"/>
    <w:rsid w:val="00CE7DA5"/>
    <w:rsid w:val="00CF028F"/>
    <w:rsid w:val="00CF0F86"/>
    <w:rsid w:val="00CF265B"/>
    <w:rsid w:val="00CF549F"/>
    <w:rsid w:val="00CF5B35"/>
    <w:rsid w:val="00CF5DD2"/>
    <w:rsid w:val="00CF7581"/>
    <w:rsid w:val="00CF7BF6"/>
    <w:rsid w:val="00D040CC"/>
    <w:rsid w:val="00D0707A"/>
    <w:rsid w:val="00D07501"/>
    <w:rsid w:val="00D10551"/>
    <w:rsid w:val="00D1089F"/>
    <w:rsid w:val="00D1126E"/>
    <w:rsid w:val="00D1147D"/>
    <w:rsid w:val="00D11D4F"/>
    <w:rsid w:val="00D130F7"/>
    <w:rsid w:val="00D13DDF"/>
    <w:rsid w:val="00D156C5"/>
    <w:rsid w:val="00D20203"/>
    <w:rsid w:val="00D2097F"/>
    <w:rsid w:val="00D21D7B"/>
    <w:rsid w:val="00D23D14"/>
    <w:rsid w:val="00D23F7D"/>
    <w:rsid w:val="00D324B7"/>
    <w:rsid w:val="00D34009"/>
    <w:rsid w:val="00D35B6C"/>
    <w:rsid w:val="00D418A0"/>
    <w:rsid w:val="00D43919"/>
    <w:rsid w:val="00D43B2D"/>
    <w:rsid w:val="00D4426C"/>
    <w:rsid w:val="00D44552"/>
    <w:rsid w:val="00D4463C"/>
    <w:rsid w:val="00D47488"/>
    <w:rsid w:val="00D47856"/>
    <w:rsid w:val="00D47ACD"/>
    <w:rsid w:val="00D47D9D"/>
    <w:rsid w:val="00D51487"/>
    <w:rsid w:val="00D51908"/>
    <w:rsid w:val="00D51CEE"/>
    <w:rsid w:val="00D53D79"/>
    <w:rsid w:val="00D546DD"/>
    <w:rsid w:val="00D563B3"/>
    <w:rsid w:val="00D56AE8"/>
    <w:rsid w:val="00D60CC9"/>
    <w:rsid w:val="00D63940"/>
    <w:rsid w:val="00D63D50"/>
    <w:rsid w:val="00D6422F"/>
    <w:rsid w:val="00D6751F"/>
    <w:rsid w:val="00D73724"/>
    <w:rsid w:val="00D74997"/>
    <w:rsid w:val="00D759A9"/>
    <w:rsid w:val="00D7717B"/>
    <w:rsid w:val="00D81631"/>
    <w:rsid w:val="00D81C09"/>
    <w:rsid w:val="00D83174"/>
    <w:rsid w:val="00D84271"/>
    <w:rsid w:val="00D842A0"/>
    <w:rsid w:val="00D85A5F"/>
    <w:rsid w:val="00D86557"/>
    <w:rsid w:val="00D873BE"/>
    <w:rsid w:val="00D90010"/>
    <w:rsid w:val="00D91475"/>
    <w:rsid w:val="00D91A4B"/>
    <w:rsid w:val="00D94FB7"/>
    <w:rsid w:val="00D9512D"/>
    <w:rsid w:val="00D966C2"/>
    <w:rsid w:val="00D97A68"/>
    <w:rsid w:val="00DA0218"/>
    <w:rsid w:val="00DA02EB"/>
    <w:rsid w:val="00DA1C50"/>
    <w:rsid w:val="00DA437A"/>
    <w:rsid w:val="00DA4597"/>
    <w:rsid w:val="00DA47E2"/>
    <w:rsid w:val="00DA48B5"/>
    <w:rsid w:val="00DA649E"/>
    <w:rsid w:val="00DA7CEE"/>
    <w:rsid w:val="00DB0A28"/>
    <w:rsid w:val="00DB2532"/>
    <w:rsid w:val="00DB2A1C"/>
    <w:rsid w:val="00DB3CCF"/>
    <w:rsid w:val="00DB4401"/>
    <w:rsid w:val="00DB58A2"/>
    <w:rsid w:val="00DB6FB5"/>
    <w:rsid w:val="00DC110C"/>
    <w:rsid w:val="00DC4AB2"/>
    <w:rsid w:val="00DC614C"/>
    <w:rsid w:val="00DD0B00"/>
    <w:rsid w:val="00DD31C1"/>
    <w:rsid w:val="00DD36E3"/>
    <w:rsid w:val="00DD449F"/>
    <w:rsid w:val="00DD59D6"/>
    <w:rsid w:val="00DD75D9"/>
    <w:rsid w:val="00DD7D1B"/>
    <w:rsid w:val="00DD7EA1"/>
    <w:rsid w:val="00DE0F64"/>
    <w:rsid w:val="00DE17D5"/>
    <w:rsid w:val="00DE3A2C"/>
    <w:rsid w:val="00DE53B6"/>
    <w:rsid w:val="00DE684C"/>
    <w:rsid w:val="00DE6FA4"/>
    <w:rsid w:val="00DE7907"/>
    <w:rsid w:val="00DF0399"/>
    <w:rsid w:val="00DF15DE"/>
    <w:rsid w:val="00DF20C4"/>
    <w:rsid w:val="00DF4302"/>
    <w:rsid w:val="00DF4383"/>
    <w:rsid w:val="00DF57BE"/>
    <w:rsid w:val="00DF6827"/>
    <w:rsid w:val="00DF732A"/>
    <w:rsid w:val="00E0042F"/>
    <w:rsid w:val="00E008BE"/>
    <w:rsid w:val="00E02DB3"/>
    <w:rsid w:val="00E03FC0"/>
    <w:rsid w:val="00E05F68"/>
    <w:rsid w:val="00E0629E"/>
    <w:rsid w:val="00E0721C"/>
    <w:rsid w:val="00E10793"/>
    <w:rsid w:val="00E1088D"/>
    <w:rsid w:val="00E11E63"/>
    <w:rsid w:val="00E11FFC"/>
    <w:rsid w:val="00E12408"/>
    <w:rsid w:val="00E12F83"/>
    <w:rsid w:val="00E132DF"/>
    <w:rsid w:val="00E141D7"/>
    <w:rsid w:val="00E146BA"/>
    <w:rsid w:val="00E14A8D"/>
    <w:rsid w:val="00E202FE"/>
    <w:rsid w:val="00E2095B"/>
    <w:rsid w:val="00E20A5E"/>
    <w:rsid w:val="00E21F28"/>
    <w:rsid w:val="00E22A11"/>
    <w:rsid w:val="00E23971"/>
    <w:rsid w:val="00E270F8"/>
    <w:rsid w:val="00E27253"/>
    <w:rsid w:val="00E30363"/>
    <w:rsid w:val="00E310A1"/>
    <w:rsid w:val="00E314ED"/>
    <w:rsid w:val="00E32D4E"/>
    <w:rsid w:val="00E32E4C"/>
    <w:rsid w:val="00E340FA"/>
    <w:rsid w:val="00E35E5C"/>
    <w:rsid w:val="00E40B9F"/>
    <w:rsid w:val="00E41295"/>
    <w:rsid w:val="00E416B6"/>
    <w:rsid w:val="00E42377"/>
    <w:rsid w:val="00E46564"/>
    <w:rsid w:val="00E46ADE"/>
    <w:rsid w:val="00E46F8E"/>
    <w:rsid w:val="00E47122"/>
    <w:rsid w:val="00E472C6"/>
    <w:rsid w:val="00E4741F"/>
    <w:rsid w:val="00E476DA"/>
    <w:rsid w:val="00E508C5"/>
    <w:rsid w:val="00E513D8"/>
    <w:rsid w:val="00E52FAE"/>
    <w:rsid w:val="00E53421"/>
    <w:rsid w:val="00E57570"/>
    <w:rsid w:val="00E60455"/>
    <w:rsid w:val="00E61B3E"/>
    <w:rsid w:val="00E62894"/>
    <w:rsid w:val="00E64491"/>
    <w:rsid w:val="00E65834"/>
    <w:rsid w:val="00E66321"/>
    <w:rsid w:val="00E671C3"/>
    <w:rsid w:val="00E70BE9"/>
    <w:rsid w:val="00E724BB"/>
    <w:rsid w:val="00E73710"/>
    <w:rsid w:val="00E738DC"/>
    <w:rsid w:val="00E74DFD"/>
    <w:rsid w:val="00E774E1"/>
    <w:rsid w:val="00E77589"/>
    <w:rsid w:val="00E77758"/>
    <w:rsid w:val="00E80524"/>
    <w:rsid w:val="00E80FCC"/>
    <w:rsid w:val="00E81101"/>
    <w:rsid w:val="00E82A7A"/>
    <w:rsid w:val="00E83D72"/>
    <w:rsid w:val="00E8708F"/>
    <w:rsid w:val="00E911FF"/>
    <w:rsid w:val="00E94E0B"/>
    <w:rsid w:val="00E95142"/>
    <w:rsid w:val="00E96A64"/>
    <w:rsid w:val="00E97032"/>
    <w:rsid w:val="00EA065E"/>
    <w:rsid w:val="00EA2B54"/>
    <w:rsid w:val="00EA2ECD"/>
    <w:rsid w:val="00EA32F8"/>
    <w:rsid w:val="00EA4740"/>
    <w:rsid w:val="00EA4CD4"/>
    <w:rsid w:val="00EA60C1"/>
    <w:rsid w:val="00EA7BF4"/>
    <w:rsid w:val="00EA7D4F"/>
    <w:rsid w:val="00EB354E"/>
    <w:rsid w:val="00EB4BA1"/>
    <w:rsid w:val="00EB4E41"/>
    <w:rsid w:val="00EB5820"/>
    <w:rsid w:val="00EB681B"/>
    <w:rsid w:val="00EB6EC8"/>
    <w:rsid w:val="00EB77B8"/>
    <w:rsid w:val="00EC09E2"/>
    <w:rsid w:val="00EC09FA"/>
    <w:rsid w:val="00EC0BEF"/>
    <w:rsid w:val="00EC0C4A"/>
    <w:rsid w:val="00EC16E0"/>
    <w:rsid w:val="00EC179B"/>
    <w:rsid w:val="00EC1A3A"/>
    <w:rsid w:val="00EC3A80"/>
    <w:rsid w:val="00EC437A"/>
    <w:rsid w:val="00EC6741"/>
    <w:rsid w:val="00EC67D1"/>
    <w:rsid w:val="00EC708E"/>
    <w:rsid w:val="00EC7315"/>
    <w:rsid w:val="00ED15E2"/>
    <w:rsid w:val="00ED3875"/>
    <w:rsid w:val="00ED4D7F"/>
    <w:rsid w:val="00EE2F9E"/>
    <w:rsid w:val="00EE328A"/>
    <w:rsid w:val="00EE3315"/>
    <w:rsid w:val="00EE45EA"/>
    <w:rsid w:val="00EE4805"/>
    <w:rsid w:val="00EE511D"/>
    <w:rsid w:val="00EE5234"/>
    <w:rsid w:val="00EE5FA1"/>
    <w:rsid w:val="00EE6150"/>
    <w:rsid w:val="00EF0652"/>
    <w:rsid w:val="00EF072B"/>
    <w:rsid w:val="00EF1147"/>
    <w:rsid w:val="00EF1A89"/>
    <w:rsid w:val="00EF26EA"/>
    <w:rsid w:val="00EF280A"/>
    <w:rsid w:val="00EF2D1D"/>
    <w:rsid w:val="00EF74E1"/>
    <w:rsid w:val="00EF77C6"/>
    <w:rsid w:val="00EF7C68"/>
    <w:rsid w:val="00F002F7"/>
    <w:rsid w:val="00F01D60"/>
    <w:rsid w:val="00F020BB"/>
    <w:rsid w:val="00F02889"/>
    <w:rsid w:val="00F03840"/>
    <w:rsid w:val="00F061D5"/>
    <w:rsid w:val="00F0675F"/>
    <w:rsid w:val="00F069B2"/>
    <w:rsid w:val="00F07BB7"/>
    <w:rsid w:val="00F1057F"/>
    <w:rsid w:val="00F108D7"/>
    <w:rsid w:val="00F10E07"/>
    <w:rsid w:val="00F11BA2"/>
    <w:rsid w:val="00F12584"/>
    <w:rsid w:val="00F1365C"/>
    <w:rsid w:val="00F13E83"/>
    <w:rsid w:val="00F14179"/>
    <w:rsid w:val="00F20BC3"/>
    <w:rsid w:val="00F20D5A"/>
    <w:rsid w:val="00F2233B"/>
    <w:rsid w:val="00F22EBD"/>
    <w:rsid w:val="00F2336F"/>
    <w:rsid w:val="00F23AD5"/>
    <w:rsid w:val="00F25EE1"/>
    <w:rsid w:val="00F3210A"/>
    <w:rsid w:val="00F33125"/>
    <w:rsid w:val="00F331DC"/>
    <w:rsid w:val="00F35101"/>
    <w:rsid w:val="00F353F2"/>
    <w:rsid w:val="00F354D8"/>
    <w:rsid w:val="00F40220"/>
    <w:rsid w:val="00F403F3"/>
    <w:rsid w:val="00F40449"/>
    <w:rsid w:val="00F4158C"/>
    <w:rsid w:val="00F41B18"/>
    <w:rsid w:val="00F41BF5"/>
    <w:rsid w:val="00F43192"/>
    <w:rsid w:val="00F43400"/>
    <w:rsid w:val="00F447D0"/>
    <w:rsid w:val="00F44C62"/>
    <w:rsid w:val="00F4598D"/>
    <w:rsid w:val="00F459CE"/>
    <w:rsid w:val="00F46996"/>
    <w:rsid w:val="00F47ED9"/>
    <w:rsid w:val="00F52B9C"/>
    <w:rsid w:val="00F52D27"/>
    <w:rsid w:val="00F53935"/>
    <w:rsid w:val="00F5511A"/>
    <w:rsid w:val="00F558C4"/>
    <w:rsid w:val="00F55EF7"/>
    <w:rsid w:val="00F562C3"/>
    <w:rsid w:val="00F572F8"/>
    <w:rsid w:val="00F60DA4"/>
    <w:rsid w:val="00F62FC5"/>
    <w:rsid w:val="00F63E9D"/>
    <w:rsid w:val="00F645A6"/>
    <w:rsid w:val="00F6479D"/>
    <w:rsid w:val="00F64AA5"/>
    <w:rsid w:val="00F65BF0"/>
    <w:rsid w:val="00F65E9D"/>
    <w:rsid w:val="00F66A51"/>
    <w:rsid w:val="00F67085"/>
    <w:rsid w:val="00F67F81"/>
    <w:rsid w:val="00F704AC"/>
    <w:rsid w:val="00F73283"/>
    <w:rsid w:val="00F73C0E"/>
    <w:rsid w:val="00F751E6"/>
    <w:rsid w:val="00F75EE7"/>
    <w:rsid w:val="00F77957"/>
    <w:rsid w:val="00F815A0"/>
    <w:rsid w:val="00F815FF"/>
    <w:rsid w:val="00F81A03"/>
    <w:rsid w:val="00F81E57"/>
    <w:rsid w:val="00F82A5C"/>
    <w:rsid w:val="00F82BDB"/>
    <w:rsid w:val="00F83EED"/>
    <w:rsid w:val="00F86160"/>
    <w:rsid w:val="00F86C93"/>
    <w:rsid w:val="00F925C2"/>
    <w:rsid w:val="00F92AF2"/>
    <w:rsid w:val="00F92EF2"/>
    <w:rsid w:val="00FA151E"/>
    <w:rsid w:val="00FA2898"/>
    <w:rsid w:val="00FA3C0A"/>
    <w:rsid w:val="00FA51CF"/>
    <w:rsid w:val="00FA579D"/>
    <w:rsid w:val="00FA58EE"/>
    <w:rsid w:val="00FB10D9"/>
    <w:rsid w:val="00FB11BD"/>
    <w:rsid w:val="00FB278F"/>
    <w:rsid w:val="00FB29B2"/>
    <w:rsid w:val="00FB532C"/>
    <w:rsid w:val="00FB6DD3"/>
    <w:rsid w:val="00FC466D"/>
    <w:rsid w:val="00FC498E"/>
    <w:rsid w:val="00FC67DF"/>
    <w:rsid w:val="00FC6A3A"/>
    <w:rsid w:val="00FC7BD1"/>
    <w:rsid w:val="00FD1BEF"/>
    <w:rsid w:val="00FD1F25"/>
    <w:rsid w:val="00FD3586"/>
    <w:rsid w:val="00FD36CE"/>
    <w:rsid w:val="00FD53EB"/>
    <w:rsid w:val="00FD643A"/>
    <w:rsid w:val="00FE01A2"/>
    <w:rsid w:val="00FE04DB"/>
    <w:rsid w:val="00FE05E1"/>
    <w:rsid w:val="00FE0D4C"/>
    <w:rsid w:val="00FE10F2"/>
    <w:rsid w:val="00FE15D7"/>
    <w:rsid w:val="00FE4A51"/>
    <w:rsid w:val="00FE4B9E"/>
    <w:rsid w:val="00FE4E0B"/>
    <w:rsid w:val="00FE5CAA"/>
    <w:rsid w:val="00FE6CF6"/>
    <w:rsid w:val="00FE6E43"/>
    <w:rsid w:val="00FE7821"/>
    <w:rsid w:val="00FF04E9"/>
    <w:rsid w:val="00FF1D12"/>
    <w:rsid w:val="00FF3C4A"/>
    <w:rsid w:val="00FF55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4E24D5C"/>
  <w15:docId w15:val="{1217E523-43A8-4B47-9D81-AA2CF0E47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E9F"/>
    <w:pPr>
      <w:spacing w:after="200" w:line="276" w:lineRule="auto"/>
    </w:pPr>
    <w:rPr>
      <w:sz w:val="22"/>
      <w:szCs w:val="22"/>
    </w:rPr>
  </w:style>
  <w:style w:type="paragraph" w:styleId="Heading1">
    <w:name w:val="heading 1"/>
    <w:basedOn w:val="Normal"/>
    <w:next w:val="Normal"/>
    <w:link w:val="Heading1Char"/>
    <w:uiPriority w:val="99"/>
    <w:qFormat/>
    <w:rsid w:val="00835F74"/>
    <w:pPr>
      <w:keepNext/>
      <w:spacing w:after="0" w:line="240" w:lineRule="auto"/>
      <w:outlineLvl w:val="0"/>
    </w:pPr>
    <w:rPr>
      <w:rFonts w:ascii="Times New Roman" w:eastAsia="Times New Roman" w:hAnsi="Times New Roman"/>
      <w:sz w:val="24"/>
      <w:szCs w:val="20"/>
    </w:rPr>
  </w:style>
  <w:style w:type="paragraph" w:styleId="Heading2">
    <w:name w:val="heading 2"/>
    <w:basedOn w:val="Normal"/>
    <w:next w:val="Normal"/>
    <w:link w:val="Heading2Char"/>
    <w:uiPriority w:val="99"/>
    <w:qFormat/>
    <w:rsid w:val="00835F74"/>
    <w:pPr>
      <w:keepNext/>
      <w:spacing w:after="0" w:line="240" w:lineRule="auto"/>
      <w:outlineLvl w:val="1"/>
    </w:pPr>
    <w:rPr>
      <w:rFonts w:ascii="Times New Roman" w:eastAsia="Times New Roman" w:hAnsi="Times New Roman"/>
      <w:b/>
      <w:bCs/>
      <w:sz w:val="24"/>
      <w:szCs w:val="20"/>
    </w:rPr>
  </w:style>
  <w:style w:type="paragraph" w:styleId="Heading3">
    <w:name w:val="heading 3"/>
    <w:basedOn w:val="Normal"/>
    <w:next w:val="Normal"/>
    <w:link w:val="Heading3Char"/>
    <w:uiPriority w:val="99"/>
    <w:qFormat/>
    <w:rsid w:val="004656DD"/>
    <w:pPr>
      <w:keepNext/>
      <w:spacing w:before="240" w:after="120" w:line="280" w:lineRule="exact"/>
      <w:outlineLvl w:val="2"/>
    </w:pPr>
    <w:rPr>
      <w:rFonts w:ascii="Arial" w:eastAsia="Times New Roman" w:hAnsi="Arial" w:cs="Arial"/>
      <w:b/>
      <w:bCs/>
      <w:sz w:val="24"/>
      <w:szCs w:val="24"/>
    </w:rPr>
  </w:style>
  <w:style w:type="paragraph" w:styleId="Heading4">
    <w:name w:val="heading 4"/>
    <w:basedOn w:val="Normal"/>
    <w:next w:val="Normal"/>
    <w:link w:val="Heading4Char"/>
    <w:uiPriority w:val="99"/>
    <w:unhideWhenUsed/>
    <w:qFormat/>
    <w:rsid w:val="00770F3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rsid w:val="00770F32"/>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9"/>
    <w:unhideWhenUsed/>
    <w:qFormat/>
    <w:rsid w:val="008C5C3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unhideWhenUsed/>
    <w:qFormat/>
    <w:rsid w:val="006A1E7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9"/>
    <w:qFormat/>
    <w:rsid w:val="004656DD"/>
    <w:pPr>
      <w:spacing w:before="240" w:after="60" w:line="240" w:lineRule="auto"/>
      <w:outlineLvl w:val="7"/>
    </w:pPr>
    <w:rPr>
      <w:rFonts w:ascii="Arial" w:eastAsia="Times New Roman" w:hAnsi="Arial" w:cs="Arial"/>
      <w:i/>
      <w:iCs/>
      <w:sz w:val="20"/>
      <w:szCs w:val="20"/>
    </w:rPr>
  </w:style>
  <w:style w:type="paragraph" w:styleId="Heading9">
    <w:name w:val="heading 9"/>
    <w:basedOn w:val="Normal"/>
    <w:next w:val="Normal"/>
    <w:link w:val="Heading9Char"/>
    <w:uiPriority w:val="99"/>
    <w:qFormat/>
    <w:rsid w:val="004656DD"/>
    <w:pPr>
      <w:spacing w:before="240" w:after="60" w:line="240" w:lineRule="auto"/>
      <w:outlineLvl w:val="8"/>
    </w:pPr>
    <w:rPr>
      <w:rFonts w:ascii="Arial" w:eastAsia="Times New Roman"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47F27"/>
    <w:pPr>
      <w:spacing w:after="0" w:line="240" w:lineRule="auto"/>
      <w:ind w:left="720"/>
      <w:contextualSpacing/>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F32AE"/>
    <w:pPr>
      <w:spacing w:after="0" w:line="240" w:lineRule="auto"/>
    </w:pPr>
    <w:rPr>
      <w:rFonts w:ascii="Tahoma" w:hAnsi="Tahoma"/>
      <w:sz w:val="16"/>
      <w:szCs w:val="16"/>
    </w:rPr>
  </w:style>
  <w:style w:type="character" w:customStyle="1" w:styleId="BalloonTextChar">
    <w:name w:val="Balloon Text Char"/>
    <w:link w:val="BalloonText"/>
    <w:uiPriority w:val="99"/>
    <w:semiHidden/>
    <w:rsid w:val="003F32AE"/>
    <w:rPr>
      <w:rFonts w:ascii="Tahoma" w:hAnsi="Tahoma" w:cs="Tahoma"/>
      <w:sz w:val="16"/>
      <w:szCs w:val="16"/>
    </w:rPr>
  </w:style>
  <w:style w:type="character" w:customStyle="1" w:styleId="Heading1Char">
    <w:name w:val="Heading 1 Char"/>
    <w:basedOn w:val="DefaultParagraphFont"/>
    <w:link w:val="Heading1"/>
    <w:uiPriority w:val="99"/>
    <w:rsid w:val="00835F74"/>
    <w:rPr>
      <w:rFonts w:ascii="Times New Roman" w:eastAsia="Times New Roman" w:hAnsi="Times New Roman"/>
      <w:sz w:val="24"/>
    </w:rPr>
  </w:style>
  <w:style w:type="character" w:customStyle="1" w:styleId="Heading2Char">
    <w:name w:val="Heading 2 Char"/>
    <w:basedOn w:val="DefaultParagraphFont"/>
    <w:link w:val="Heading2"/>
    <w:uiPriority w:val="99"/>
    <w:rsid w:val="00835F74"/>
    <w:rPr>
      <w:rFonts w:ascii="Times New Roman" w:eastAsia="Times New Roman" w:hAnsi="Times New Roman"/>
      <w:b/>
      <w:bCs/>
      <w:sz w:val="24"/>
    </w:rPr>
  </w:style>
  <w:style w:type="character" w:customStyle="1" w:styleId="Heading4Char">
    <w:name w:val="Heading 4 Char"/>
    <w:basedOn w:val="DefaultParagraphFont"/>
    <w:link w:val="Heading4"/>
    <w:uiPriority w:val="99"/>
    <w:rsid w:val="00770F32"/>
    <w:rPr>
      <w:rFonts w:asciiTheme="majorHAnsi" w:eastAsiaTheme="majorEastAsia" w:hAnsiTheme="majorHAnsi" w:cstheme="majorBidi"/>
      <w:b/>
      <w:bCs/>
      <w:i/>
      <w:iCs/>
      <w:color w:val="4F81BD" w:themeColor="accent1"/>
      <w:sz w:val="22"/>
      <w:szCs w:val="22"/>
    </w:rPr>
  </w:style>
  <w:style w:type="character" w:customStyle="1" w:styleId="Heading5Char">
    <w:name w:val="Heading 5 Char"/>
    <w:basedOn w:val="DefaultParagraphFont"/>
    <w:link w:val="Heading5"/>
    <w:uiPriority w:val="99"/>
    <w:rsid w:val="00770F32"/>
    <w:rPr>
      <w:rFonts w:asciiTheme="majorHAnsi" w:eastAsiaTheme="majorEastAsia" w:hAnsiTheme="majorHAnsi" w:cstheme="majorBidi"/>
      <w:color w:val="243F60" w:themeColor="accent1" w:themeShade="7F"/>
      <w:sz w:val="22"/>
      <w:szCs w:val="22"/>
    </w:rPr>
  </w:style>
  <w:style w:type="paragraph" w:styleId="FootnoteText">
    <w:name w:val="footnote text"/>
    <w:basedOn w:val="Normal"/>
    <w:link w:val="FootnoteTextChar"/>
    <w:uiPriority w:val="99"/>
    <w:rsid w:val="005B6AFC"/>
    <w:pPr>
      <w:spacing w:after="0" w:line="240" w:lineRule="auto"/>
    </w:pPr>
    <w:rPr>
      <w:rFonts w:ascii="Times New Roman" w:eastAsia="Times New Roman" w:hAnsi="Times New Roman"/>
      <w:sz w:val="20"/>
      <w:szCs w:val="20"/>
      <w:lang w:val="en-AU"/>
    </w:rPr>
  </w:style>
  <w:style w:type="character" w:customStyle="1" w:styleId="FootnoteTextChar">
    <w:name w:val="Footnote Text Char"/>
    <w:basedOn w:val="DefaultParagraphFont"/>
    <w:link w:val="FootnoteText"/>
    <w:uiPriority w:val="99"/>
    <w:rsid w:val="005B6AFC"/>
    <w:rPr>
      <w:rFonts w:ascii="Times New Roman" w:eastAsia="Times New Roman" w:hAnsi="Times New Roman"/>
      <w:lang w:val="en-AU"/>
    </w:rPr>
  </w:style>
  <w:style w:type="character" w:styleId="FootnoteReference">
    <w:name w:val="footnote reference"/>
    <w:basedOn w:val="DefaultParagraphFont"/>
    <w:uiPriority w:val="99"/>
    <w:rsid w:val="005B6AFC"/>
    <w:rPr>
      <w:rFonts w:cs="Times New Roman"/>
      <w:vertAlign w:val="superscript"/>
    </w:rPr>
  </w:style>
  <w:style w:type="paragraph" w:customStyle="1" w:styleId="Default">
    <w:name w:val="Default"/>
    <w:rsid w:val="005B6AFC"/>
    <w:pPr>
      <w:autoSpaceDE w:val="0"/>
      <w:autoSpaceDN w:val="0"/>
      <w:adjustRightInd w:val="0"/>
    </w:pPr>
    <w:rPr>
      <w:rFonts w:ascii="Times New Roman" w:eastAsia="Times New Roman" w:hAnsi="Times New Roman"/>
      <w:color w:val="000000"/>
      <w:sz w:val="24"/>
      <w:szCs w:val="24"/>
      <w:lang w:val="en-GB" w:eastAsia="en-GB"/>
    </w:rPr>
  </w:style>
  <w:style w:type="paragraph" w:customStyle="1" w:styleId="Bijlagebullets">
    <w:name w:val="Bijlage bullets"/>
    <w:basedOn w:val="Normal"/>
    <w:autoRedefine/>
    <w:rsid w:val="005B6AFC"/>
    <w:pPr>
      <w:numPr>
        <w:numId w:val="2"/>
      </w:numPr>
      <w:spacing w:before="240" w:after="120" w:line="360" w:lineRule="auto"/>
      <w:ind w:left="935" w:hanging="357"/>
      <w:jc w:val="both"/>
    </w:pPr>
    <w:rPr>
      <w:rFonts w:ascii="Arial" w:eastAsia="SimSun" w:hAnsi="Arial" w:cs="Arial"/>
      <w:sz w:val="16"/>
      <w:szCs w:val="24"/>
      <w:lang w:val="en-GB" w:eastAsia="zh-CN"/>
    </w:rPr>
  </w:style>
  <w:style w:type="paragraph" w:styleId="BodyText2">
    <w:name w:val="Body Text 2"/>
    <w:basedOn w:val="Normal"/>
    <w:link w:val="BodyText2Char"/>
    <w:uiPriority w:val="99"/>
    <w:rsid w:val="005B6AFC"/>
    <w:pPr>
      <w:tabs>
        <w:tab w:val="left" w:pos="1134"/>
      </w:tabs>
      <w:spacing w:after="0" w:line="240" w:lineRule="auto"/>
    </w:pPr>
    <w:rPr>
      <w:rFonts w:ascii="Macedonian Tms" w:eastAsia="Times New Roman" w:hAnsi="Macedonian Tms"/>
      <w:sz w:val="24"/>
      <w:szCs w:val="20"/>
    </w:rPr>
  </w:style>
  <w:style w:type="character" w:customStyle="1" w:styleId="BodyText2Char">
    <w:name w:val="Body Text 2 Char"/>
    <w:basedOn w:val="DefaultParagraphFont"/>
    <w:link w:val="BodyText2"/>
    <w:uiPriority w:val="99"/>
    <w:rsid w:val="005B6AFC"/>
    <w:rPr>
      <w:rFonts w:ascii="Macedonian Tms" w:eastAsia="Times New Roman" w:hAnsi="Macedonian Tms"/>
      <w:sz w:val="24"/>
    </w:rPr>
  </w:style>
  <w:style w:type="paragraph" w:styleId="BodyText">
    <w:name w:val="Body Text"/>
    <w:basedOn w:val="Normal"/>
    <w:link w:val="BodyTextChar"/>
    <w:uiPriority w:val="99"/>
    <w:unhideWhenUsed/>
    <w:rsid w:val="005B6AFC"/>
    <w:pPr>
      <w:spacing w:after="120" w:line="240" w:lineRule="auto"/>
    </w:pPr>
    <w:rPr>
      <w:rFonts w:ascii="Times New Roman" w:eastAsia="Times New Roman" w:hAnsi="Times New Roman"/>
      <w:sz w:val="20"/>
      <w:szCs w:val="20"/>
      <w:lang w:val="en-AU"/>
    </w:rPr>
  </w:style>
  <w:style w:type="character" w:customStyle="1" w:styleId="BodyTextChar">
    <w:name w:val="Body Text Char"/>
    <w:basedOn w:val="DefaultParagraphFont"/>
    <w:link w:val="BodyText"/>
    <w:uiPriority w:val="99"/>
    <w:rsid w:val="005B6AFC"/>
    <w:rPr>
      <w:rFonts w:ascii="Times New Roman" w:eastAsia="Times New Roman" w:hAnsi="Times New Roman"/>
      <w:lang w:val="en-AU"/>
    </w:rPr>
  </w:style>
  <w:style w:type="character" w:customStyle="1" w:styleId="Heading7Char">
    <w:name w:val="Heading 7 Char"/>
    <w:basedOn w:val="DefaultParagraphFont"/>
    <w:link w:val="Heading7"/>
    <w:uiPriority w:val="99"/>
    <w:rsid w:val="006A1E7F"/>
    <w:rPr>
      <w:rFonts w:asciiTheme="majorHAnsi" w:eastAsiaTheme="majorEastAsia" w:hAnsiTheme="majorHAnsi" w:cstheme="majorBidi"/>
      <w:i/>
      <w:iCs/>
      <w:color w:val="404040" w:themeColor="text1" w:themeTint="BF"/>
      <w:sz w:val="22"/>
      <w:szCs w:val="22"/>
    </w:rPr>
  </w:style>
  <w:style w:type="paragraph" w:styleId="Footer">
    <w:name w:val="footer"/>
    <w:basedOn w:val="Normal"/>
    <w:link w:val="FooterChar"/>
    <w:uiPriority w:val="99"/>
    <w:rsid w:val="006A1E7F"/>
    <w:pPr>
      <w:tabs>
        <w:tab w:val="center" w:pos="4320"/>
        <w:tab w:val="right" w:pos="8640"/>
      </w:tabs>
      <w:spacing w:after="0" w:line="240" w:lineRule="auto"/>
    </w:pPr>
    <w:rPr>
      <w:rFonts w:ascii="Times New Roman" w:eastAsia="Times New Roman" w:hAnsi="Times New Roman"/>
      <w:sz w:val="20"/>
      <w:szCs w:val="20"/>
      <w:lang w:val="en-AU"/>
    </w:rPr>
  </w:style>
  <w:style w:type="character" w:customStyle="1" w:styleId="FooterChar">
    <w:name w:val="Footer Char"/>
    <w:basedOn w:val="DefaultParagraphFont"/>
    <w:link w:val="Footer"/>
    <w:uiPriority w:val="99"/>
    <w:rsid w:val="006A1E7F"/>
    <w:rPr>
      <w:rFonts w:ascii="Times New Roman" w:eastAsia="Times New Roman" w:hAnsi="Times New Roman"/>
      <w:lang w:val="en-AU"/>
    </w:rPr>
  </w:style>
  <w:style w:type="paragraph" w:customStyle="1" w:styleId="a">
    <w:name w:val="Вбуйкь"/>
    <w:basedOn w:val="Normal"/>
    <w:next w:val="Normal"/>
    <w:link w:val="Char"/>
    <w:rsid w:val="006A1E7F"/>
    <w:pPr>
      <w:autoSpaceDE w:val="0"/>
      <w:autoSpaceDN w:val="0"/>
      <w:adjustRightInd w:val="0"/>
      <w:spacing w:before="240" w:after="0" w:line="240" w:lineRule="auto"/>
    </w:pPr>
    <w:rPr>
      <w:rFonts w:ascii="Arial" w:eastAsia="Times New Roman" w:hAnsi="Arial"/>
      <w:sz w:val="24"/>
      <w:szCs w:val="24"/>
      <w:lang w:val="en-GB" w:eastAsia="en-GB"/>
    </w:rPr>
  </w:style>
  <w:style w:type="character" w:customStyle="1" w:styleId="Heading6Char">
    <w:name w:val="Heading 6 Char"/>
    <w:basedOn w:val="DefaultParagraphFont"/>
    <w:link w:val="Heading6"/>
    <w:uiPriority w:val="99"/>
    <w:rsid w:val="008C5C32"/>
    <w:rPr>
      <w:rFonts w:asciiTheme="majorHAnsi" w:eastAsiaTheme="majorEastAsia" w:hAnsiTheme="majorHAnsi" w:cstheme="majorBidi"/>
      <w:i/>
      <w:iCs/>
      <w:color w:val="243F60" w:themeColor="accent1" w:themeShade="7F"/>
      <w:sz w:val="22"/>
      <w:szCs w:val="22"/>
    </w:rPr>
  </w:style>
  <w:style w:type="paragraph" w:styleId="Title">
    <w:name w:val="Title"/>
    <w:basedOn w:val="Normal"/>
    <w:link w:val="TitleChar"/>
    <w:uiPriority w:val="99"/>
    <w:qFormat/>
    <w:rsid w:val="000F30BC"/>
    <w:pPr>
      <w:autoSpaceDE w:val="0"/>
      <w:autoSpaceDN w:val="0"/>
      <w:adjustRightInd w:val="0"/>
      <w:spacing w:after="0" w:line="240" w:lineRule="auto"/>
      <w:jc w:val="center"/>
    </w:pPr>
    <w:rPr>
      <w:rFonts w:ascii="Times New Roman" w:eastAsia="Times New Roman" w:hAnsi="Times New Roman"/>
      <w:b/>
      <w:bCs/>
      <w:sz w:val="24"/>
      <w:szCs w:val="24"/>
    </w:rPr>
  </w:style>
  <w:style w:type="character" w:customStyle="1" w:styleId="TitleChar">
    <w:name w:val="Title Char"/>
    <w:basedOn w:val="DefaultParagraphFont"/>
    <w:link w:val="Title"/>
    <w:uiPriority w:val="99"/>
    <w:rsid w:val="000F30BC"/>
    <w:rPr>
      <w:rFonts w:ascii="Times New Roman" w:eastAsia="Times New Roman" w:hAnsi="Times New Roman"/>
      <w:b/>
      <w:bCs/>
      <w:sz w:val="24"/>
      <w:szCs w:val="24"/>
    </w:rPr>
  </w:style>
  <w:style w:type="paragraph" w:styleId="CommentText">
    <w:name w:val="annotation text"/>
    <w:basedOn w:val="Normal"/>
    <w:link w:val="CommentTextChar"/>
    <w:uiPriority w:val="99"/>
    <w:semiHidden/>
    <w:unhideWhenUsed/>
    <w:rsid w:val="00DD75D9"/>
    <w:pPr>
      <w:spacing w:after="0" w:line="240" w:lineRule="auto"/>
    </w:pPr>
    <w:rPr>
      <w:rFonts w:ascii="Times New Roman" w:eastAsia="Times New Roman" w:hAnsi="Times New Roman"/>
      <w:sz w:val="20"/>
      <w:szCs w:val="20"/>
      <w:lang w:val="en-AU"/>
    </w:rPr>
  </w:style>
  <w:style w:type="character" w:customStyle="1" w:styleId="CommentTextChar">
    <w:name w:val="Comment Text Char"/>
    <w:basedOn w:val="DefaultParagraphFont"/>
    <w:link w:val="CommentText"/>
    <w:uiPriority w:val="99"/>
    <w:semiHidden/>
    <w:rsid w:val="00DD75D9"/>
    <w:rPr>
      <w:rFonts w:ascii="Times New Roman" w:eastAsia="Times New Roman" w:hAnsi="Times New Roman"/>
      <w:lang w:val="en-AU"/>
    </w:rPr>
  </w:style>
  <w:style w:type="paragraph" w:styleId="CommentSubject">
    <w:name w:val="annotation subject"/>
    <w:basedOn w:val="CommentText"/>
    <w:next w:val="CommentText"/>
    <w:link w:val="CommentSubjectChar"/>
    <w:uiPriority w:val="99"/>
    <w:semiHidden/>
    <w:rsid w:val="00DD75D9"/>
    <w:rPr>
      <w:b/>
      <w:bCs/>
    </w:rPr>
  </w:style>
  <w:style w:type="character" w:customStyle="1" w:styleId="CommentSubjectChar">
    <w:name w:val="Comment Subject Char"/>
    <w:basedOn w:val="CommentTextChar"/>
    <w:link w:val="CommentSubject"/>
    <w:uiPriority w:val="99"/>
    <w:semiHidden/>
    <w:rsid w:val="00DD75D9"/>
    <w:rPr>
      <w:rFonts w:ascii="Times New Roman" w:eastAsia="Times New Roman" w:hAnsi="Times New Roman"/>
      <w:b/>
      <w:bCs/>
      <w:lang w:val="en-AU"/>
    </w:rPr>
  </w:style>
  <w:style w:type="character" w:customStyle="1" w:styleId="Heading3Char">
    <w:name w:val="Heading 3 Char"/>
    <w:basedOn w:val="DefaultParagraphFont"/>
    <w:link w:val="Heading3"/>
    <w:uiPriority w:val="99"/>
    <w:rsid w:val="004656DD"/>
    <w:rPr>
      <w:rFonts w:ascii="Arial" w:eastAsia="Times New Roman" w:hAnsi="Arial" w:cs="Arial"/>
      <w:b/>
      <w:bCs/>
      <w:sz w:val="24"/>
      <w:szCs w:val="24"/>
    </w:rPr>
  </w:style>
  <w:style w:type="character" w:customStyle="1" w:styleId="Heading8Char">
    <w:name w:val="Heading 8 Char"/>
    <w:basedOn w:val="DefaultParagraphFont"/>
    <w:link w:val="Heading8"/>
    <w:uiPriority w:val="99"/>
    <w:rsid w:val="004656DD"/>
    <w:rPr>
      <w:rFonts w:ascii="Arial" w:eastAsia="Times New Roman" w:hAnsi="Arial" w:cs="Arial"/>
      <w:i/>
      <w:iCs/>
    </w:rPr>
  </w:style>
  <w:style w:type="character" w:customStyle="1" w:styleId="Heading9Char">
    <w:name w:val="Heading 9 Char"/>
    <w:basedOn w:val="DefaultParagraphFont"/>
    <w:link w:val="Heading9"/>
    <w:uiPriority w:val="99"/>
    <w:rsid w:val="004656DD"/>
    <w:rPr>
      <w:rFonts w:ascii="Arial" w:eastAsia="Times New Roman" w:hAnsi="Arial" w:cs="Arial"/>
      <w:i/>
      <w:iCs/>
      <w:sz w:val="18"/>
      <w:szCs w:val="18"/>
    </w:rPr>
  </w:style>
  <w:style w:type="numbering" w:customStyle="1" w:styleId="NoList1">
    <w:name w:val="No List1"/>
    <w:next w:val="NoList"/>
    <w:uiPriority w:val="99"/>
    <w:semiHidden/>
    <w:unhideWhenUsed/>
    <w:rsid w:val="004656DD"/>
  </w:style>
  <w:style w:type="paragraph" w:styleId="EnvelopeAddress">
    <w:name w:val="envelope address"/>
    <w:basedOn w:val="Normal"/>
    <w:uiPriority w:val="99"/>
    <w:rsid w:val="004656DD"/>
    <w:pPr>
      <w:framePr w:w="7920" w:h="1980" w:hRule="exact" w:hSpace="180" w:wrap="auto" w:hAnchor="page" w:xAlign="center" w:yAlign="bottom"/>
      <w:spacing w:after="0" w:line="240" w:lineRule="auto"/>
      <w:ind w:left="1440"/>
    </w:pPr>
    <w:rPr>
      <w:rFonts w:ascii="Arial" w:eastAsia="Times New Roman" w:hAnsi="Arial" w:cs="Arial"/>
      <w:caps/>
      <w:sz w:val="24"/>
      <w:szCs w:val="24"/>
    </w:rPr>
  </w:style>
  <w:style w:type="paragraph" w:customStyle="1" w:styleId="fDTLogo">
    <w:name w:val="f_D&amp;T_Logo"/>
    <w:basedOn w:val="Normal"/>
    <w:uiPriority w:val="99"/>
    <w:rsid w:val="004656DD"/>
    <w:pPr>
      <w:framePr w:wrap="notBeside" w:vAnchor="page" w:hAnchor="page" w:x="1191" w:y="908"/>
      <w:spacing w:after="0" w:line="240" w:lineRule="auto"/>
    </w:pPr>
    <w:rPr>
      <w:rFonts w:ascii="CG Times (WN)" w:eastAsia="Times New Roman" w:hAnsi="CG Times (WN)" w:cs="CG Times (WN)"/>
      <w:sz w:val="24"/>
      <w:szCs w:val="24"/>
    </w:rPr>
  </w:style>
  <w:style w:type="paragraph" w:customStyle="1" w:styleId="fDTTLogo">
    <w:name w:val="f_DTT_Logo"/>
    <w:basedOn w:val="Normal"/>
    <w:uiPriority w:val="99"/>
    <w:rsid w:val="004656DD"/>
    <w:pPr>
      <w:framePr w:wrap="notBeside" w:vAnchor="page" w:hAnchor="page" w:x="1701" w:y="14346"/>
      <w:spacing w:after="0" w:line="240" w:lineRule="auto"/>
    </w:pPr>
    <w:rPr>
      <w:rFonts w:ascii="CG Times (WN)" w:eastAsia="Times New Roman" w:hAnsi="CG Times (WN)" w:cs="CG Times (WN)"/>
      <w:sz w:val="24"/>
      <w:szCs w:val="24"/>
    </w:rPr>
  </w:style>
  <w:style w:type="paragraph" w:customStyle="1" w:styleId="HangingIndent1">
    <w:name w:val="Hanging Indent 1"/>
    <w:basedOn w:val="BodyText"/>
    <w:uiPriority w:val="99"/>
    <w:rsid w:val="004656DD"/>
  </w:style>
  <w:style w:type="paragraph" w:customStyle="1" w:styleId="HangingIndent2">
    <w:name w:val="Hanging Indent 2"/>
    <w:basedOn w:val="BodyText"/>
    <w:uiPriority w:val="99"/>
    <w:rsid w:val="004656DD"/>
  </w:style>
  <w:style w:type="paragraph" w:customStyle="1" w:styleId="HangingIndent3">
    <w:name w:val="Hanging Indent 3"/>
    <w:basedOn w:val="BodyText"/>
    <w:uiPriority w:val="99"/>
    <w:rsid w:val="004656DD"/>
  </w:style>
  <w:style w:type="paragraph" w:customStyle="1" w:styleId="HangingIndent4">
    <w:name w:val="Hanging Indent 4"/>
    <w:basedOn w:val="BodyText"/>
    <w:uiPriority w:val="99"/>
    <w:rsid w:val="004656DD"/>
  </w:style>
  <w:style w:type="paragraph" w:customStyle="1" w:styleId="HangingIndent5">
    <w:name w:val="Hanging Indent 5"/>
    <w:basedOn w:val="BodyText"/>
    <w:uiPriority w:val="99"/>
    <w:rsid w:val="004656DD"/>
  </w:style>
  <w:style w:type="paragraph" w:styleId="Header">
    <w:name w:val="header"/>
    <w:aliases w:val="hd"/>
    <w:basedOn w:val="BodyText"/>
    <w:link w:val="HeaderChar"/>
    <w:uiPriority w:val="99"/>
    <w:rsid w:val="004656DD"/>
    <w:pPr>
      <w:tabs>
        <w:tab w:val="center" w:pos="4680"/>
        <w:tab w:val="right" w:pos="9360"/>
      </w:tabs>
      <w:spacing w:after="240"/>
    </w:pPr>
    <w:rPr>
      <w:sz w:val="24"/>
      <w:szCs w:val="24"/>
      <w:lang w:val="en-US"/>
    </w:rPr>
  </w:style>
  <w:style w:type="character" w:customStyle="1" w:styleId="HeaderChar">
    <w:name w:val="Header Char"/>
    <w:aliases w:val="hd Char"/>
    <w:basedOn w:val="DefaultParagraphFont"/>
    <w:link w:val="Header"/>
    <w:uiPriority w:val="99"/>
    <w:rsid w:val="004656DD"/>
    <w:rPr>
      <w:rFonts w:ascii="Times New Roman" w:eastAsia="Times New Roman" w:hAnsi="Times New Roman"/>
      <w:sz w:val="24"/>
      <w:szCs w:val="24"/>
    </w:rPr>
  </w:style>
  <w:style w:type="paragraph" w:styleId="List">
    <w:name w:val="List"/>
    <w:basedOn w:val="HangingIndent1"/>
    <w:uiPriority w:val="99"/>
    <w:rsid w:val="004656DD"/>
    <w:pPr>
      <w:spacing w:after="240"/>
      <w:ind w:left="360" w:hanging="360"/>
    </w:pPr>
    <w:rPr>
      <w:sz w:val="24"/>
      <w:szCs w:val="24"/>
      <w:lang w:val="en-US"/>
    </w:rPr>
  </w:style>
  <w:style w:type="paragraph" w:styleId="List2">
    <w:name w:val="List 2"/>
    <w:basedOn w:val="HangingIndent2"/>
    <w:uiPriority w:val="99"/>
    <w:rsid w:val="004656DD"/>
    <w:pPr>
      <w:spacing w:after="240"/>
      <w:ind w:left="720" w:hanging="360"/>
    </w:pPr>
    <w:rPr>
      <w:sz w:val="24"/>
      <w:szCs w:val="24"/>
      <w:lang w:val="en-US"/>
    </w:rPr>
  </w:style>
  <w:style w:type="paragraph" w:styleId="List3">
    <w:name w:val="List 3"/>
    <w:basedOn w:val="HangingIndent3"/>
    <w:uiPriority w:val="99"/>
    <w:rsid w:val="004656DD"/>
    <w:pPr>
      <w:spacing w:after="240"/>
      <w:ind w:left="1080" w:hanging="360"/>
    </w:pPr>
    <w:rPr>
      <w:sz w:val="24"/>
      <w:szCs w:val="24"/>
      <w:lang w:val="en-US"/>
    </w:rPr>
  </w:style>
  <w:style w:type="paragraph" w:styleId="List4">
    <w:name w:val="List 4"/>
    <w:basedOn w:val="HangingIndent4"/>
    <w:uiPriority w:val="99"/>
    <w:rsid w:val="004656DD"/>
    <w:pPr>
      <w:spacing w:after="240"/>
      <w:ind w:left="1440" w:hanging="360"/>
    </w:pPr>
    <w:rPr>
      <w:sz w:val="24"/>
      <w:szCs w:val="24"/>
      <w:lang w:val="en-US"/>
    </w:rPr>
  </w:style>
  <w:style w:type="paragraph" w:styleId="List5">
    <w:name w:val="List 5"/>
    <w:basedOn w:val="HangingIndent5"/>
    <w:uiPriority w:val="99"/>
    <w:rsid w:val="004656DD"/>
    <w:pPr>
      <w:spacing w:after="240"/>
      <w:ind w:left="1800" w:hanging="360"/>
    </w:pPr>
    <w:rPr>
      <w:sz w:val="24"/>
      <w:szCs w:val="24"/>
      <w:lang w:val="en-US"/>
    </w:rPr>
  </w:style>
  <w:style w:type="paragraph" w:styleId="ListBullet">
    <w:name w:val="List Bullet"/>
    <w:basedOn w:val="HangingIndent1"/>
    <w:uiPriority w:val="99"/>
    <w:rsid w:val="004656DD"/>
    <w:pPr>
      <w:numPr>
        <w:numId w:val="3"/>
      </w:numPr>
      <w:tabs>
        <w:tab w:val="clear" w:pos="360"/>
      </w:tabs>
      <w:spacing w:after="240"/>
    </w:pPr>
    <w:rPr>
      <w:sz w:val="24"/>
      <w:szCs w:val="24"/>
      <w:lang w:val="en-US"/>
    </w:rPr>
  </w:style>
  <w:style w:type="paragraph" w:styleId="ListBullet2">
    <w:name w:val="List Bullet 2"/>
    <w:basedOn w:val="HangingIndent2"/>
    <w:uiPriority w:val="99"/>
    <w:rsid w:val="004656DD"/>
    <w:pPr>
      <w:numPr>
        <w:numId w:val="4"/>
      </w:numPr>
      <w:spacing w:after="240"/>
    </w:pPr>
    <w:rPr>
      <w:sz w:val="24"/>
      <w:szCs w:val="24"/>
      <w:lang w:val="en-US"/>
    </w:rPr>
  </w:style>
  <w:style w:type="paragraph" w:styleId="ListBullet3">
    <w:name w:val="List Bullet 3"/>
    <w:basedOn w:val="HangingIndent3"/>
    <w:uiPriority w:val="99"/>
    <w:rsid w:val="004656DD"/>
    <w:pPr>
      <w:numPr>
        <w:numId w:val="5"/>
      </w:numPr>
      <w:spacing w:after="240"/>
    </w:pPr>
    <w:rPr>
      <w:sz w:val="24"/>
      <w:szCs w:val="24"/>
      <w:lang w:val="en-US"/>
    </w:rPr>
  </w:style>
  <w:style w:type="paragraph" w:styleId="ListBullet4">
    <w:name w:val="List Bullet 4"/>
    <w:basedOn w:val="HangingIndent4"/>
    <w:uiPriority w:val="99"/>
    <w:rsid w:val="004656DD"/>
    <w:pPr>
      <w:numPr>
        <w:numId w:val="6"/>
      </w:numPr>
      <w:spacing w:after="240"/>
    </w:pPr>
    <w:rPr>
      <w:sz w:val="24"/>
      <w:szCs w:val="24"/>
      <w:lang w:val="en-US"/>
    </w:rPr>
  </w:style>
  <w:style w:type="paragraph" w:styleId="ListBullet5">
    <w:name w:val="List Bullet 5"/>
    <w:basedOn w:val="HangingIndent5"/>
    <w:uiPriority w:val="99"/>
    <w:rsid w:val="004656DD"/>
    <w:pPr>
      <w:numPr>
        <w:numId w:val="7"/>
      </w:numPr>
      <w:spacing w:after="240"/>
    </w:pPr>
    <w:rPr>
      <w:sz w:val="24"/>
      <w:szCs w:val="24"/>
      <w:lang w:val="en-US"/>
    </w:rPr>
  </w:style>
  <w:style w:type="paragraph" w:styleId="ListContinue">
    <w:name w:val="List Continue"/>
    <w:basedOn w:val="BodyText2"/>
    <w:uiPriority w:val="99"/>
    <w:rsid w:val="004656DD"/>
    <w:pPr>
      <w:tabs>
        <w:tab w:val="clear" w:pos="1134"/>
      </w:tabs>
      <w:spacing w:after="240"/>
      <w:ind w:left="360"/>
    </w:pPr>
    <w:rPr>
      <w:rFonts w:ascii="Times New Roman" w:hAnsi="Times New Roman"/>
      <w:szCs w:val="24"/>
    </w:rPr>
  </w:style>
  <w:style w:type="paragraph" w:styleId="NormalIndent">
    <w:name w:val="Normal Indent"/>
    <w:basedOn w:val="Normal"/>
    <w:uiPriority w:val="99"/>
    <w:rsid w:val="004656DD"/>
    <w:pPr>
      <w:spacing w:after="0" w:line="240" w:lineRule="auto"/>
      <w:ind w:left="360"/>
    </w:pPr>
    <w:rPr>
      <w:rFonts w:ascii="Times New Roman" w:eastAsia="Times New Roman" w:hAnsi="Times New Roman"/>
      <w:sz w:val="24"/>
      <w:szCs w:val="24"/>
    </w:rPr>
  </w:style>
  <w:style w:type="paragraph" w:styleId="ListContinue2">
    <w:name w:val="List Continue 2"/>
    <w:basedOn w:val="BodyText2"/>
    <w:uiPriority w:val="99"/>
    <w:rsid w:val="004656DD"/>
    <w:pPr>
      <w:tabs>
        <w:tab w:val="clear" w:pos="1134"/>
      </w:tabs>
      <w:spacing w:after="240"/>
      <w:ind w:left="720"/>
    </w:pPr>
    <w:rPr>
      <w:rFonts w:ascii="Times New Roman" w:hAnsi="Times New Roman"/>
      <w:szCs w:val="24"/>
    </w:rPr>
  </w:style>
  <w:style w:type="paragraph" w:styleId="ListContinue3">
    <w:name w:val="List Continue 3"/>
    <w:basedOn w:val="BodyText2"/>
    <w:uiPriority w:val="99"/>
    <w:rsid w:val="004656DD"/>
    <w:pPr>
      <w:tabs>
        <w:tab w:val="clear" w:pos="1134"/>
      </w:tabs>
      <w:spacing w:after="240"/>
      <w:ind w:left="1080"/>
    </w:pPr>
    <w:rPr>
      <w:rFonts w:ascii="Times New Roman" w:hAnsi="Times New Roman"/>
      <w:szCs w:val="24"/>
    </w:rPr>
  </w:style>
  <w:style w:type="paragraph" w:styleId="ListContinue4">
    <w:name w:val="List Continue 4"/>
    <w:basedOn w:val="BodyText2"/>
    <w:uiPriority w:val="99"/>
    <w:rsid w:val="004656DD"/>
    <w:pPr>
      <w:tabs>
        <w:tab w:val="clear" w:pos="1134"/>
      </w:tabs>
      <w:spacing w:after="240"/>
      <w:ind w:left="1440"/>
    </w:pPr>
    <w:rPr>
      <w:rFonts w:ascii="Times New Roman" w:hAnsi="Times New Roman"/>
      <w:szCs w:val="24"/>
    </w:rPr>
  </w:style>
  <w:style w:type="paragraph" w:styleId="ListContinue5">
    <w:name w:val="List Continue 5"/>
    <w:basedOn w:val="BodyText2"/>
    <w:uiPriority w:val="99"/>
    <w:rsid w:val="004656DD"/>
    <w:pPr>
      <w:tabs>
        <w:tab w:val="clear" w:pos="1134"/>
      </w:tabs>
      <w:spacing w:after="240"/>
      <w:ind w:left="1800"/>
    </w:pPr>
    <w:rPr>
      <w:rFonts w:ascii="Times New Roman" w:hAnsi="Times New Roman"/>
      <w:szCs w:val="24"/>
    </w:rPr>
  </w:style>
  <w:style w:type="paragraph" w:styleId="ListNumber">
    <w:name w:val="List Number"/>
    <w:basedOn w:val="HangingIndent1"/>
    <w:uiPriority w:val="99"/>
    <w:rsid w:val="004656DD"/>
    <w:pPr>
      <w:numPr>
        <w:numId w:val="8"/>
      </w:numPr>
      <w:tabs>
        <w:tab w:val="clear" w:pos="360"/>
      </w:tabs>
      <w:spacing w:after="240"/>
    </w:pPr>
    <w:rPr>
      <w:sz w:val="24"/>
      <w:szCs w:val="24"/>
      <w:lang w:val="en-US"/>
    </w:rPr>
  </w:style>
  <w:style w:type="paragraph" w:styleId="ListNumber2">
    <w:name w:val="List Number 2"/>
    <w:basedOn w:val="HangingIndent2"/>
    <w:uiPriority w:val="99"/>
    <w:rsid w:val="004656DD"/>
    <w:pPr>
      <w:numPr>
        <w:numId w:val="9"/>
      </w:numPr>
      <w:spacing w:after="240"/>
    </w:pPr>
    <w:rPr>
      <w:sz w:val="24"/>
      <w:szCs w:val="24"/>
      <w:lang w:val="en-US"/>
    </w:rPr>
  </w:style>
  <w:style w:type="paragraph" w:styleId="ListNumber3">
    <w:name w:val="List Number 3"/>
    <w:basedOn w:val="HangingIndent3"/>
    <w:uiPriority w:val="99"/>
    <w:rsid w:val="004656DD"/>
    <w:pPr>
      <w:numPr>
        <w:numId w:val="10"/>
      </w:numPr>
      <w:spacing w:after="240"/>
    </w:pPr>
    <w:rPr>
      <w:sz w:val="24"/>
      <w:szCs w:val="24"/>
      <w:lang w:val="en-US"/>
    </w:rPr>
  </w:style>
  <w:style w:type="paragraph" w:styleId="ListNumber4">
    <w:name w:val="List Number 4"/>
    <w:basedOn w:val="HangingIndent4"/>
    <w:uiPriority w:val="99"/>
    <w:rsid w:val="004656DD"/>
    <w:pPr>
      <w:numPr>
        <w:numId w:val="11"/>
      </w:numPr>
      <w:spacing w:after="240"/>
    </w:pPr>
    <w:rPr>
      <w:sz w:val="24"/>
      <w:szCs w:val="24"/>
      <w:lang w:val="en-US"/>
    </w:rPr>
  </w:style>
  <w:style w:type="paragraph" w:styleId="ListNumber5">
    <w:name w:val="List Number 5"/>
    <w:basedOn w:val="HangingIndent5"/>
    <w:uiPriority w:val="99"/>
    <w:rsid w:val="004656DD"/>
    <w:pPr>
      <w:numPr>
        <w:numId w:val="12"/>
      </w:numPr>
      <w:spacing w:after="240"/>
    </w:pPr>
    <w:rPr>
      <w:sz w:val="24"/>
      <w:szCs w:val="24"/>
      <w:lang w:val="en-US"/>
    </w:rPr>
  </w:style>
  <w:style w:type="paragraph" w:styleId="MacroText">
    <w:name w:val="macro"/>
    <w:link w:val="MacroTextChar"/>
    <w:uiPriority w:val="99"/>
    <w:semiHidden/>
    <w:rsid w:val="004656DD"/>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basedOn w:val="DefaultParagraphFont"/>
    <w:link w:val="MacroText"/>
    <w:uiPriority w:val="99"/>
    <w:semiHidden/>
    <w:rsid w:val="004656DD"/>
    <w:rPr>
      <w:rFonts w:ascii="Courier New" w:eastAsia="Times New Roman" w:hAnsi="Courier New" w:cs="Courier New"/>
    </w:rPr>
  </w:style>
  <w:style w:type="paragraph" w:styleId="Signature">
    <w:name w:val="Signature"/>
    <w:basedOn w:val="BodyText"/>
    <w:next w:val="BodyText"/>
    <w:link w:val="SignatureChar"/>
    <w:uiPriority w:val="99"/>
    <w:rsid w:val="004656DD"/>
    <w:pPr>
      <w:spacing w:after="240"/>
    </w:pPr>
    <w:rPr>
      <w:sz w:val="24"/>
      <w:szCs w:val="24"/>
      <w:lang w:val="en-US"/>
    </w:rPr>
  </w:style>
  <w:style w:type="character" w:customStyle="1" w:styleId="SignatureChar">
    <w:name w:val="Signature Char"/>
    <w:basedOn w:val="DefaultParagraphFont"/>
    <w:link w:val="Signature"/>
    <w:uiPriority w:val="99"/>
    <w:rsid w:val="004656DD"/>
    <w:rPr>
      <w:rFonts w:ascii="Times New Roman" w:eastAsia="Times New Roman" w:hAnsi="Times New Roman"/>
      <w:sz w:val="24"/>
      <w:szCs w:val="24"/>
    </w:rPr>
  </w:style>
  <w:style w:type="paragraph" w:styleId="TOAHeading">
    <w:name w:val="toa heading"/>
    <w:basedOn w:val="Normal"/>
    <w:next w:val="Normal"/>
    <w:uiPriority w:val="99"/>
    <w:semiHidden/>
    <w:rsid w:val="004656DD"/>
    <w:pPr>
      <w:keepNext/>
      <w:spacing w:after="360" w:line="240" w:lineRule="auto"/>
    </w:pPr>
    <w:rPr>
      <w:rFonts w:ascii="Times New Roman" w:eastAsia="Times New Roman" w:hAnsi="Times New Roman"/>
      <w:b/>
      <w:bCs/>
      <w:i/>
      <w:iCs/>
      <w:kern w:val="28"/>
      <w:sz w:val="72"/>
      <w:szCs w:val="72"/>
    </w:rPr>
  </w:style>
  <w:style w:type="paragraph" w:styleId="EnvelopeReturn">
    <w:name w:val="envelope return"/>
    <w:basedOn w:val="Normal"/>
    <w:uiPriority w:val="99"/>
    <w:rsid w:val="004656DD"/>
    <w:pPr>
      <w:spacing w:after="0" w:line="240" w:lineRule="auto"/>
    </w:pPr>
    <w:rPr>
      <w:rFonts w:ascii="Arial" w:eastAsia="Times New Roman" w:hAnsi="Arial" w:cs="Arial"/>
      <w:sz w:val="24"/>
      <w:szCs w:val="24"/>
    </w:rPr>
  </w:style>
  <w:style w:type="paragraph" w:styleId="Closing">
    <w:name w:val="Closing"/>
    <w:basedOn w:val="BodyText"/>
    <w:next w:val="Signature"/>
    <w:link w:val="ClosingChar"/>
    <w:uiPriority w:val="99"/>
    <w:rsid w:val="004656DD"/>
    <w:pPr>
      <w:spacing w:after="860"/>
    </w:pPr>
    <w:rPr>
      <w:sz w:val="24"/>
      <w:szCs w:val="24"/>
      <w:lang w:val="en-US"/>
    </w:rPr>
  </w:style>
  <w:style w:type="character" w:customStyle="1" w:styleId="ClosingChar">
    <w:name w:val="Closing Char"/>
    <w:basedOn w:val="DefaultParagraphFont"/>
    <w:link w:val="Closing"/>
    <w:uiPriority w:val="99"/>
    <w:rsid w:val="004656DD"/>
    <w:rPr>
      <w:rFonts w:ascii="Times New Roman" w:eastAsia="Times New Roman" w:hAnsi="Times New Roman"/>
      <w:sz w:val="24"/>
      <w:szCs w:val="24"/>
    </w:rPr>
  </w:style>
  <w:style w:type="character" w:styleId="LineNumber">
    <w:name w:val="line number"/>
    <w:uiPriority w:val="99"/>
    <w:rsid w:val="004656DD"/>
    <w:rPr>
      <w:rFonts w:ascii="Arial" w:hAnsi="Arial" w:cs="Arial"/>
      <w:sz w:val="16"/>
      <w:szCs w:val="16"/>
    </w:rPr>
  </w:style>
  <w:style w:type="paragraph" w:styleId="MessageHeader">
    <w:name w:val="Message Header"/>
    <w:basedOn w:val="BodyText"/>
    <w:link w:val="MessageHeaderChar"/>
    <w:uiPriority w:val="99"/>
    <w:rsid w:val="004656DD"/>
    <w:pPr>
      <w:spacing w:after="240"/>
      <w:ind w:left="1080" w:hanging="1080"/>
    </w:pPr>
    <w:rPr>
      <w:rFonts w:ascii="Arial" w:hAnsi="Arial" w:cs="Arial"/>
      <w:b/>
      <w:bCs/>
      <w:sz w:val="24"/>
      <w:szCs w:val="24"/>
      <w:lang w:val="en-US"/>
    </w:rPr>
  </w:style>
  <w:style w:type="character" w:customStyle="1" w:styleId="MessageHeaderChar">
    <w:name w:val="Message Header Char"/>
    <w:basedOn w:val="DefaultParagraphFont"/>
    <w:link w:val="MessageHeader"/>
    <w:uiPriority w:val="99"/>
    <w:rsid w:val="004656DD"/>
    <w:rPr>
      <w:rFonts w:ascii="Arial" w:eastAsia="Times New Roman" w:hAnsi="Arial" w:cs="Arial"/>
      <w:b/>
      <w:bCs/>
      <w:sz w:val="24"/>
      <w:szCs w:val="24"/>
    </w:rPr>
  </w:style>
  <w:style w:type="character" w:styleId="PageNumber">
    <w:name w:val="page number"/>
    <w:basedOn w:val="DefaultParagraphFont"/>
    <w:uiPriority w:val="99"/>
    <w:rsid w:val="004656DD"/>
  </w:style>
  <w:style w:type="paragraph" w:styleId="Subtitle">
    <w:name w:val="Subtitle"/>
    <w:basedOn w:val="Heading2"/>
    <w:next w:val="BodyText"/>
    <w:link w:val="SubtitleChar"/>
    <w:uiPriority w:val="99"/>
    <w:qFormat/>
    <w:rsid w:val="004656DD"/>
    <w:pPr>
      <w:pBdr>
        <w:top w:val="single" w:sz="6" w:space="1" w:color="auto"/>
      </w:pBdr>
      <w:spacing w:before="480" w:after="120" w:line="320" w:lineRule="exact"/>
      <w:outlineLvl w:val="9"/>
    </w:pPr>
    <w:rPr>
      <w:rFonts w:ascii="Arial" w:hAnsi="Arial" w:cs="Arial"/>
      <w:sz w:val="28"/>
      <w:szCs w:val="28"/>
    </w:rPr>
  </w:style>
  <w:style w:type="character" w:customStyle="1" w:styleId="SubtitleChar">
    <w:name w:val="Subtitle Char"/>
    <w:basedOn w:val="DefaultParagraphFont"/>
    <w:link w:val="Subtitle"/>
    <w:uiPriority w:val="99"/>
    <w:rsid w:val="004656DD"/>
    <w:rPr>
      <w:rFonts w:ascii="Arial" w:eastAsia="Times New Roman" w:hAnsi="Arial" w:cs="Arial"/>
      <w:b/>
      <w:bCs/>
      <w:sz w:val="28"/>
      <w:szCs w:val="28"/>
    </w:rPr>
  </w:style>
  <w:style w:type="paragraph" w:styleId="BodyText3">
    <w:name w:val="Body Text 3"/>
    <w:basedOn w:val="Normal"/>
    <w:link w:val="BodyText3Char"/>
    <w:uiPriority w:val="99"/>
    <w:rsid w:val="004656DD"/>
    <w:pPr>
      <w:tabs>
        <w:tab w:val="left" w:pos="-1890"/>
      </w:tabs>
      <w:spacing w:after="0" w:line="240" w:lineRule="auto"/>
      <w:jc w:val="both"/>
    </w:pPr>
    <w:rPr>
      <w:rFonts w:ascii="Times New Roman" w:eastAsia="Times New Roman" w:hAnsi="Times New Roman"/>
      <w:sz w:val="20"/>
      <w:szCs w:val="20"/>
    </w:rPr>
  </w:style>
  <w:style w:type="character" w:customStyle="1" w:styleId="BodyText3Char">
    <w:name w:val="Body Text 3 Char"/>
    <w:basedOn w:val="DefaultParagraphFont"/>
    <w:link w:val="BodyText3"/>
    <w:uiPriority w:val="99"/>
    <w:rsid w:val="004656DD"/>
    <w:rPr>
      <w:rFonts w:ascii="Times New Roman" w:eastAsia="Times New Roman" w:hAnsi="Times New Roman"/>
    </w:rPr>
  </w:style>
  <w:style w:type="paragraph" w:styleId="BodyTextIndent">
    <w:name w:val="Body Text Indent"/>
    <w:basedOn w:val="Normal"/>
    <w:link w:val="BodyTextIndentChar"/>
    <w:uiPriority w:val="99"/>
    <w:rsid w:val="004656DD"/>
    <w:pPr>
      <w:spacing w:after="0" w:line="240" w:lineRule="auto"/>
      <w:ind w:left="720"/>
      <w:jc w:val="both"/>
    </w:pPr>
    <w:rPr>
      <w:rFonts w:ascii="Times New Roman" w:eastAsia="Times New Roman" w:hAnsi="Times New Roman"/>
      <w:b/>
      <w:bCs/>
      <w:sz w:val="20"/>
      <w:szCs w:val="20"/>
      <w:u w:val="single"/>
    </w:rPr>
  </w:style>
  <w:style w:type="character" w:customStyle="1" w:styleId="BodyTextIndentChar">
    <w:name w:val="Body Text Indent Char"/>
    <w:basedOn w:val="DefaultParagraphFont"/>
    <w:link w:val="BodyTextIndent"/>
    <w:uiPriority w:val="99"/>
    <w:rsid w:val="004656DD"/>
    <w:rPr>
      <w:rFonts w:ascii="Times New Roman" w:eastAsia="Times New Roman" w:hAnsi="Times New Roman"/>
      <w:b/>
      <w:bCs/>
      <w:u w:val="single"/>
    </w:rPr>
  </w:style>
  <w:style w:type="paragraph" w:styleId="BodyTextIndent2">
    <w:name w:val="Body Text Indent 2"/>
    <w:aliases w:val="uvlaka 2,  uvlaka 2"/>
    <w:basedOn w:val="Normal"/>
    <w:link w:val="BodyTextIndent2Char"/>
    <w:uiPriority w:val="99"/>
    <w:rsid w:val="004656DD"/>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pPr>
    <w:rPr>
      <w:rFonts w:ascii="Times New Roman" w:eastAsia="Times New Roman" w:hAnsi="Times New Roman"/>
      <w:color w:val="FF0000"/>
      <w:sz w:val="20"/>
      <w:szCs w:val="20"/>
    </w:rPr>
  </w:style>
  <w:style w:type="character" w:customStyle="1" w:styleId="BodyTextIndent2Char">
    <w:name w:val="Body Text Indent 2 Char"/>
    <w:aliases w:val="uvlaka 2 Char,  uvlaka 2 Char"/>
    <w:basedOn w:val="DefaultParagraphFont"/>
    <w:link w:val="BodyTextIndent2"/>
    <w:uiPriority w:val="99"/>
    <w:rsid w:val="004656DD"/>
    <w:rPr>
      <w:rFonts w:ascii="Times New Roman" w:eastAsia="Times New Roman" w:hAnsi="Times New Roman"/>
      <w:color w:val="FF0000"/>
    </w:rPr>
  </w:style>
  <w:style w:type="paragraph" w:styleId="BodyTextIndent3">
    <w:name w:val="Body Text Indent 3"/>
    <w:basedOn w:val="Normal"/>
    <w:link w:val="BodyTextIndent3Char"/>
    <w:uiPriority w:val="99"/>
    <w:rsid w:val="004656DD"/>
    <w:pPr>
      <w:spacing w:after="0" w:line="240" w:lineRule="auto"/>
      <w:ind w:left="720"/>
    </w:pPr>
    <w:rPr>
      <w:rFonts w:ascii="Times New Roman" w:eastAsia="Times New Roman" w:hAnsi="Times New Roman"/>
      <w:sz w:val="20"/>
      <w:szCs w:val="20"/>
    </w:rPr>
  </w:style>
  <w:style w:type="character" w:customStyle="1" w:styleId="BodyTextIndent3Char">
    <w:name w:val="Body Text Indent 3 Char"/>
    <w:basedOn w:val="DefaultParagraphFont"/>
    <w:link w:val="BodyTextIndent3"/>
    <w:uiPriority w:val="99"/>
    <w:rsid w:val="004656DD"/>
    <w:rPr>
      <w:rFonts w:ascii="Times New Roman" w:eastAsia="Times New Roman" w:hAnsi="Times New Roman"/>
    </w:rPr>
  </w:style>
  <w:style w:type="paragraph" w:styleId="BlockText">
    <w:name w:val="Block Text"/>
    <w:basedOn w:val="Normal"/>
    <w:uiPriority w:val="99"/>
    <w:rsid w:val="004656DD"/>
    <w:pPr>
      <w:spacing w:after="0" w:line="240" w:lineRule="auto"/>
      <w:ind w:left="630" w:right="-18" w:hanging="630"/>
      <w:jc w:val="both"/>
    </w:pPr>
    <w:rPr>
      <w:rFonts w:ascii="Times New Roman" w:eastAsia="Times New Roman" w:hAnsi="Times New Roman"/>
      <w:sz w:val="20"/>
      <w:szCs w:val="20"/>
    </w:rPr>
  </w:style>
  <w:style w:type="paragraph" w:customStyle="1" w:styleId="xl24">
    <w:name w:val="xl24"/>
    <w:basedOn w:val="Normal"/>
    <w:uiPriority w:val="99"/>
    <w:rsid w:val="004656DD"/>
    <w:pPr>
      <w:spacing w:before="100" w:beforeAutospacing="1" w:after="100" w:afterAutospacing="1" w:line="240" w:lineRule="auto"/>
    </w:pPr>
    <w:rPr>
      <w:rFonts w:ascii="TimesRoman" w:eastAsia="Times New Roman" w:hAnsi="TimesRoman" w:cs="TimesRoman"/>
      <w:sz w:val="20"/>
      <w:szCs w:val="20"/>
    </w:rPr>
  </w:style>
  <w:style w:type="paragraph" w:customStyle="1" w:styleId="xl25">
    <w:name w:val="xl25"/>
    <w:basedOn w:val="Normal"/>
    <w:uiPriority w:val="99"/>
    <w:rsid w:val="004656DD"/>
    <w:pPr>
      <w:spacing w:before="100" w:beforeAutospacing="1" w:after="100" w:afterAutospacing="1" w:line="240" w:lineRule="auto"/>
    </w:pPr>
    <w:rPr>
      <w:rFonts w:ascii="TimesRoman" w:eastAsia="Times New Roman" w:hAnsi="TimesRoman" w:cs="TimesRoman"/>
      <w:b/>
      <w:bCs/>
      <w:sz w:val="20"/>
      <w:szCs w:val="20"/>
    </w:rPr>
  </w:style>
  <w:style w:type="paragraph" w:customStyle="1" w:styleId="xl26">
    <w:name w:val="xl26"/>
    <w:basedOn w:val="Normal"/>
    <w:uiPriority w:val="99"/>
    <w:rsid w:val="004656DD"/>
    <w:pPr>
      <w:spacing w:before="100" w:beforeAutospacing="1" w:after="100" w:afterAutospacing="1" w:line="240" w:lineRule="auto"/>
      <w:jc w:val="center"/>
    </w:pPr>
    <w:rPr>
      <w:rFonts w:ascii="TimesRoman" w:eastAsia="Times New Roman" w:hAnsi="TimesRoman" w:cs="TimesRoman"/>
      <w:sz w:val="20"/>
      <w:szCs w:val="20"/>
    </w:rPr>
  </w:style>
  <w:style w:type="paragraph" w:customStyle="1" w:styleId="xl27">
    <w:name w:val="xl27"/>
    <w:basedOn w:val="Normal"/>
    <w:uiPriority w:val="99"/>
    <w:rsid w:val="004656DD"/>
    <w:pPr>
      <w:spacing w:before="100" w:beforeAutospacing="1" w:after="100" w:afterAutospacing="1" w:line="240" w:lineRule="auto"/>
      <w:jc w:val="center"/>
    </w:pPr>
    <w:rPr>
      <w:rFonts w:ascii="TimesRoman" w:eastAsia="Times New Roman" w:hAnsi="TimesRoman" w:cs="TimesRoman"/>
      <w:sz w:val="20"/>
      <w:szCs w:val="20"/>
    </w:rPr>
  </w:style>
  <w:style w:type="paragraph" w:customStyle="1" w:styleId="xl28">
    <w:name w:val="xl28"/>
    <w:basedOn w:val="Normal"/>
    <w:uiPriority w:val="99"/>
    <w:rsid w:val="004656DD"/>
    <w:pPr>
      <w:spacing w:before="100" w:beforeAutospacing="1" w:after="100" w:afterAutospacing="1" w:line="240" w:lineRule="auto"/>
    </w:pPr>
    <w:rPr>
      <w:rFonts w:ascii="TimesRoman" w:eastAsia="Times New Roman" w:hAnsi="TimesRoman" w:cs="TimesRoman"/>
      <w:sz w:val="20"/>
      <w:szCs w:val="20"/>
    </w:rPr>
  </w:style>
  <w:style w:type="paragraph" w:customStyle="1" w:styleId="xl29">
    <w:name w:val="xl29"/>
    <w:basedOn w:val="Normal"/>
    <w:uiPriority w:val="99"/>
    <w:rsid w:val="004656DD"/>
    <w:pPr>
      <w:pBdr>
        <w:top w:val="single" w:sz="4" w:space="0" w:color="000000"/>
      </w:pBdr>
      <w:spacing w:before="100" w:beforeAutospacing="1" w:after="100" w:afterAutospacing="1" w:line="240" w:lineRule="auto"/>
    </w:pPr>
    <w:rPr>
      <w:rFonts w:ascii="TimesRoman" w:eastAsia="Times New Roman" w:hAnsi="TimesRoman" w:cs="TimesRoman"/>
      <w:sz w:val="20"/>
      <w:szCs w:val="20"/>
    </w:rPr>
  </w:style>
  <w:style w:type="paragraph" w:customStyle="1" w:styleId="xl30">
    <w:name w:val="xl30"/>
    <w:basedOn w:val="Normal"/>
    <w:uiPriority w:val="99"/>
    <w:rsid w:val="004656DD"/>
    <w:pPr>
      <w:pBdr>
        <w:top w:val="double" w:sz="6" w:space="0" w:color="000000"/>
      </w:pBdr>
      <w:spacing w:before="100" w:beforeAutospacing="1" w:after="100" w:afterAutospacing="1" w:line="240" w:lineRule="auto"/>
    </w:pPr>
    <w:rPr>
      <w:rFonts w:ascii="TimesRoman" w:eastAsia="Times New Roman" w:hAnsi="TimesRoman" w:cs="TimesRoman"/>
      <w:sz w:val="20"/>
      <w:szCs w:val="20"/>
    </w:rPr>
  </w:style>
  <w:style w:type="paragraph" w:customStyle="1" w:styleId="xl31">
    <w:name w:val="xl31"/>
    <w:basedOn w:val="Normal"/>
    <w:uiPriority w:val="99"/>
    <w:rsid w:val="004656DD"/>
    <w:pPr>
      <w:spacing w:before="100" w:beforeAutospacing="1" w:after="100" w:afterAutospacing="1" w:line="240" w:lineRule="auto"/>
    </w:pPr>
    <w:rPr>
      <w:rFonts w:ascii="TimesRoman" w:eastAsia="Times New Roman" w:hAnsi="TimesRoman" w:cs="TimesRoman"/>
      <w:color w:val="FF0000"/>
      <w:sz w:val="20"/>
      <w:szCs w:val="20"/>
    </w:rPr>
  </w:style>
  <w:style w:type="paragraph" w:customStyle="1" w:styleId="xl32">
    <w:name w:val="xl32"/>
    <w:basedOn w:val="Normal"/>
    <w:uiPriority w:val="99"/>
    <w:rsid w:val="004656DD"/>
    <w:pPr>
      <w:spacing w:before="100" w:beforeAutospacing="1" w:after="100" w:afterAutospacing="1" w:line="240" w:lineRule="auto"/>
    </w:pPr>
    <w:rPr>
      <w:rFonts w:ascii="TimesRoman" w:eastAsia="Times New Roman" w:hAnsi="TimesRoman" w:cs="TimesRoman"/>
      <w:b/>
      <w:bCs/>
      <w:color w:val="000000"/>
      <w:sz w:val="20"/>
      <w:szCs w:val="20"/>
    </w:rPr>
  </w:style>
  <w:style w:type="paragraph" w:customStyle="1" w:styleId="xl33">
    <w:name w:val="xl33"/>
    <w:basedOn w:val="Normal"/>
    <w:uiPriority w:val="99"/>
    <w:rsid w:val="004656DD"/>
    <w:pPr>
      <w:pBdr>
        <w:bottom w:val="double" w:sz="6" w:space="0" w:color="auto"/>
      </w:pBdr>
      <w:spacing w:before="100" w:beforeAutospacing="1" w:after="100" w:afterAutospacing="1" w:line="240" w:lineRule="auto"/>
    </w:pPr>
    <w:rPr>
      <w:rFonts w:ascii="TimesRoman" w:eastAsia="Times New Roman" w:hAnsi="TimesRoman" w:cs="TimesRoman"/>
      <w:sz w:val="20"/>
      <w:szCs w:val="20"/>
    </w:rPr>
  </w:style>
  <w:style w:type="paragraph" w:customStyle="1" w:styleId="xl34">
    <w:name w:val="xl34"/>
    <w:basedOn w:val="Normal"/>
    <w:uiPriority w:val="99"/>
    <w:rsid w:val="004656DD"/>
    <w:pPr>
      <w:pBdr>
        <w:bottom w:val="double" w:sz="6" w:space="0" w:color="000000"/>
      </w:pBdr>
      <w:spacing w:before="100" w:beforeAutospacing="1" w:after="100" w:afterAutospacing="1" w:line="240" w:lineRule="auto"/>
    </w:pPr>
    <w:rPr>
      <w:rFonts w:ascii="TimesRoman" w:eastAsia="Times New Roman" w:hAnsi="TimesRoman" w:cs="TimesRoman"/>
      <w:sz w:val="20"/>
      <w:szCs w:val="20"/>
    </w:rPr>
  </w:style>
  <w:style w:type="paragraph" w:customStyle="1" w:styleId="xl35">
    <w:name w:val="xl35"/>
    <w:basedOn w:val="Normal"/>
    <w:uiPriority w:val="99"/>
    <w:rsid w:val="004656DD"/>
    <w:pPr>
      <w:pBdr>
        <w:bottom w:val="single" w:sz="4" w:space="0" w:color="000000"/>
      </w:pBdr>
      <w:spacing w:before="100" w:beforeAutospacing="1" w:after="100" w:afterAutospacing="1" w:line="240" w:lineRule="auto"/>
    </w:pPr>
    <w:rPr>
      <w:rFonts w:ascii="TimesRoman" w:eastAsia="Times New Roman" w:hAnsi="TimesRoman" w:cs="TimesRoman"/>
      <w:sz w:val="20"/>
      <w:szCs w:val="20"/>
    </w:rPr>
  </w:style>
  <w:style w:type="paragraph" w:customStyle="1" w:styleId="BodyText22">
    <w:name w:val="Body Text 22"/>
    <w:basedOn w:val="Normal"/>
    <w:uiPriority w:val="99"/>
    <w:rsid w:val="004656DD"/>
    <w:pPr>
      <w:widowControl w:val="0"/>
      <w:spacing w:after="0" w:line="240" w:lineRule="auto"/>
      <w:ind w:left="720"/>
      <w:jc w:val="both"/>
    </w:pPr>
    <w:rPr>
      <w:rFonts w:ascii="Times New Roman" w:eastAsia="Times New Roman" w:hAnsi="Times New Roman"/>
      <w:color w:val="000000"/>
      <w:sz w:val="20"/>
      <w:szCs w:val="20"/>
    </w:rPr>
  </w:style>
  <w:style w:type="paragraph" w:customStyle="1" w:styleId="performed">
    <w:name w:val="performed"/>
    <w:basedOn w:val="Normal"/>
    <w:uiPriority w:val="99"/>
    <w:rsid w:val="004656DD"/>
    <w:pPr>
      <w:keepNext/>
      <w:keepLines/>
      <w:spacing w:before="120" w:after="0" w:line="240" w:lineRule="auto"/>
      <w:jc w:val="center"/>
    </w:pPr>
    <w:rPr>
      <w:rFonts w:ascii="Times New Roman" w:eastAsia="Times New Roman" w:hAnsi="Times New Roman"/>
    </w:rPr>
  </w:style>
  <w:style w:type="paragraph" w:customStyle="1" w:styleId="BodyText23">
    <w:name w:val="Body Text 23"/>
    <w:basedOn w:val="Normal"/>
    <w:uiPriority w:val="99"/>
    <w:rsid w:val="004656DD"/>
    <w:pPr>
      <w:widowControl w:val="0"/>
      <w:tabs>
        <w:tab w:val="left" w:pos="0"/>
        <w:tab w:val="left" w:pos="821"/>
        <w:tab w:val="left" w:pos="1728"/>
        <w:tab w:val="left" w:pos="2448"/>
        <w:tab w:val="left" w:pos="3168"/>
        <w:tab w:val="left" w:pos="3888"/>
        <w:tab w:val="left" w:pos="4608"/>
        <w:tab w:val="left" w:pos="5328"/>
        <w:tab w:val="left" w:pos="6048"/>
        <w:tab w:val="left" w:pos="6768"/>
      </w:tabs>
      <w:spacing w:after="0" w:line="240" w:lineRule="auto"/>
      <w:jc w:val="both"/>
    </w:pPr>
    <w:rPr>
      <w:rFonts w:ascii="Times New Roman" w:eastAsia="Times New Roman" w:hAnsi="Times New Roman"/>
    </w:rPr>
  </w:style>
  <w:style w:type="character" w:styleId="CommentReference">
    <w:name w:val="annotation reference"/>
    <w:uiPriority w:val="99"/>
    <w:semiHidden/>
    <w:rsid w:val="004656DD"/>
    <w:rPr>
      <w:sz w:val="16"/>
      <w:szCs w:val="16"/>
    </w:rPr>
  </w:style>
  <w:style w:type="paragraph" w:customStyle="1" w:styleId="BodyText21">
    <w:name w:val="Body Text 21"/>
    <w:basedOn w:val="Normal"/>
    <w:uiPriority w:val="99"/>
    <w:rsid w:val="004656DD"/>
    <w:pPr>
      <w:widowControl w:val="0"/>
      <w:overflowPunct w:val="0"/>
      <w:autoSpaceDE w:val="0"/>
      <w:autoSpaceDN w:val="0"/>
      <w:adjustRightInd w:val="0"/>
      <w:spacing w:after="0" w:line="240" w:lineRule="auto"/>
      <w:ind w:firstLine="720"/>
      <w:jc w:val="both"/>
      <w:textAlignment w:val="baseline"/>
    </w:pPr>
    <w:rPr>
      <w:rFonts w:ascii="MAC C Times" w:eastAsia="Times New Roman" w:hAnsi="MAC C Times" w:cs="MAC C Times"/>
    </w:rPr>
  </w:style>
  <w:style w:type="paragraph" w:customStyle="1" w:styleId="xl37">
    <w:name w:val="xl37"/>
    <w:basedOn w:val="Normal"/>
    <w:uiPriority w:val="99"/>
    <w:rsid w:val="004656DD"/>
    <w:pPr>
      <w:spacing w:before="100" w:beforeAutospacing="1" w:after="100" w:afterAutospacing="1" w:line="240" w:lineRule="auto"/>
    </w:pPr>
    <w:rPr>
      <w:rFonts w:ascii="Times New Roman" w:eastAsia="Arial Unicode MS" w:hAnsi="Times New Roman"/>
      <w:sz w:val="21"/>
      <w:szCs w:val="21"/>
    </w:rPr>
  </w:style>
  <w:style w:type="paragraph" w:styleId="Caption">
    <w:name w:val="caption"/>
    <w:basedOn w:val="Normal"/>
    <w:next w:val="Normal"/>
    <w:uiPriority w:val="99"/>
    <w:qFormat/>
    <w:rsid w:val="004656DD"/>
    <w:pPr>
      <w:spacing w:before="120" w:after="120" w:line="240" w:lineRule="auto"/>
    </w:pPr>
    <w:rPr>
      <w:rFonts w:ascii="Times New Roman" w:eastAsia="Times New Roman" w:hAnsi="Times New Roman"/>
      <w:b/>
      <w:bCs/>
      <w:sz w:val="20"/>
      <w:szCs w:val="20"/>
    </w:rPr>
  </w:style>
  <w:style w:type="paragraph" w:customStyle="1" w:styleId="Indent">
    <w:name w:val="Indent"/>
    <w:rsid w:val="004656DD"/>
    <w:pPr>
      <w:widowControl w:val="0"/>
      <w:autoSpaceDE w:val="0"/>
      <w:autoSpaceDN w:val="0"/>
      <w:adjustRightInd w:val="0"/>
      <w:spacing w:after="120"/>
      <w:ind w:left="540"/>
    </w:pPr>
    <w:rPr>
      <w:rFonts w:ascii="Arial" w:eastAsia="Times New Roman" w:hAnsi="Arial" w:cs="Arial"/>
      <w:sz w:val="24"/>
      <w:szCs w:val="24"/>
    </w:rPr>
  </w:style>
  <w:style w:type="paragraph" w:customStyle="1" w:styleId="CM153">
    <w:name w:val="CM153"/>
    <w:basedOn w:val="Normal"/>
    <w:next w:val="Normal"/>
    <w:uiPriority w:val="99"/>
    <w:rsid w:val="004656DD"/>
    <w:pPr>
      <w:widowControl w:val="0"/>
      <w:autoSpaceDE w:val="0"/>
      <w:autoSpaceDN w:val="0"/>
      <w:adjustRightInd w:val="0"/>
      <w:spacing w:after="170" w:line="240" w:lineRule="auto"/>
    </w:pPr>
    <w:rPr>
      <w:rFonts w:ascii="Garamond Three" w:eastAsia="Times New Roman" w:hAnsi="Garamond Three" w:cs="Garamond Three"/>
      <w:sz w:val="24"/>
      <w:szCs w:val="24"/>
    </w:rPr>
  </w:style>
  <w:style w:type="paragraph" w:customStyle="1" w:styleId="CM18">
    <w:name w:val="CM18"/>
    <w:basedOn w:val="Normal"/>
    <w:next w:val="Normal"/>
    <w:uiPriority w:val="99"/>
    <w:rsid w:val="004656DD"/>
    <w:pPr>
      <w:widowControl w:val="0"/>
      <w:autoSpaceDE w:val="0"/>
      <w:autoSpaceDN w:val="0"/>
      <w:adjustRightInd w:val="0"/>
      <w:spacing w:after="0" w:line="223" w:lineRule="atLeast"/>
    </w:pPr>
    <w:rPr>
      <w:rFonts w:ascii="Garamond Three" w:eastAsia="Times New Roman" w:hAnsi="Garamond Three" w:cs="Garamond Three"/>
      <w:sz w:val="24"/>
      <w:szCs w:val="24"/>
    </w:rPr>
  </w:style>
  <w:style w:type="paragraph" w:customStyle="1" w:styleId="Normalen">
    <w:name w:val="Normalen"/>
    <w:basedOn w:val="Normal"/>
    <w:uiPriority w:val="99"/>
    <w:rsid w:val="004656DD"/>
    <w:pPr>
      <w:spacing w:after="0" w:line="240" w:lineRule="auto"/>
      <w:ind w:firstLine="720"/>
      <w:jc w:val="both"/>
    </w:pPr>
    <w:rPr>
      <w:rFonts w:ascii="MakCirT" w:eastAsia="Times New Roman" w:hAnsi="MakCirT" w:cs="MakCirT"/>
      <w:sz w:val="24"/>
      <w:szCs w:val="24"/>
    </w:rPr>
  </w:style>
  <w:style w:type="table" w:styleId="TableGrid">
    <w:name w:val="Table Grid"/>
    <w:basedOn w:val="TableNormal"/>
    <w:uiPriority w:val="99"/>
    <w:rsid w:val="004656D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Justified">
    <w:name w:val="Style Justified"/>
    <w:basedOn w:val="Normal"/>
    <w:uiPriority w:val="99"/>
    <w:rsid w:val="004656DD"/>
    <w:pPr>
      <w:spacing w:after="0" w:line="240" w:lineRule="auto"/>
      <w:jc w:val="both"/>
    </w:pPr>
    <w:rPr>
      <w:rFonts w:ascii="MAC C Times" w:eastAsia="Times New Roman" w:hAnsi="MAC C Times" w:cs="MAC C Times"/>
      <w:sz w:val="24"/>
      <w:szCs w:val="24"/>
      <w:lang w:val="en-GB" w:eastAsia="en-GB"/>
    </w:rPr>
  </w:style>
  <w:style w:type="paragraph" w:styleId="BodyTextFirstIndent2">
    <w:name w:val="Body Text First Indent 2"/>
    <w:basedOn w:val="BodyTextIndent"/>
    <w:link w:val="BodyTextFirstIndent2Char"/>
    <w:uiPriority w:val="99"/>
    <w:rsid w:val="004656DD"/>
    <w:pPr>
      <w:spacing w:after="120"/>
      <w:ind w:left="283" w:firstLine="210"/>
      <w:jc w:val="left"/>
    </w:pPr>
    <w:rPr>
      <w:b w:val="0"/>
      <w:bCs w:val="0"/>
      <w:sz w:val="24"/>
      <w:szCs w:val="24"/>
      <w:u w:val="none"/>
    </w:rPr>
  </w:style>
  <w:style w:type="character" w:customStyle="1" w:styleId="BodyTextFirstIndent2Char">
    <w:name w:val="Body Text First Indent 2 Char"/>
    <w:basedOn w:val="BodyTextIndentChar"/>
    <w:link w:val="BodyTextFirstIndent2"/>
    <w:uiPriority w:val="99"/>
    <w:rsid w:val="004656DD"/>
    <w:rPr>
      <w:rFonts w:ascii="Times New Roman" w:eastAsia="Times New Roman" w:hAnsi="Times New Roman"/>
      <w:b/>
      <w:bCs/>
      <w:sz w:val="24"/>
      <w:szCs w:val="24"/>
      <w:u w:val="single"/>
    </w:rPr>
  </w:style>
  <w:style w:type="paragraph" w:customStyle="1" w:styleId="CharCharCharChar">
    <w:name w:val="Char Char Char Char"/>
    <w:basedOn w:val="Normal"/>
    <w:uiPriority w:val="99"/>
    <w:rsid w:val="004656DD"/>
    <w:pPr>
      <w:spacing w:after="160" w:line="240" w:lineRule="exact"/>
      <w:jc w:val="both"/>
    </w:pPr>
    <w:rPr>
      <w:rFonts w:ascii="Arial" w:eastAsia="Batang" w:hAnsi="Arial" w:cs="Arial"/>
      <w:color w:val="003366"/>
      <w:sz w:val="20"/>
      <w:szCs w:val="20"/>
    </w:rPr>
  </w:style>
  <w:style w:type="paragraph" w:styleId="Revision">
    <w:name w:val="Revision"/>
    <w:hidden/>
    <w:uiPriority w:val="99"/>
    <w:semiHidden/>
    <w:rsid w:val="004656DD"/>
    <w:rPr>
      <w:rFonts w:ascii="Times New Roman" w:eastAsia="Times New Roman" w:hAnsi="Times New Roman"/>
      <w:sz w:val="24"/>
      <w:szCs w:val="24"/>
    </w:rPr>
  </w:style>
  <w:style w:type="paragraph" w:customStyle="1" w:styleId="Text">
    <w:name w:val="Text"/>
    <w:basedOn w:val="Normal"/>
    <w:rsid w:val="004656DD"/>
    <w:pPr>
      <w:widowControl w:val="0"/>
      <w:autoSpaceDE w:val="0"/>
      <w:autoSpaceDN w:val="0"/>
      <w:spacing w:before="60" w:after="120"/>
      <w:ind w:left="720"/>
      <w:jc w:val="both"/>
    </w:pPr>
    <w:rPr>
      <w:rFonts w:ascii="MAC C Swiss" w:hAnsi="MAC C Swiss"/>
      <w:lang w:val="mk-MK"/>
    </w:rPr>
  </w:style>
  <w:style w:type="paragraph" w:customStyle="1" w:styleId="PwCAddress">
    <w:name w:val="PwC Address"/>
    <w:basedOn w:val="Normal"/>
    <w:link w:val="PwCAddressChar"/>
    <w:qFormat/>
    <w:rsid w:val="004656DD"/>
    <w:pPr>
      <w:spacing w:after="0" w:line="200" w:lineRule="atLeast"/>
    </w:pPr>
    <w:rPr>
      <w:rFonts w:ascii="Georgia" w:hAnsi="Georgia"/>
      <w:i/>
      <w:noProof/>
      <w:sz w:val="18"/>
      <w:lang w:val="en-GB" w:eastAsia="en-GB"/>
    </w:rPr>
  </w:style>
  <w:style w:type="character" w:customStyle="1" w:styleId="PwCAddressChar">
    <w:name w:val="PwC Address Char"/>
    <w:link w:val="PwCAddress"/>
    <w:rsid w:val="004656DD"/>
    <w:rPr>
      <w:rFonts w:ascii="Georgia" w:hAnsi="Georgia"/>
      <w:i/>
      <w:noProof/>
      <w:sz w:val="18"/>
      <w:szCs w:val="22"/>
      <w:lang w:val="en-GB" w:eastAsia="en-GB"/>
    </w:rPr>
  </w:style>
  <w:style w:type="paragraph" w:customStyle="1" w:styleId="BlockNumbered">
    <w:name w:val="Block Numbered"/>
    <w:basedOn w:val="Normal"/>
    <w:rsid w:val="004656DD"/>
    <w:pPr>
      <w:widowControl w:val="0"/>
      <w:numPr>
        <w:ilvl w:val="1"/>
        <w:numId w:val="13"/>
      </w:numPr>
      <w:spacing w:before="240" w:after="0" w:line="240" w:lineRule="auto"/>
      <w:jc w:val="both"/>
    </w:pPr>
    <w:rPr>
      <w:rFonts w:ascii="Times New Roman" w:eastAsia="Times New Roman" w:hAnsi="Times New Roman"/>
      <w:sz w:val="24"/>
      <w:szCs w:val="20"/>
    </w:rPr>
  </w:style>
  <w:style w:type="paragraph" w:customStyle="1" w:styleId="t1">
    <w:name w:val="t1"/>
    <w:basedOn w:val="Normal"/>
    <w:rsid w:val="004656DD"/>
    <w:pPr>
      <w:spacing w:after="301" w:line="301" w:lineRule="atLeast"/>
      <w:jc w:val="both"/>
    </w:pPr>
    <w:rPr>
      <w:rFonts w:ascii="Arial" w:eastAsia="Times New Roman" w:hAnsi="Arial" w:cs="Arial"/>
      <w:sz w:val="19"/>
      <w:szCs w:val="19"/>
      <w:lang w:val="en-GB" w:eastAsia="en-GB"/>
    </w:rPr>
  </w:style>
  <w:style w:type="paragraph" w:customStyle="1" w:styleId="T10">
    <w:name w:val="T1"/>
    <w:basedOn w:val="Heading1"/>
    <w:rsid w:val="004656DD"/>
    <w:pPr>
      <w:keepNext w:val="0"/>
      <w:spacing w:after="301" w:line="301" w:lineRule="atLeast"/>
      <w:jc w:val="both"/>
      <w:outlineLvl w:val="9"/>
    </w:pPr>
    <w:rPr>
      <w:rFonts w:ascii="Arial" w:hAnsi="Arial"/>
      <w:sz w:val="19"/>
      <w:lang w:val="en-GB"/>
    </w:rPr>
  </w:style>
  <w:style w:type="paragraph" w:customStyle="1" w:styleId="Normal105pt">
    <w:name w:val="Normal + 10.5 pt"/>
    <w:aliases w:val="Justified,Left:  0.5&quot;"/>
    <w:basedOn w:val="Normal"/>
    <w:rsid w:val="004656DD"/>
    <w:pPr>
      <w:spacing w:after="0" w:line="240" w:lineRule="auto"/>
      <w:ind w:left="720"/>
      <w:jc w:val="both"/>
    </w:pPr>
    <w:rPr>
      <w:rFonts w:ascii="Times New Roman" w:eastAsia="Times New Roman" w:hAnsi="Times New Roman"/>
      <w:sz w:val="21"/>
      <w:szCs w:val="21"/>
      <w:lang w:val="sl-SI"/>
    </w:rPr>
  </w:style>
  <w:style w:type="character" w:customStyle="1" w:styleId="longtext">
    <w:name w:val="long_text"/>
    <w:rsid w:val="004656DD"/>
  </w:style>
  <w:style w:type="paragraph" w:customStyle="1" w:styleId="bodytext230">
    <w:name w:val="bodytext23"/>
    <w:basedOn w:val="Normal"/>
    <w:rsid w:val="004656DD"/>
    <w:pPr>
      <w:spacing w:after="0" w:line="240" w:lineRule="auto"/>
      <w:jc w:val="both"/>
    </w:pPr>
    <w:rPr>
      <w:rFonts w:ascii="Times New Roman" w:hAnsi="Times New Roman"/>
    </w:rPr>
  </w:style>
  <w:style w:type="paragraph" w:customStyle="1" w:styleId="listparagraph0">
    <w:name w:val="listparagraph"/>
    <w:basedOn w:val="Normal"/>
    <w:rsid w:val="004656DD"/>
    <w:pPr>
      <w:spacing w:after="0" w:line="240" w:lineRule="auto"/>
      <w:ind w:left="720"/>
    </w:pPr>
    <w:rPr>
      <w:rFonts w:ascii="Times New Roman" w:hAnsi="Times New Roman"/>
      <w:sz w:val="24"/>
      <w:szCs w:val="24"/>
    </w:rPr>
  </w:style>
  <w:style w:type="character" w:customStyle="1" w:styleId="apple-converted-space">
    <w:name w:val="apple-converted-space"/>
    <w:rsid w:val="004656DD"/>
  </w:style>
  <w:style w:type="paragraph" w:customStyle="1" w:styleId="stylejustified0">
    <w:name w:val="stylejustified"/>
    <w:basedOn w:val="Normal"/>
    <w:rsid w:val="004656DD"/>
    <w:pPr>
      <w:spacing w:after="0" w:line="240" w:lineRule="auto"/>
      <w:jc w:val="both"/>
    </w:pPr>
    <w:rPr>
      <w:rFonts w:ascii="MAC C Times" w:hAnsi="MAC C Times"/>
      <w:sz w:val="24"/>
      <w:szCs w:val="24"/>
    </w:rPr>
  </w:style>
  <w:style w:type="character" w:customStyle="1" w:styleId="hps">
    <w:name w:val="hps"/>
    <w:rsid w:val="004656DD"/>
  </w:style>
  <w:style w:type="numbering" w:customStyle="1" w:styleId="NoList2">
    <w:name w:val="No List2"/>
    <w:next w:val="NoList"/>
    <w:uiPriority w:val="99"/>
    <w:semiHidden/>
    <w:unhideWhenUsed/>
    <w:rsid w:val="00E513D8"/>
  </w:style>
  <w:style w:type="character" w:customStyle="1" w:styleId="mediumtext">
    <w:name w:val="medium_text"/>
    <w:basedOn w:val="DefaultParagraphFont"/>
    <w:rsid w:val="00E513D8"/>
  </w:style>
  <w:style w:type="paragraph" w:customStyle="1" w:styleId="Rbody1">
    <w:name w:val="R_body1"/>
    <w:basedOn w:val="Normal"/>
    <w:rsid w:val="00E513D8"/>
    <w:pPr>
      <w:spacing w:after="0" w:line="240" w:lineRule="auto"/>
      <w:jc w:val="both"/>
    </w:pPr>
    <w:rPr>
      <w:rFonts w:eastAsia="Times New Roman"/>
      <w:sz w:val="18"/>
      <w:szCs w:val="18"/>
      <w:lang w:val="en-GB" w:eastAsia="el-GR"/>
    </w:rPr>
  </w:style>
  <w:style w:type="character" w:customStyle="1" w:styleId="CharChar2">
    <w:name w:val="Char Char2"/>
    <w:rsid w:val="00E513D8"/>
    <w:rPr>
      <w:sz w:val="24"/>
      <w:szCs w:val="24"/>
    </w:rPr>
  </w:style>
  <w:style w:type="character" w:customStyle="1" w:styleId="hpsatn">
    <w:name w:val="hps atn"/>
    <w:basedOn w:val="DefaultParagraphFont"/>
    <w:rsid w:val="00E513D8"/>
  </w:style>
  <w:style w:type="character" w:customStyle="1" w:styleId="gt-icon-text1">
    <w:name w:val="gt-icon-text1"/>
    <w:basedOn w:val="DefaultParagraphFont"/>
    <w:rsid w:val="00E513D8"/>
  </w:style>
  <w:style w:type="paragraph" w:customStyle="1" w:styleId="Numbered1">
    <w:name w:val="Numbered1"/>
    <w:basedOn w:val="Normal"/>
    <w:rsid w:val="00E513D8"/>
    <w:pPr>
      <w:numPr>
        <w:numId w:val="17"/>
      </w:numPr>
      <w:spacing w:after="240" w:line="240" w:lineRule="atLeast"/>
      <w:ind w:right="335"/>
    </w:pPr>
    <w:rPr>
      <w:rFonts w:ascii="Times New Roman" w:eastAsia="Times New Roman" w:hAnsi="Times New Roman"/>
      <w:color w:val="000000"/>
      <w:szCs w:val="20"/>
      <w:lang w:val="en-GB"/>
    </w:rPr>
  </w:style>
  <w:style w:type="paragraph" w:customStyle="1" w:styleId="Numbered2">
    <w:name w:val="Numbered2"/>
    <w:basedOn w:val="Normal"/>
    <w:autoRedefine/>
    <w:rsid w:val="00E513D8"/>
    <w:pPr>
      <w:numPr>
        <w:ilvl w:val="1"/>
        <w:numId w:val="17"/>
      </w:numPr>
      <w:spacing w:after="240" w:line="240" w:lineRule="atLeast"/>
    </w:pPr>
    <w:rPr>
      <w:rFonts w:ascii="Times New Roman" w:eastAsia="Times New Roman" w:hAnsi="Times New Roman"/>
      <w:color w:val="000000"/>
      <w:szCs w:val="20"/>
      <w:lang w:val="en-GB"/>
    </w:rPr>
  </w:style>
  <w:style w:type="character" w:styleId="Hyperlink">
    <w:name w:val="Hyperlink"/>
    <w:uiPriority w:val="99"/>
    <w:unhideWhenUsed/>
    <w:rsid w:val="00E513D8"/>
    <w:rPr>
      <w:strike w:val="0"/>
      <w:dstrike w:val="0"/>
      <w:color w:val="255F9A"/>
      <w:u w:val="none"/>
      <w:effect w:val="none"/>
    </w:rPr>
  </w:style>
  <w:style w:type="paragraph" w:styleId="PlainText">
    <w:name w:val="Plain Text"/>
    <w:basedOn w:val="Normal"/>
    <w:link w:val="PlainTextChar"/>
    <w:uiPriority w:val="99"/>
    <w:unhideWhenUsed/>
    <w:rsid w:val="00C2581E"/>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C2581E"/>
    <w:rPr>
      <w:rFonts w:eastAsiaTheme="minorHAnsi" w:cstheme="minorBidi"/>
      <w:sz w:val="22"/>
      <w:szCs w:val="21"/>
    </w:rPr>
  </w:style>
  <w:style w:type="table" w:customStyle="1" w:styleId="GridTable1Light-Accent51">
    <w:name w:val="Grid Table 1 Light - Accent 51"/>
    <w:basedOn w:val="TableNormal"/>
    <w:uiPriority w:val="46"/>
    <w:rsid w:val="00AE6A27"/>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620C07"/>
    <w:pPr>
      <w:spacing w:before="100" w:beforeAutospacing="1" w:after="100" w:afterAutospacing="1" w:line="240" w:lineRule="auto"/>
    </w:pPr>
    <w:rPr>
      <w:rFonts w:ascii="Times New Roman" w:eastAsia="Times New Roman" w:hAnsi="Times New Roman"/>
      <w:sz w:val="24"/>
      <w:szCs w:val="24"/>
    </w:rPr>
  </w:style>
  <w:style w:type="paragraph" w:customStyle="1" w:styleId="Subtitle1">
    <w:name w:val="Subtitle1"/>
    <w:basedOn w:val="Normal"/>
    <w:rsid w:val="00620C07"/>
    <w:pPr>
      <w:spacing w:before="100" w:beforeAutospacing="1" w:after="100" w:afterAutospacing="1" w:line="240" w:lineRule="auto"/>
    </w:pPr>
    <w:rPr>
      <w:rFonts w:ascii="Times New Roman" w:eastAsia="Times New Roman" w:hAnsi="Times New Roman"/>
      <w:sz w:val="24"/>
      <w:szCs w:val="24"/>
    </w:rPr>
  </w:style>
  <w:style w:type="paragraph" w:customStyle="1" w:styleId="normaltext">
    <w:name w:val="normaltext"/>
    <w:basedOn w:val="Normal"/>
    <w:rsid w:val="00620C07"/>
    <w:pPr>
      <w:spacing w:before="100" w:beforeAutospacing="1" w:after="100" w:afterAutospacing="1" w:line="240" w:lineRule="auto"/>
    </w:pPr>
    <w:rPr>
      <w:rFonts w:ascii="Times New Roman" w:eastAsia="Times New Roman" w:hAnsi="Times New Roman"/>
      <w:sz w:val="24"/>
      <w:szCs w:val="24"/>
    </w:rPr>
  </w:style>
  <w:style w:type="character" w:customStyle="1" w:styleId="normaltext1">
    <w:name w:val="normaltext1"/>
    <w:basedOn w:val="DefaultParagraphFont"/>
    <w:rsid w:val="00620C07"/>
  </w:style>
  <w:style w:type="paragraph" w:styleId="TOCHeading">
    <w:name w:val="TOC Heading"/>
    <w:basedOn w:val="Heading1"/>
    <w:next w:val="Normal"/>
    <w:uiPriority w:val="39"/>
    <w:unhideWhenUsed/>
    <w:qFormat/>
    <w:rsid w:val="00B95081"/>
    <w:pPr>
      <w:keepLines/>
      <w:spacing w:before="240" w:line="259" w:lineRule="auto"/>
      <w:outlineLvl w:val="9"/>
    </w:pPr>
    <w:rPr>
      <w:rFonts w:asciiTheme="majorHAnsi" w:eastAsiaTheme="majorEastAsia" w:hAnsiTheme="majorHAnsi" w:cstheme="majorBidi"/>
      <w:color w:val="365F91" w:themeColor="accent1" w:themeShade="BF"/>
      <w:sz w:val="32"/>
      <w:szCs w:val="32"/>
    </w:rPr>
  </w:style>
  <w:style w:type="paragraph" w:styleId="TOC2">
    <w:name w:val="toc 2"/>
    <w:basedOn w:val="Normal"/>
    <w:next w:val="Normal"/>
    <w:autoRedefine/>
    <w:uiPriority w:val="39"/>
    <w:unhideWhenUsed/>
    <w:rsid w:val="00A85DC9"/>
    <w:pPr>
      <w:tabs>
        <w:tab w:val="right" w:leader="dot" w:pos="9259"/>
      </w:tabs>
      <w:spacing w:after="100" w:line="259" w:lineRule="auto"/>
    </w:pPr>
    <w:rPr>
      <w:rFonts w:ascii="Times New Roman" w:eastAsiaTheme="minorEastAsia" w:hAnsi="Times New Roman"/>
      <w:b/>
      <w:sz w:val="24"/>
      <w:szCs w:val="24"/>
    </w:rPr>
  </w:style>
  <w:style w:type="paragraph" w:styleId="TOC1">
    <w:name w:val="toc 1"/>
    <w:basedOn w:val="Normal"/>
    <w:next w:val="Normal"/>
    <w:autoRedefine/>
    <w:uiPriority w:val="39"/>
    <w:unhideWhenUsed/>
    <w:rsid w:val="00C21E8D"/>
    <w:pPr>
      <w:tabs>
        <w:tab w:val="right" w:leader="dot" w:pos="9259"/>
      </w:tabs>
      <w:spacing w:after="100" w:line="259" w:lineRule="auto"/>
    </w:pPr>
    <w:rPr>
      <w:rFonts w:ascii="Times New Roman" w:eastAsiaTheme="minorEastAsia" w:hAnsi="Times New Roman"/>
      <w:b/>
      <w:bCs/>
      <w:iCs/>
      <w:noProof/>
      <w:sz w:val="24"/>
      <w:szCs w:val="24"/>
      <w:lang w:val="pt-BR"/>
    </w:rPr>
  </w:style>
  <w:style w:type="paragraph" w:styleId="TOC3">
    <w:name w:val="toc 3"/>
    <w:basedOn w:val="Normal"/>
    <w:next w:val="Normal"/>
    <w:autoRedefine/>
    <w:uiPriority w:val="39"/>
    <w:unhideWhenUsed/>
    <w:rsid w:val="00B95081"/>
    <w:pPr>
      <w:spacing w:after="100" w:line="259" w:lineRule="auto"/>
      <w:ind w:left="440"/>
    </w:pPr>
    <w:rPr>
      <w:rFonts w:asciiTheme="minorHAnsi" w:eastAsiaTheme="minorEastAsia" w:hAnsiTheme="minorHAnsi"/>
    </w:rPr>
  </w:style>
  <w:style w:type="paragraph" w:styleId="EndnoteText">
    <w:name w:val="endnote text"/>
    <w:basedOn w:val="Normal"/>
    <w:link w:val="EndnoteTextChar"/>
    <w:uiPriority w:val="99"/>
    <w:semiHidden/>
    <w:unhideWhenUsed/>
    <w:rsid w:val="009D38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D38E1"/>
  </w:style>
  <w:style w:type="character" w:styleId="EndnoteReference">
    <w:name w:val="endnote reference"/>
    <w:basedOn w:val="DefaultParagraphFont"/>
    <w:uiPriority w:val="99"/>
    <w:semiHidden/>
    <w:unhideWhenUsed/>
    <w:rsid w:val="009D38E1"/>
    <w:rPr>
      <w:vertAlign w:val="superscript"/>
    </w:rPr>
  </w:style>
  <w:style w:type="paragraph" w:styleId="NoSpacing">
    <w:name w:val="No Spacing"/>
    <w:uiPriority w:val="1"/>
    <w:qFormat/>
    <w:rsid w:val="00503529"/>
    <w:rPr>
      <w:sz w:val="22"/>
      <w:szCs w:val="22"/>
    </w:rPr>
  </w:style>
  <w:style w:type="character" w:styleId="IntenseReference">
    <w:name w:val="Intense Reference"/>
    <w:basedOn w:val="DefaultParagraphFont"/>
    <w:uiPriority w:val="32"/>
    <w:qFormat/>
    <w:rsid w:val="00173A32"/>
    <w:rPr>
      <w:b/>
      <w:bCs/>
      <w:smallCaps/>
      <w:color w:val="4F81BD" w:themeColor="accent1"/>
      <w:spacing w:val="5"/>
    </w:rPr>
  </w:style>
  <w:style w:type="character" w:styleId="Emphasis">
    <w:name w:val="Emphasis"/>
    <w:basedOn w:val="DefaultParagraphFont"/>
    <w:uiPriority w:val="20"/>
    <w:qFormat/>
    <w:rsid w:val="002A7BCE"/>
    <w:rPr>
      <w:i/>
      <w:iCs/>
    </w:rPr>
  </w:style>
  <w:style w:type="character" w:styleId="IntenseEmphasis">
    <w:name w:val="Intense Emphasis"/>
    <w:basedOn w:val="DefaultParagraphFont"/>
    <w:uiPriority w:val="21"/>
    <w:qFormat/>
    <w:rsid w:val="00AF506E"/>
    <w:rPr>
      <w:i/>
      <w:iCs/>
      <w:color w:val="4F81BD" w:themeColor="accent1"/>
    </w:rPr>
  </w:style>
  <w:style w:type="character" w:customStyle="1" w:styleId="q4iawc">
    <w:name w:val="q4iawc"/>
    <w:basedOn w:val="DefaultParagraphFont"/>
    <w:rsid w:val="00133F14"/>
  </w:style>
  <w:style w:type="character" w:customStyle="1" w:styleId="Char">
    <w:name w:val="Вбуйкь Char"/>
    <w:basedOn w:val="DefaultParagraphFont"/>
    <w:link w:val="a"/>
    <w:rsid w:val="004B60EA"/>
    <w:rPr>
      <w:rFonts w:ascii="Arial" w:eastAsia="Times New Roman" w:hAnsi="Arial"/>
      <w:sz w:val="24"/>
      <w:szCs w:val="24"/>
      <w:lang w:val="en-GB" w:eastAsia="en-GB"/>
    </w:rPr>
  </w:style>
  <w:style w:type="character" w:customStyle="1" w:styleId="ListParagraphChar">
    <w:name w:val="List Paragraph Char"/>
    <w:link w:val="ListParagraph"/>
    <w:uiPriority w:val="34"/>
    <w:locked/>
    <w:rsid w:val="00BB270C"/>
    <w:rPr>
      <w:rFonts w:ascii="Times New Roman" w:eastAsia="Times New Roman" w:hAnsi="Times New Roman"/>
      <w:sz w:val="24"/>
      <w:szCs w:val="24"/>
    </w:rPr>
  </w:style>
  <w:style w:type="table" w:styleId="TableGridLight">
    <w:name w:val="Grid Table Light"/>
    <w:basedOn w:val="TableNormal"/>
    <w:uiPriority w:val="40"/>
    <w:rsid w:val="00EC708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8076">
      <w:bodyDiv w:val="1"/>
      <w:marLeft w:val="0"/>
      <w:marRight w:val="0"/>
      <w:marTop w:val="0"/>
      <w:marBottom w:val="0"/>
      <w:divBdr>
        <w:top w:val="none" w:sz="0" w:space="0" w:color="auto"/>
        <w:left w:val="none" w:sz="0" w:space="0" w:color="auto"/>
        <w:bottom w:val="none" w:sz="0" w:space="0" w:color="auto"/>
        <w:right w:val="none" w:sz="0" w:space="0" w:color="auto"/>
      </w:divBdr>
    </w:div>
    <w:div w:id="219247848">
      <w:bodyDiv w:val="1"/>
      <w:marLeft w:val="0"/>
      <w:marRight w:val="0"/>
      <w:marTop w:val="0"/>
      <w:marBottom w:val="0"/>
      <w:divBdr>
        <w:top w:val="none" w:sz="0" w:space="0" w:color="auto"/>
        <w:left w:val="none" w:sz="0" w:space="0" w:color="auto"/>
        <w:bottom w:val="none" w:sz="0" w:space="0" w:color="auto"/>
        <w:right w:val="none" w:sz="0" w:space="0" w:color="auto"/>
      </w:divBdr>
    </w:div>
    <w:div w:id="246161388">
      <w:bodyDiv w:val="1"/>
      <w:marLeft w:val="0"/>
      <w:marRight w:val="0"/>
      <w:marTop w:val="0"/>
      <w:marBottom w:val="0"/>
      <w:divBdr>
        <w:top w:val="none" w:sz="0" w:space="0" w:color="auto"/>
        <w:left w:val="none" w:sz="0" w:space="0" w:color="auto"/>
        <w:bottom w:val="none" w:sz="0" w:space="0" w:color="auto"/>
        <w:right w:val="none" w:sz="0" w:space="0" w:color="auto"/>
      </w:divBdr>
    </w:div>
    <w:div w:id="263149947">
      <w:bodyDiv w:val="1"/>
      <w:marLeft w:val="0"/>
      <w:marRight w:val="0"/>
      <w:marTop w:val="0"/>
      <w:marBottom w:val="0"/>
      <w:divBdr>
        <w:top w:val="none" w:sz="0" w:space="0" w:color="auto"/>
        <w:left w:val="none" w:sz="0" w:space="0" w:color="auto"/>
        <w:bottom w:val="none" w:sz="0" w:space="0" w:color="auto"/>
        <w:right w:val="none" w:sz="0" w:space="0" w:color="auto"/>
      </w:divBdr>
    </w:div>
    <w:div w:id="266498707">
      <w:bodyDiv w:val="1"/>
      <w:marLeft w:val="0"/>
      <w:marRight w:val="0"/>
      <w:marTop w:val="0"/>
      <w:marBottom w:val="0"/>
      <w:divBdr>
        <w:top w:val="none" w:sz="0" w:space="0" w:color="auto"/>
        <w:left w:val="none" w:sz="0" w:space="0" w:color="auto"/>
        <w:bottom w:val="none" w:sz="0" w:space="0" w:color="auto"/>
        <w:right w:val="none" w:sz="0" w:space="0" w:color="auto"/>
      </w:divBdr>
    </w:div>
    <w:div w:id="436220031">
      <w:bodyDiv w:val="1"/>
      <w:marLeft w:val="0"/>
      <w:marRight w:val="0"/>
      <w:marTop w:val="0"/>
      <w:marBottom w:val="0"/>
      <w:divBdr>
        <w:top w:val="none" w:sz="0" w:space="0" w:color="auto"/>
        <w:left w:val="none" w:sz="0" w:space="0" w:color="auto"/>
        <w:bottom w:val="none" w:sz="0" w:space="0" w:color="auto"/>
        <w:right w:val="none" w:sz="0" w:space="0" w:color="auto"/>
      </w:divBdr>
    </w:div>
    <w:div w:id="459419976">
      <w:bodyDiv w:val="1"/>
      <w:marLeft w:val="0"/>
      <w:marRight w:val="0"/>
      <w:marTop w:val="0"/>
      <w:marBottom w:val="0"/>
      <w:divBdr>
        <w:top w:val="none" w:sz="0" w:space="0" w:color="auto"/>
        <w:left w:val="none" w:sz="0" w:space="0" w:color="auto"/>
        <w:bottom w:val="none" w:sz="0" w:space="0" w:color="auto"/>
        <w:right w:val="none" w:sz="0" w:space="0" w:color="auto"/>
      </w:divBdr>
    </w:div>
    <w:div w:id="513374759">
      <w:bodyDiv w:val="1"/>
      <w:marLeft w:val="0"/>
      <w:marRight w:val="0"/>
      <w:marTop w:val="0"/>
      <w:marBottom w:val="0"/>
      <w:divBdr>
        <w:top w:val="none" w:sz="0" w:space="0" w:color="auto"/>
        <w:left w:val="none" w:sz="0" w:space="0" w:color="auto"/>
        <w:bottom w:val="none" w:sz="0" w:space="0" w:color="auto"/>
        <w:right w:val="none" w:sz="0" w:space="0" w:color="auto"/>
      </w:divBdr>
    </w:div>
    <w:div w:id="526870865">
      <w:bodyDiv w:val="1"/>
      <w:marLeft w:val="0"/>
      <w:marRight w:val="0"/>
      <w:marTop w:val="0"/>
      <w:marBottom w:val="0"/>
      <w:divBdr>
        <w:top w:val="none" w:sz="0" w:space="0" w:color="auto"/>
        <w:left w:val="none" w:sz="0" w:space="0" w:color="auto"/>
        <w:bottom w:val="none" w:sz="0" w:space="0" w:color="auto"/>
        <w:right w:val="none" w:sz="0" w:space="0" w:color="auto"/>
      </w:divBdr>
    </w:div>
    <w:div w:id="567115653">
      <w:bodyDiv w:val="1"/>
      <w:marLeft w:val="0"/>
      <w:marRight w:val="0"/>
      <w:marTop w:val="0"/>
      <w:marBottom w:val="0"/>
      <w:divBdr>
        <w:top w:val="none" w:sz="0" w:space="0" w:color="auto"/>
        <w:left w:val="none" w:sz="0" w:space="0" w:color="auto"/>
        <w:bottom w:val="none" w:sz="0" w:space="0" w:color="auto"/>
        <w:right w:val="none" w:sz="0" w:space="0" w:color="auto"/>
      </w:divBdr>
    </w:div>
    <w:div w:id="688143853">
      <w:bodyDiv w:val="1"/>
      <w:marLeft w:val="0"/>
      <w:marRight w:val="0"/>
      <w:marTop w:val="0"/>
      <w:marBottom w:val="0"/>
      <w:divBdr>
        <w:top w:val="none" w:sz="0" w:space="0" w:color="auto"/>
        <w:left w:val="none" w:sz="0" w:space="0" w:color="auto"/>
        <w:bottom w:val="none" w:sz="0" w:space="0" w:color="auto"/>
        <w:right w:val="none" w:sz="0" w:space="0" w:color="auto"/>
      </w:divBdr>
    </w:div>
    <w:div w:id="749232403">
      <w:bodyDiv w:val="1"/>
      <w:marLeft w:val="0"/>
      <w:marRight w:val="0"/>
      <w:marTop w:val="0"/>
      <w:marBottom w:val="0"/>
      <w:divBdr>
        <w:top w:val="none" w:sz="0" w:space="0" w:color="auto"/>
        <w:left w:val="none" w:sz="0" w:space="0" w:color="auto"/>
        <w:bottom w:val="none" w:sz="0" w:space="0" w:color="auto"/>
        <w:right w:val="none" w:sz="0" w:space="0" w:color="auto"/>
      </w:divBdr>
    </w:div>
    <w:div w:id="920261577">
      <w:bodyDiv w:val="1"/>
      <w:marLeft w:val="0"/>
      <w:marRight w:val="0"/>
      <w:marTop w:val="0"/>
      <w:marBottom w:val="0"/>
      <w:divBdr>
        <w:top w:val="none" w:sz="0" w:space="0" w:color="auto"/>
        <w:left w:val="none" w:sz="0" w:space="0" w:color="auto"/>
        <w:bottom w:val="none" w:sz="0" w:space="0" w:color="auto"/>
        <w:right w:val="none" w:sz="0" w:space="0" w:color="auto"/>
      </w:divBdr>
    </w:div>
    <w:div w:id="922372498">
      <w:bodyDiv w:val="1"/>
      <w:marLeft w:val="0"/>
      <w:marRight w:val="0"/>
      <w:marTop w:val="0"/>
      <w:marBottom w:val="0"/>
      <w:divBdr>
        <w:top w:val="none" w:sz="0" w:space="0" w:color="auto"/>
        <w:left w:val="none" w:sz="0" w:space="0" w:color="auto"/>
        <w:bottom w:val="none" w:sz="0" w:space="0" w:color="auto"/>
        <w:right w:val="none" w:sz="0" w:space="0" w:color="auto"/>
      </w:divBdr>
    </w:div>
    <w:div w:id="955215736">
      <w:bodyDiv w:val="1"/>
      <w:marLeft w:val="0"/>
      <w:marRight w:val="0"/>
      <w:marTop w:val="0"/>
      <w:marBottom w:val="0"/>
      <w:divBdr>
        <w:top w:val="none" w:sz="0" w:space="0" w:color="auto"/>
        <w:left w:val="none" w:sz="0" w:space="0" w:color="auto"/>
        <w:bottom w:val="none" w:sz="0" w:space="0" w:color="auto"/>
        <w:right w:val="none" w:sz="0" w:space="0" w:color="auto"/>
      </w:divBdr>
    </w:div>
    <w:div w:id="1021904175">
      <w:bodyDiv w:val="1"/>
      <w:marLeft w:val="0"/>
      <w:marRight w:val="0"/>
      <w:marTop w:val="0"/>
      <w:marBottom w:val="0"/>
      <w:divBdr>
        <w:top w:val="none" w:sz="0" w:space="0" w:color="auto"/>
        <w:left w:val="none" w:sz="0" w:space="0" w:color="auto"/>
        <w:bottom w:val="none" w:sz="0" w:space="0" w:color="auto"/>
        <w:right w:val="none" w:sz="0" w:space="0" w:color="auto"/>
      </w:divBdr>
    </w:div>
    <w:div w:id="1050036744">
      <w:bodyDiv w:val="1"/>
      <w:marLeft w:val="0"/>
      <w:marRight w:val="0"/>
      <w:marTop w:val="0"/>
      <w:marBottom w:val="0"/>
      <w:divBdr>
        <w:top w:val="none" w:sz="0" w:space="0" w:color="auto"/>
        <w:left w:val="none" w:sz="0" w:space="0" w:color="auto"/>
        <w:bottom w:val="none" w:sz="0" w:space="0" w:color="auto"/>
        <w:right w:val="none" w:sz="0" w:space="0" w:color="auto"/>
      </w:divBdr>
    </w:div>
    <w:div w:id="1055393836">
      <w:bodyDiv w:val="1"/>
      <w:marLeft w:val="0"/>
      <w:marRight w:val="0"/>
      <w:marTop w:val="0"/>
      <w:marBottom w:val="0"/>
      <w:divBdr>
        <w:top w:val="none" w:sz="0" w:space="0" w:color="auto"/>
        <w:left w:val="none" w:sz="0" w:space="0" w:color="auto"/>
        <w:bottom w:val="none" w:sz="0" w:space="0" w:color="auto"/>
        <w:right w:val="none" w:sz="0" w:space="0" w:color="auto"/>
      </w:divBdr>
    </w:div>
    <w:div w:id="1103569637">
      <w:bodyDiv w:val="1"/>
      <w:marLeft w:val="0"/>
      <w:marRight w:val="0"/>
      <w:marTop w:val="0"/>
      <w:marBottom w:val="0"/>
      <w:divBdr>
        <w:top w:val="none" w:sz="0" w:space="0" w:color="auto"/>
        <w:left w:val="none" w:sz="0" w:space="0" w:color="auto"/>
        <w:bottom w:val="none" w:sz="0" w:space="0" w:color="auto"/>
        <w:right w:val="none" w:sz="0" w:space="0" w:color="auto"/>
      </w:divBdr>
    </w:div>
    <w:div w:id="1213494271">
      <w:bodyDiv w:val="1"/>
      <w:marLeft w:val="0"/>
      <w:marRight w:val="0"/>
      <w:marTop w:val="0"/>
      <w:marBottom w:val="0"/>
      <w:divBdr>
        <w:top w:val="none" w:sz="0" w:space="0" w:color="auto"/>
        <w:left w:val="none" w:sz="0" w:space="0" w:color="auto"/>
        <w:bottom w:val="none" w:sz="0" w:space="0" w:color="auto"/>
        <w:right w:val="none" w:sz="0" w:space="0" w:color="auto"/>
      </w:divBdr>
    </w:div>
    <w:div w:id="1262638356">
      <w:bodyDiv w:val="1"/>
      <w:marLeft w:val="0"/>
      <w:marRight w:val="0"/>
      <w:marTop w:val="0"/>
      <w:marBottom w:val="0"/>
      <w:divBdr>
        <w:top w:val="none" w:sz="0" w:space="0" w:color="auto"/>
        <w:left w:val="none" w:sz="0" w:space="0" w:color="auto"/>
        <w:bottom w:val="none" w:sz="0" w:space="0" w:color="auto"/>
        <w:right w:val="none" w:sz="0" w:space="0" w:color="auto"/>
      </w:divBdr>
    </w:div>
    <w:div w:id="1269385095">
      <w:bodyDiv w:val="1"/>
      <w:marLeft w:val="0"/>
      <w:marRight w:val="0"/>
      <w:marTop w:val="0"/>
      <w:marBottom w:val="0"/>
      <w:divBdr>
        <w:top w:val="none" w:sz="0" w:space="0" w:color="auto"/>
        <w:left w:val="none" w:sz="0" w:space="0" w:color="auto"/>
        <w:bottom w:val="none" w:sz="0" w:space="0" w:color="auto"/>
        <w:right w:val="none" w:sz="0" w:space="0" w:color="auto"/>
      </w:divBdr>
    </w:div>
    <w:div w:id="1322393338">
      <w:bodyDiv w:val="1"/>
      <w:marLeft w:val="0"/>
      <w:marRight w:val="0"/>
      <w:marTop w:val="0"/>
      <w:marBottom w:val="0"/>
      <w:divBdr>
        <w:top w:val="none" w:sz="0" w:space="0" w:color="auto"/>
        <w:left w:val="none" w:sz="0" w:space="0" w:color="auto"/>
        <w:bottom w:val="none" w:sz="0" w:space="0" w:color="auto"/>
        <w:right w:val="none" w:sz="0" w:space="0" w:color="auto"/>
      </w:divBdr>
    </w:div>
    <w:div w:id="1335718925">
      <w:bodyDiv w:val="1"/>
      <w:marLeft w:val="0"/>
      <w:marRight w:val="0"/>
      <w:marTop w:val="0"/>
      <w:marBottom w:val="0"/>
      <w:divBdr>
        <w:top w:val="none" w:sz="0" w:space="0" w:color="auto"/>
        <w:left w:val="none" w:sz="0" w:space="0" w:color="auto"/>
        <w:bottom w:val="none" w:sz="0" w:space="0" w:color="auto"/>
        <w:right w:val="none" w:sz="0" w:space="0" w:color="auto"/>
      </w:divBdr>
    </w:div>
    <w:div w:id="1396585457">
      <w:bodyDiv w:val="1"/>
      <w:marLeft w:val="0"/>
      <w:marRight w:val="0"/>
      <w:marTop w:val="0"/>
      <w:marBottom w:val="0"/>
      <w:divBdr>
        <w:top w:val="none" w:sz="0" w:space="0" w:color="auto"/>
        <w:left w:val="none" w:sz="0" w:space="0" w:color="auto"/>
        <w:bottom w:val="none" w:sz="0" w:space="0" w:color="auto"/>
        <w:right w:val="none" w:sz="0" w:space="0" w:color="auto"/>
      </w:divBdr>
    </w:div>
    <w:div w:id="1423068618">
      <w:bodyDiv w:val="1"/>
      <w:marLeft w:val="0"/>
      <w:marRight w:val="0"/>
      <w:marTop w:val="0"/>
      <w:marBottom w:val="0"/>
      <w:divBdr>
        <w:top w:val="none" w:sz="0" w:space="0" w:color="auto"/>
        <w:left w:val="none" w:sz="0" w:space="0" w:color="auto"/>
        <w:bottom w:val="none" w:sz="0" w:space="0" w:color="auto"/>
        <w:right w:val="none" w:sz="0" w:space="0" w:color="auto"/>
      </w:divBdr>
    </w:div>
    <w:div w:id="1545556315">
      <w:bodyDiv w:val="1"/>
      <w:marLeft w:val="0"/>
      <w:marRight w:val="0"/>
      <w:marTop w:val="0"/>
      <w:marBottom w:val="0"/>
      <w:divBdr>
        <w:top w:val="none" w:sz="0" w:space="0" w:color="auto"/>
        <w:left w:val="none" w:sz="0" w:space="0" w:color="auto"/>
        <w:bottom w:val="none" w:sz="0" w:space="0" w:color="auto"/>
        <w:right w:val="none" w:sz="0" w:space="0" w:color="auto"/>
      </w:divBdr>
    </w:div>
    <w:div w:id="1663047377">
      <w:bodyDiv w:val="1"/>
      <w:marLeft w:val="0"/>
      <w:marRight w:val="0"/>
      <w:marTop w:val="0"/>
      <w:marBottom w:val="0"/>
      <w:divBdr>
        <w:top w:val="none" w:sz="0" w:space="0" w:color="auto"/>
        <w:left w:val="none" w:sz="0" w:space="0" w:color="auto"/>
        <w:bottom w:val="none" w:sz="0" w:space="0" w:color="auto"/>
        <w:right w:val="none" w:sz="0" w:space="0" w:color="auto"/>
      </w:divBdr>
    </w:div>
    <w:div w:id="1669870811">
      <w:bodyDiv w:val="1"/>
      <w:marLeft w:val="0"/>
      <w:marRight w:val="0"/>
      <w:marTop w:val="0"/>
      <w:marBottom w:val="0"/>
      <w:divBdr>
        <w:top w:val="none" w:sz="0" w:space="0" w:color="auto"/>
        <w:left w:val="none" w:sz="0" w:space="0" w:color="auto"/>
        <w:bottom w:val="none" w:sz="0" w:space="0" w:color="auto"/>
        <w:right w:val="none" w:sz="0" w:space="0" w:color="auto"/>
      </w:divBdr>
    </w:div>
    <w:div w:id="1690835427">
      <w:bodyDiv w:val="1"/>
      <w:marLeft w:val="0"/>
      <w:marRight w:val="0"/>
      <w:marTop w:val="0"/>
      <w:marBottom w:val="0"/>
      <w:divBdr>
        <w:top w:val="none" w:sz="0" w:space="0" w:color="auto"/>
        <w:left w:val="none" w:sz="0" w:space="0" w:color="auto"/>
        <w:bottom w:val="none" w:sz="0" w:space="0" w:color="auto"/>
        <w:right w:val="none" w:sz="0" w:space="0" w:color="auto"/>
      </w:divBdr>
    </w:div>
    <w:div w:id="1820070247">
      <w:bodyDiv w:val="1"/>
      <w:marLeft w:val="0"/>
      <w:marRight w:val="0"/>
      <w:marTop w:val="0"/>
      <w:marBottom w:val="0"/>
      <w:divBdr>
        <w:top w:val="none" w:sz="0" w:space="0" w:color="auto"/>
        <w:left w:val="none" w:sz="0" w:space="0" w:color="auto"/>
        <w:bottom w:val="none" w:sz="0" w:space="0" w:color="auto"/>
        <w:right w:val="none" w:sz="0" w:space="0" w:color="auto"/>
      </w:divBdr>
    </w:div>
    <w:div w:id="1872298160">
      <w:bodyDiv w:val="1"/>
      <w:marLeft w:val="0"/>
      <w:marRight w:val="0"/>
      <w:marTop w:val="0"/>
      <w:marBottom w:val="0"/>
      <w:divBdr>
        <w:top w:val="none" w:sz="0" w:space="0" w:color="auto"/>
        <w:left w:val="none" w:sz="0" w:space="0" w:color="auto"/>
        <w:bottom w:val="none" w:sz="0" w:space="0" w:color="auto"/>
        <w:right w:val="none" w:sz="0" w:space="0" w:color="auto"/>
      </w:divBdr>
    </w:div>
    <w:div w:id="1884512267">
      <w:bodyDiv w:val="1"/>
      <w:marLeft w:val="0"/>
      <w:marRight w:val="0"/>
      <w:marTop w:val="0"/>
      <w:marBottom w:val="0"/>
      <w:divBdr>
        <w:top w:val="none" w:sz="0" w:space="0" w:color="auto"/>
        <w:left w:val="none" w:sz="0" w:space="0" w:color="auto"/>
        <w:bottom w:val="none" w:sz="0" w:space="0" w:color="auto"/>
        <w:right w:val="none" w:sz="0" w:space="0" w:color="auto"/>
      </w:divBdr>
      <w:divsChild>
        <w:div w:id="1102988769">
          <w:marLeft w:val="576"/>
          <w:marRight w:val="0"/>
          <w:marTop w:val="80"/>
          <w:marBottom w:val="0"/>
          <w:divBdr>
            <w:top w:val="none" w:sz="0" w:space="0" w:color="auto"/>
            <w:left w:val="none" w:sz="0" w:space="0" w:color="auto"/>
            <w:bottom w:val="none" w:sz="0" w:space="0" w:color="auto"/>
            <w:right w:val="none" w:sz="0" w:space="0" w:color="auto"/>
          </w:divBdr>
        </w:div>
      </w:divsChild>
    </w:div>
    <w:div w:id="1898084909">
      <w:bodyDiv w:val="1"/>
      <w:marLeft w:val="0"/>
      <w:marRight w:val="0"/>
      <w:marTop w:val="0"/>
      <w:marBottom w:val="0"/>
      <w:divBdr>
        <w:top w:val="none" w:sz="0" w:space="0" w:color="auto"/>
        <w:left w:val="none" w:sz="0" w:space="0" w:color="auto"/>
        <w:bottom w:val="none" w:sz="0" w:space="0" w:color="auto"/>
        <w:right w:val="none" w:sz="0" w:space="0" w:color="auto"/>
      </w:divBdr>
    </w:div>
    <w:div w:id="2008627792">
      <w:bodyDiv w:val="1"/>
      <w:marLeft w:val="0"/>
      <w:marRight w:val="0"/>
      <w:marTop w:val="0"/>
      <w:marBottom w:val="0"/>
      <w:divBdr>
        <w:top w:val="none" w:sz="0" w:space="0" w:color="auto"/>
        <w:left w:val="none" w:sz="0" w:space="0" w:color="auto"/>
        <w:bottom w:val="none" w:sz="0" w:space="0" w:color="auto"/>
        <w:right w:val="none" w:sz="0" w:space="0" w:color="auto"/>
      </w:divBdr>
    </w:div>
    <w:div w:id="2092004528">
      <w:bodyDiv w:val="1"/>
      <w:marLeft w:val="0"/>
      <w:marRight w:val="0"/>
      <w:marTop w:val="0"/>
      <w:marBottom w:val="0"/>
      <w:divBdr>
        <w:top w:val="none" w:sz="0" w:space="0" w:color="auto"/>
        <w:left w:val="none" w:sz="0" w:space="0" w:color="auto"/>
        <w:bottom w:val="none" w:sz="0" w:space="0" w:color="auto"/>
        <w:right w:val="none" w:sz="0" w:space="0" w:color="auto"/>
      </w:divBdr>
    </w:div>
    <w:div w:id="210541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hart" Target="charts/chart2.xml"/><Relationship Id="rId26"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1.xml"/><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chart" Target="charts/chart4.xml"/><Relationship Id="rId29" Type="http://schemas.openxmlformats.org/officeDocument/2006/relationships/hyperlink" Target="http://www.mse.m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chart" Target="charts/chart5.xml"/><Relationship Id="rId28" Type="http://schemas.openxmlformats.org/officeDocument/2006/relationships/chart" Target="charts/chart7.xml"/><Relationship Id="rId10" Type="http://schemas.openxmlformats.org/officeDocument/2006/relationships/image" Target="media/image1.png"/><Relationship Id="rId19" Type="http://schemas.openxmlformats.org/officeDocument/2006/relationships/chart" Target="charts/chart3.xml"/><Relationship Id="rId31" Type="http://schemas.openxmlformats.org/officeDocument/2006/relationships/hyperlink" Target="http://www.stb.com.mk/"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hyperlink" Target="mailto:sbank@stb.com.mk" TargetMode="Externa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file:///\\fileserver\Sektor_za_bugetiranje\COST%20CONTROLLING\Godisen%20Izvestaj\2022\Financial%20highlights%20202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ileserver\Sektor_za_bugetiranje\COST%20CONTROLLING\Godisen%20Izvestaj\2022\Financial%20highlights%20202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ileserver\Sektor_za_bugetiranje\COST%20CONTROLLING\Godisen%20Izvestaj\2022\Financial%20highlights%202022.xlsx"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file:///\\fileserver\STBKnowledgeWorkers\MajaPe\My%20Documents\RIZICI\Godishen%20Izveshtaj%20(NG)\2022\Sektori\Credit%20risk-2022.xlsx" TargetMode="External"/><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STRUCTURE OF SB ASSETS</a:t>
            </a:r>
          </a:p>
        </c:rich>
      </c:tx>
      <c:layout/>
      <c:overlay val="0"/>
      <c:spPr>
        <a:noFill/>
        <a:ln cap="rnd">
          <a:noFill/>
        </a:ln>
        <a:effectLst>
          <a:outerShdw dist="50800" sx="1000" sy="1000" algn="ctr" rotWithShape="0">
            <a:srgbClr val="000000"/>
          </a:outerShdw>
        </a:effectLst>
      </c:spPr>
      <c:txPr>
        <a:bodyPr rot="0" spcFirstLastPara="1" vertOverflow="ellipsis" vert="horz" wrap="square" anchor="ctr" anchorCtr="1"/>
        <a:lstStyle/>
        <a:p>
          <a:pPr>
            <a:defRPr sz="11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4.390717464664743E-2"/>
          <c:y val="0.19273959505061866"/>
          <c:w val="0.88685186090869084"/>
          <c:h val="0.42563117634624537"/>
        </c:manualLayout>
      </c:layout>
      <c:barChart>
        <c:barDir val="col"/>
        <c:grouping val="percentStacked"/>
        <c:varyColors val="0"/>
        <c:ser>
          <c:idx val="0"/>
          <c:order val="0"/>
          <c:tx>
            <c:strRef>
              <c:f>'Grafikoni_Structure of ass.&amp;lia'!$E$23</c:f>
              <c:strCache>
                <c:ptCount val="1"/>
                <c:pt idx="0">
                  <c:v>Cash and cash equivalents</c:v>
                </c:pt>
              </c:strCache>
            </c:strRef>
          </c:tx>
          <c:spPr>
            <a:solidFill>
              <a:srgbClr val="7030A0">
                <a:alpha val="70000"/>
              </a:srgbClr>
            </a:solidFill>
            <a:ln>
              <a:noFill/>
            </a:ln>
            <a:effectLst/>
          </c:spPr>
          <c:invertIfNegative val="0"/>
          <c:dLbls>
            <c:dLbl>
              <c:idx val="0"/>
              <c:layout>
                <c:manualLayout>
                  <c:x val="0.16617210682492581"/>
                  <c:y val="3.300330890655239E-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822B-4CFE-B573-00557EB21B3F}"/>
                </c:ext>
              </c:extLst>
            </c:dLbl>
            <c:dLbl>
              <c:idx val="1"/>
              <c:layout>
                <c:manualLayout>
                  <c:x val="0.16617210682492592"/>
                  <c:y val="-6.6006617813108405E-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822B-4CFE-B573-00557EB21B3F}"/>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'Grafikoni_Structure of ass.&amp;lia'!$F$22:$G$22</c:f>
              <c:strCache>
                <c:ptCount val="2"/>
                <c:pt idx="0">
                  <c:v>2021</c:v>
                </c:pt>
                <c:pt idx="1">
                  <c:v>2022</c:v>
                </c:pt>
              </c:strCache>
            </c:strRef>
          </c:cat>
          <c:val>
            <c:numRef>
              <c:f>'Grafikoni_Structure of ass.&amp;lia'!$F$23:$G$23</c:f>
              <c:numCache>
                <c:formatCode>0.0%</c:formatCode>
                <c:ptCount val="2"/>
                <c:pt idx="0">
                  <c:v>0.1828860928860577</c:v>
                </c:pt>
                <c:pt idx="1">
                  <c:v>0.18300183548276747</c:v>
                </c:pt>
              </c:numCache>
            </c:numRef>
          </c:val>
          <c:extLst>
            <c:ext xmlns:c16="http://schemas.microsoft.com/office/drawing/2014/chart" uri="{C3380CC4-5D6E-409C-BE32-E72D297353CC}">
              <c16:uniqueId val="{00000002-822B-4CFE-B573-00557EB21B3F}"/>
            </c:ext>
          </c:extLst>
        </c:ser>
        <c:ser>
          <c:idx val="1"/>
          <c:order val="1"/>
          <c:tx>
            <c:strRef>
              <c:f>'Grafikoni_Structure of ass.&amp;lia'!$E$24</c:f>
              <c:strCache>
                <c:ptCount val="1"/>
                <c:pt idx="0">
                  <c:v>loans</c:v>
                </c:pt>
              </c:strCache>
            </c:strRef>
          </c:tx>
          <c:spPr>
            <a:solidFill>
              <a:schemeClr val="accent4">
                <a:lumMod val="60000"/>
                <a:lumOff val="40000"/>
                <a:alpha val="70000"/>
              </a:schemeClr>
            </a:solidFill>
            <a:ln>
              <a:noFill/>
            </a:ln>
            <a:effectLst/>
          </c:spPr>
          <c:invertIfNegative val="0"/>
          <c:dLbls>
            <c:dLbl>
              <c:idx val="0"/>
              <c:layout>
                <c:manualLayout>
                  <c:x val="0.16617210682492581"/>
                  <c:y val="3.30033089065536E-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822B-4CFE-B573-00557EB21B3F}"/>
                </c:ext>
              </c:extLst>
            </c:dLbl>
            <c:dLbl>
              <c:idx val="1"/>
              <c:layout>
                <c:manualLayout>
                  <c:x val="0.1474809213907036"/>
                  <c:y val="3.300183367490073E-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822B-4CFE-B573-00557EB21B3F}"/>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'Grafikoni_Structure of ass.&amp;lia'!$F$22:$G$22</c:f>
              <c:strCache>
                <c:ptCount val="2"/>
                <c:pt idx="0">
                  <c:v>2021</c:v>
                </c:pt>
                <c:pt idx="1">
                  <c:v>2022</c:v>
                </c:pt>
              </c:strCache>
            </c:strRef>
          </c:cat>
          <c:val>
            <c:numRef>
              <c:f>'Grafikoni_Structure of ass.&amp;lia'!$F$24:$G$24</c:f>
              <c:numCache>
                <c:formatCode>0.0%</c:formatCode>
                <c:ptCount val="2"/>
                <c:pt idx="0">
                  <c:v>0.68635717663472662</c:v>
                </c:pt>
                <c:pt idx="1">
                  <c:v>0.70198471651314776</c:v>
                </c:pt>
              </c:numCache>
            </c:numRef>
          </c:val>
          <c:extLst>
            <c:ext xmlns:c16="http://schemas.microsoft.com/office/drawing/2014/chart" uri="{C3380CC4-5D6E-409C-BE32-E72D297353CC}">
              <c16:uniqueId val="{00000005-822B-4CFE-B573-00557EB21B3F}"/>
            </c:ext>
          </c:extLst>
        </c:ser>
        <c:ser>
          <c:idx val="2"/>
          <c:order val="2"/>
          <c:tx>
            <c:strRef>
              <c:f>'Grafikoni_Structure of ass.&amp;lia'!$E$25</c:f>
              <c:strCache>
                <c:ptCount val="1"/>
                <c:pt idx="0">
                  <c:v>investment securities</c:v>
                </c:pt>
              </c:strCache>
            </c:strRef>
          </c:tx>
          <c:spPr>
            <a:solidFill>
              <a:srgbClr val="5563ED">
                <a:alpha val="69804"/>
              </a:srgbClr>
            </a:solidFill>
            <a:ln>
              <a:noFill/>
            </a:ln>
            <a:effectLst/>
          </c:spPr>
          <c:invertIfNegative val="0"/>
          <c:dLbls>
            <c:dLbl>
              <c:idx val="0"/>
              <c:layout>
                <c:manualLayout>
                  <c:x val="0.1632047477744806"/>
                  <c:y val="0"/>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822B-4CFE-B573-00557EB21B3F}"/>
                </c:ext>
              </c:extLst>
            </c:dLbl>
            <c:dLbl>
              <c:idx val="1"/>
              <c:layout>
                <c:manualLayout>
                  <c:x val="0.16320474777448071"/>
                  <c:y val="9.9009926719660791E-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822B-4CFE-B573-00557EB21B3F}"/>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'Grafikoni_Structure of ass.&amp;lia'!$F$22:$G$22</c:f>
              <c:strCache>
                <c:ptCount val="2"/>
                <c:pt idx="0">
                  <c:v>2021</c:v>
                </c:pt>
                <c:pt idx="1">
                  <c:v>2022</c:v>
                </c:pt>
              </c:strCache>
            </c:strRef>
          </c:cat>
          <c:val>
            <c:numRef>
              <c:f>'Grafikoni_Structure of ass.&amp;lia'!$F$25:$G$25</c:f>
              <c:numCache>
                <c:formatCode>0.0%</c:formatCode>
                <c:ptCount val="2"/>
                <c:pt idx="0">
                  <c:v>0.10779470270212853</c:v>
                </c:pt>
                <c:pt idx="1">
                  <c:v>8.4612180289342559E-2</c:v>
                </c:pt>
              </c:numCache>
            </c:numRef>
          </c:val>
          <c:extLst>
            <c:ext xmlns:c16="http://schemas.microsoft.com/office/drawing/2014/chart" uri="{C3380CC4-5D6E-409C-BE32-E72D297353CC}">
              <c16:uniqueId val="{00000008-822B-4CFE-B573-00557EB21B3F}"/>
            </c:ext>
          </c:extLst>
        </c:ser>
        <c:ser>
          <c:idx val="3"/>
          <c:order val="3"/>
          <c:tx>
            <c:strRef>
              <c:f>'Grafikoni_Structure of ass.&amp;lia'!$E$26</c:f>
              <c:strCache>
                <c:ptCount val="1"/>
                <c:pt idx="0">
                  <c:v>fixed assets</c:v>
                </c:pt>
              </c:strCache>
            </c:strRef>
          </c:tx>
          <c:spPr>
            <a:solidFill>
              <a:srgbClr val="00B050">
                <a:alpha val="70000"/>
              </a:srgbClr>
            </a:solidFill>
            <a:ln>
              <a:noFill/>
            </a:ln>
            <a:effectLst/>
          </c:spPr>
          <c:invertIfNegative val="0"/>
          <c:dLbls>
            <c:dLbl>
              <c:idx val="0"/>
              <c:layout>
                <c:manualLayout>
                  <c:x val="0.18214374167620734"/>
                  <c:y val="-1.6772697376029079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822B-4CFE-B573-00557EB21B3F}"/>
                </c:ext>
              </c:extLst>
            </c:dLbl>
            <c:dLbl>
              <c:idx val="1"/>
              <c:layout>
                <c:manualLayout>
                  <c:x val="0.21055240377561488"/>
                  <c:y val="-2.3437064263341474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822B-4CFE-B573-00557EB21B3F}"/>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'Grafikoni_Structure of ass.&amp;lia'!$F$22:$G$22</c:f>
              <c:strCache>
                <c:ptCount val="2"/>
                <c:pt idx="0">
                  <c:v>2021</c:v>
                </c:pt>
                <c:pt idx="1">
                  <c:v>2022</c:v>
                </c:pt>
              </c:strCache>
            </c:strRef>
          </c:cat>
          <c:val>
            <c:numRef>
              <c:f>'Grafikoni_Structure of ass.&amp;lia'!$F$26:$G$26</c:f>
              <c:numCache>
                <c:formatCode>0.0%</c:formatCode>
                <c:ptCount val="2"/>
                <c:pt idx="0">
                  <c:v>7.1788734240825925E-3</c:v>
                </c:pt>
                <c:pt idx="1">
                  <c:v>1.2891140120940652E-2</c:v>
                </c:pt>
              </c:numCache>
            </c:numRef>
          </c:val>
          <c:extLst>
            <c:ext xmlns:c16="http://schemas.microsoft.com/office/drawing/2014/chart" uri="{C3380CC4-5D6E-409C-BE32-E72D297353CC}">
              <c16:uniqueId val="{0000000B-822B-4CFE-B573-00557EB21B3F}"/>
            </c:ext>
          </c:extLst>
        </c:ser>
        <c:ser>
          <c:idx val="4"/>
          <c:order val="4"/>
          <c:tx>
            <c:strRef>
              <c:f>'Grafikoni_Structure of ass.&amp;lia'!$E$27</c:f>
              <c:strCache>
                <c:ptCount val="1"/>
                <c:pt idx="0">
                  <c:v>other assets</c:v>
                </c:pt>
              </c:strCache>
            </c:strRef>
          </c:tx>
          <c:spPr>
            <a:solidFill>
              <a:srgbClr val="002060">
                <a:alpha val="70000"/>
              </a:srgbClr>
            </a:solidFill>
            <a:ln>
              <a:noFill/>
            </a:ln>
            <a:effectLst/>
          </c:spPr>
          <c:invertIfNegative val="0"/>
          <c:dLbls>
            <c:dLbl>
              <c:idx val="0"/>
              <c:layout>
                <c:manualLayout>
                  <c:x val="0.13495548961424333"/>
                  <c:y val="-5.9793420075730914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822B-4CFE-B573-00557EB21B3F}"/>
                </c:ext>
              </c:extLst>
            </c:dLbl>
            <c:dLbl>
              <c:idx val="1"/>
              <c:layout>
                <c:manualLayout>
                  <c:x val="0.16139512605434705"/>
                  <c:y val="-6.3088293726330846E-2"/>
                </c:manualLayout>
              </c:layout>
              <c:tx>
                <c:rich>
                  <a:bodyPr/>
                  <a:lstStyle/>
                  <a:p>
                    <a:r>
                      <a:rPr lang="en-US"/>
                      <a:t>1.7%</a:t>
                    </a:r>
                  </a:p>
                </c:rich>
              </c:tx>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822B-4CFE-B573-00557EB21B3F}"/>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'Grafikoni_Structure of ass.&amp;lia'!$F$22:$G$22</c:f>
              <c:strCache>
                <c:ptCount val="2"/>
                <c:pt idx="0">
                  <c:v>2021</c:v>
                </c:pt>
                <c:pt idx="1">
                  <c:v>2022</c:v>
                </c:pt>
              </c:strCache>
            </c:strRef>
          </c:cat>
          <c:val>
            <c:numRef>
              <c:f>'Grafikoni_Structure of ass.&amp;lia'!$F$27:$G$27</c:f>
              <c:numCache>
                <c:formatCode>0.0%</c:formatCode>
                <c:ptCount val="2"/>
                <c:pt idx="0">
                  <c:v>1.5783154353004536E-2</c:v>
                </c:pt>
                <c:pt idx="1">
                  <c:v>1.751012759380154E-2</c:v>
                </c:pt>
              </c:numCache>
            </c:numRef>
          </c:val>
          <c:extLst>
            <c:ext xmlns:c16="http://schemas.microsoft.com/office/drawing/2014/chart" uri="{C3380CC4-5D6E-409C-BE32-E72D297353CC}">
              <c16:uniqueId val="{0000000E-822B-4CFE-B573-00557EB21B3F}"/>
            </c:ext>
          </c:extLst>
        </c:ser>
        <c:dLbls>
          <c:showLegendKey val="0"/>
          <c:showVal val="0"/>
          <c:showCatName val="0"/>
          <c:showSerName val="0"/>
          <c:showPercent val="0"/>
          <c:showBubbleSize val="0"/>
        </c:dLbls>
        <c:gapWidth val="100"/>
        <c:overlap val="100"/>
        <c:axId val="-1740975904"/>
        <c:axId val="-1740955776"/>
      </c:barChart>
      <c:catAx>
        <c:axId val="-1740975904"/>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headEnd type="none" w="med" len="med"/>
            <a:tailEnd type="none" w="sm" len="sm"/>
          </a:ln>
          <a:effectLst/>
        </c:spPr>
        <c:txPr>
          <a:bodyPr rot="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40955776"/>
        <c:crosses val="autoZero"/>
        <c:auto val="1"/>
        <c:lblAlgn val="ctr"/>
        <c:lblOffset val="100"/>
        <c:noMultiLvlLbl val="0"/>
      </c:catAx>
      <c:valAx>
        <c:axId val="-1740955776"/>
        <c:scaling>
          <c:orientation val="minMax"/>
          <c:max val="1"/>
        </c:scaling>
        <c:delete val="0"/>
        <c:axPos val="l"/>
        <c:numFmt formatCode="0%" sourceLinked="1"/>
        <c:majorTickMark val="out"/>
        <c:minorTickMark val="none"/>
        <c:tickLblPos val="nextTo"/>
        <c:spPr>
          <a:noFill/>
          <a:ln>
            <a:solidFill>
              <a:srgbClr val="868686"/>
            </a:solidFill>
          </a:ln>
          <a:effectLst/>
        </c:spPr>
        <c:txPr>
          <a:bodyPr rot="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40975904"/>
        <c:crosses val="autoZero"/>
        <c:crossBetween val="between"/>
        <c:majorUnit val="0.2"/>
      </c:valAx>
      <c:spPr>
        <a:noFill/>
        <a:ln>
          <a:noFill/>
        </a:ln>
        <a:effectLst/>
      </c:spPr>
    </c:plotArea>
    <c:legend>
      <c:legendPos val="b"/>
      <c:layout>
        <c:manualLayout>
          <c:xMode val="edge"/>
          <c:yMode val="edge"/>
          <c:x val="6.3775674044007136E-2"/>
          <c:y val="0.7064524652539238"/>
          <c:w val="0.92507476689450652"/>
          <c:h val="0.2180441790413782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sz="1000"/>
            </a:pPr>
            <a:r>
              <a:rPr lang="en-US" sz="1000"/>
              <a:t>STRUCTURE OF SB LIABILITIES</a:t>
            </a:r>
          </a:p>
        </c:rich>
      </c:tx>
      <c:layout>
        <c:manualLayout>
          <c:xMode val="edge"/>
          <c:yMode val="edge"/>
          <c:x val="0.20669752500816915"/>
          <c:y val="3.5049409807380635E-3"/>
        </c:manualLayout>
      </c:layout>
      <c:overlay val="0"/>
      <c:spPr>
        <a:noFill/>
        <a:ln w="25400">
          <a:noFill/>
        </a:ln>
      </c:spPr>
    </c:title>
    <c:autoTitleDeleted val="0"/>
    <c:plotArea>
      <c:layout>
        <c:manualLayout>
          <c:layoutTarget val="inner"/>
          <c:xMode val="edge"/>
          <c:yMode val="edge"/>
          <c:x val="0.10109289617486339"/>
          <c:y val="0.15183887132530019"/>
          <c:w val="0.71805567843345419"/>
          <c:h val="0.60395950506186735"/>
        </c:manualLayout>
      </c:layout>
      <c:barChart>
        <c:barDir val="col"/>
        <c:grouping val="percentStacked"/>
        <c:varyColors val="0"/>
        <c:ser>
          <c:idx val="0"/>
          <c:order val="0"/>
          <c:tx>
            <c:strRef>
              <c:f>'Grafikoni_Structure of ass.&amp;lia'!$N$4</c:f>
              <c:strCache>
                <c:ptCount val="1"/>
                <c:pt idx="0">
                  <c:v>customer deposits</c:v>
                </c:pt>
              </c:strCache>
            </c:strRef>
          </c:tx>
          <c:invertIfNegative val="0"/>
          <c:dLbls>
            <c:dLbl>
              <c:idx val="0"/>
              <c:layout>
                <c:manualLayout>
                  <c:x val="0.16393442622950818"/>
                  <c:y val="3.9215686274509083E-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53AB-47E3-BEFD-3AA7B4490FAF}"/>
                </c:ext>
              </c:extLst>
            </c:dLbl>
            <c:dLbl>
              <c:idx val="1"/>
              <c:layout>
                <c:manualLayout>
                  <c:x val="0.17622950819672131"/>
                  <c:y val="-7.8431372549019607E-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53AB-47E3-BEFD-3AA7B4490FAF}"/>
                </c:ext>
              </c:extLst>
            </c:dLbl>
            <c:spPr>
              <a:noFill/>
              <a:ln>
                <a:noFill/>
              </a:ln>
              <a:effectLst/>
            </c:spPr>
            <c:txPr>
              <a:bodyPr wrap="square" lIns="38100" tIns="19050" rIns="38100" bIns="19050" anchor="ctr">
                <a:spAutoFit/>
              </a:bodyPr>
              <a:lstStyle/>
              <a:p>
                <a:pPr>
                  <a:defRPr sz="900"/>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'Grafikoni_Structure of ass.&amp;lia'!$O$3:$P$3</c:f>
              <c:strCache>
                <c:ptCount val="2"/>
                <c:pt idx="0">
                  <c:v>2021</c:v>
                </c:pt>
                <c:pt idx="1">
                  <c:v>2022</c:v>
                </c:pt>
              </c:strCache>
            </c:strRef>
          </c:cat>
          <c:val>
            <c:numRef>
              <c:f>'Grafikoni_Structure of ass.&amp;lia'!$O$4:$P$4</c:f>
              <c:numCache>
                <c:formatCode>0%</c:formatCode>
                <c:ptCount val="2"/>
                <c:pt idx="0">
                  <c:v>0.78590112224902142</c:v>
                </c:pt>
                <c:pt idx="1">
                  <c:v>0.76878762451500615</c:v>
                </c:pt>
              </c:numCache>
            </c:numRef>
          </c:val>
          <c:extLst>
            <c:ext xmlns:c16="http://schemas.microsoft.com/office/drawing/2014/chart" uri="{C3380CC4-5D6E-409C-BE32-E72D297353CC}">
              <c16:uniqueId val="{00000002-53AB-47E3-BEFD-3AA7B4490FAF}"/>
            </c:ext>
          </c:extLst>
        </c:ser>
        <c:ser>
          <c:idx val="1"/>
          <c:order val="1"/>
          <c:tx>
            <c:strRef>
              <c:f>'Grafikoni_Structure of ass.&amp;lia'!$N$5</c:f>
              <c:strCache>
                <c:ptCount val="1"/>
                <c:pt idx="0">
                  <c:v>other liabilities</c:v>
                </c:pt>
              </c:strCache>
            </c:strRef>
          </c:tx>
          <c:invertIfNegative val="0"/>
          <c:dLbls>
            <c:dLbl>
              <c:idx val="0"/>
              <c:layout>
                <c:manualLayout>
                  <c:x val="0.14754098360655737"/>
                  <c:y val="3.9215686274509803E-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53AB-47E3-BEFD-3AA7B4490FAF}"/>
                </c:ext>
              </c:extLst>
            </c:dLbl>
            <c:dLbl>
              <c:idx val="1"/>
              <c:layout>
                <c:manualLayout>
                  <c:x val="0.16393442622950818"/>
                  <c:y val="7.8431372549019242E-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53AB-47E3-BEFD-3AA7B4490FAF}"/>
                </c:ext>
              </c:extLst>
            </c:dLbl>
            <c:spPr>
              <a:noFill/>
              <a:ln>
                <a:noFill/>
              </a:ln>
              <a:effectLst/>
            </c:spPr>
            <c:txPr>
              <a:bodyPr wrap="square" lIns="38100" tIns="19050" rIns="38100" bIns="19050" anchor="ctr">
                <a:spAutoFit/>
              </a:bodyPr>
              <a:lstStyle/>
              <a:p>
                <a:pPr>
                  <a:defRPr sz="900"/>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'Grafikoni_Structure of ass.&amp;lia'!$O$3:$P$3</c:f>
              <c:strCache>
                <c:ptCount val="2"/>
                <c:pt idx="0">
                  <c:v>2021</c:v>
                </c:pt>
                <c:pt idx="1">
                  <c:v>2022</c:v>
                </c:pt>
              </c:strCache>
            </c:strRef>
          </c:cat>
          <c:val>
            <c:numRef>
              <c:f>'Grafikoni_Structure of ass.&amp;lia'!$O$5:$P$5</c:f>
              <c:numCache>
                <c:formatCode>0%</c:formatCode>
                <c:ptCount val="2"/>
                <c:pt idx="0">
                  <c:v>4.0638135832558514E-2</c:v>
                </c:pt>
                <c:pt idx="1">
                  <c:v>5.0392653185849651E-2</c:v>
                </c:pt>
              </c:numCache>
            </c:numRef>
          </c:val>
          <c:extLst>
            <c:ext xmlns:c16="http://schemas.microsoft.com/office/drawing/2014/chart" uri="{C3380CC4-5D6E-409C-BE32-E72D297353CC}">
              <c16:uniqueId val="{00000005-53AB-47E3-BEFD-3AA7B4490FAF}"/>
            </c:ext>
          </c:extLst>
        </c:ser>
        <c:ser>
          <c:idx val="2"/>
          <c:order val="2"/>
          <c:tx>
            <c:strRef>
              <c:f>'Grafikoni_Structure of ass.&amp;lia'!$N$6</c:f>
              <c:strCache>
                <c:ptCount val="1"/>
                <c:pt idx="0">
                  <c:v>equity</c:v>
                </c:pt>
              </c:strCache>
            </c:strRef>
          </c:tx>
          <c:invertIfNegative val="0"/>
          <c:dLbls>
            <c:dLbl>
              <c:idx val="0"/>
              <c:layout>
                <c:manualLayout>
                  <c:x val="0.15573770491803279"/>
                  <c:y val="0"/>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53AB-47E3-BEFD-3AA7B4490FAF}"/>
                </c:ext>
              </c:extLst>
            </c:dLbl>
            <c:dLbl>
              <c:idx val="1"/>
              <c:layout>
                <c:manualLayout>
                  <c:x val="0.15573770491803279"/>
                  <c:y val="-3.9215686274509803E-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53AB-47E3-BEFD-3AA7B4490FAF}"/>
                </c:ext>
              </c:extLst>
            </c:dLbl>
            <c:spPr>
              <a:noFill/>
              <a:ln>
                <a:noFill/>
              </a:ln>
              <a:effectLst/>
            </c:spPr>
            <c:txPr>
              <a:bodyPr wrap="square" lIns="38100" tIns="19050" rIns="38100" bIns="19050" anchor="ctr">
                <a:spAutoFit/>
              </a:bodyPr>
              <a:lstStyle/>
              <a:p>
                <a:pPr>
                  <a:defRPr sz="900"/>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'Grafikoni_Structure of ass.&amp;lia'!$O$3:$P$3</c:f>
              <c:strCache>
                <c:ptCount val="2"/>
                <c:pt idx="0">
                  <c:v>2021</c:v>
                </c:pt>
                <c:pt idx="1">
                  <c:v>2022</c:v>
                </c:pt>
              </c:strCache>
            </c:strRef>
          </c:cat>
          <c:val>
            <c:numRef>
              <c:f>'Grafikoni_Structure of ass.&amp;lia'!$O$6:$P$6</c:f>
              <c:numCache>
                <c:formatCode>0%</c:formatCode>
                <c:ptCount val="2"/>
                <c:pt idx="0">
                  <c:v>0.17346074191842006</c:v>
                </c:pt>
                <c:pt idx="1">
                  <c:v>0.1808197222991442</c:v>
                </c:pt>
              </c:numCache>
            </c:numRef>
          </c:val>
          <c:extLst>
            <c:ext xmlns:c16="http://schemas.microsoft.com/office/drawing/2014/chart" uri="{C3380CC4-5D6E-409C-BE32-E72D297353CC}">
              <c16:uniqueId val="{00000008-53AB-47E3-BEFD-3AA7B4490FAF}"/>
            </c:ext>
          </c:extLst>
        </c:ser>
        <c:dLbls>
          <c:dLblPos val="ctr"/>
          <c:showLegendKey val="0"/>
          <c:showVal val="1"/>
          <c:showCatName val="0"/>
          <c:showSerName val="0"/>
          <c:showPercent val="0"/>
          <c:showBubbleSize val="0"/>
        </c:dLbls>
        <c:gapWidth val="100"/>
        <c:overlap val="100"/>
        <c:axId val="-1740976992"/>
        <c:axId val="-1740976448"/>
      </c:barChart>
      <c:catAx>
        <c:axId val="-1740976992"/>
        <c:scaling>
          <c:orientation val="minMax"/>
        </c:scaling>
        <c:delete val="0"/>
        <c:axPos val="b"/>
        <c:numFmt formatCode="General" sourceLinked="1"/>
        <c:majorTickMark val="out"/>
        <c:minorTickMark val="none"/>
        <c:tickLblPos val="nextTo"/>
        <c:spPr>
          <a:ln cmpd="sng"/>
        </c:spPr>
        <c:txPr>
          <a:bodyPr rot="0" vert="horz"/>
          <a:lstStyle/>
          <a:p>
            <a:pPr>
              <a:defRPr sz="900"/>
            </a:pPr>
            <a:endParaRPr lang="en-US"/>
          </a:p>
        </c:txPr>
        <c:crossAx val="-1740976448"/>
        <c:crosses val="autoZero"/>
        <c:auto val="1"/>
        <c:lblAlgn val="ctr"/>
        <c:lblOffset val="100"/>
        <c:noMultiLvlLbl val="0"/>
      </c:catAx>
      <c:valAx>
        <c:axId val="-1740976448"/>
        <c:scaling>
          <c:orientation val="minMax"/>
        </c:scaling>
        <c:delete val="0"/>
        <c:axPos val="l"/>
        <c:numFmt formatCode="0%" sourceLinked="1"/>
        <c:majorTickMark val="out"/>
        <c:minorTickMark val="none"/>
        <c:tickLblPos val="nextTo"/>
        <c:spPr>
          <a:ln>
            <a:solidFill>
              <a:srgbClr val="868686"/>
            </a:solidFill>
          </a:ln>
        </c:spPr>
        <c:txPr>
          <a:bodyPr rot="0" vert="horz"/>
          <a:lstStyle/>
          <a:p>
            <a:pPr>
              <a:defRPr sz="800"/>
            </a:pPr>
            <a:endParaRPr lang="en-US"/>
          </a:p>
        </c:txPr>
        <c:crossAx val="-1740976992"/>
        <c:crosses val="autoZero"/>
        <c:crossBetween val="between"/>
        <c:majorUnit val="0.2"/>
      </c:valAx>
    </c:plotArea>
    <c:legend>
      <c:legendPos val="b"/>
      <c:layout>
        <c:manualLayout>
          <c:xMode val="edge"/>
          <c:yMode val="edge"/>
          <c:x val="5.8196721311475408E-2"/>
          <c:y val="0.86177741903600957"/>
          <c:w val="0.93927696056570187"/>
          <c:h val="6.8019692469689599E-2"/>
        </c:manualLayout>
      </c:layout>
      <c:overlay val="0"/>
    </c:legend>
    <c:plotVisOnly val="1"/>
    <c:dispBlanksAs val="gap"/>
    <c:showDLblsOverMax val="0"/>
  </c:chart>
  <c:spPr>
    <a:ln>
      <a:noFill/>
    </a:ln>
  </c:spPr>
  <c:txPr>
    <a:bodyPr/>
    <a:lstStyle/>
    <a:p>
      <a:pPr>
        <a:defRPr sz="105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sz="1000"/>
            </a:pPr>
            <a:r>
              <a:rPr lang="en-US" sz="1000"/>
              <a:t>MATURITY STRUCTURE</a:t>
            </a:r>
          </a:p>
        </c:rich>
      </c:tx>
      <c:layout>
        <c:manualLayout>
          <c:xMode val="edge"/>
          <c:yMode val="edge"/>
          <c:x val="0.2647062357548654"/>
          <c:y val="2.4075729030803666E-2"/>
        </c:manualLayout>
      </c:layout>
      <c:overlay val="0"/>
      <c:spPr>
        <a:noFill/>
        <a:ln w="25400">
          <a:noFill/>
        </a:ln>
      </c:spPr>
    </c:title>
    <c:autoTitleDeleted val="0"/>
    <c:plotArea>
      <c:layout>
        <c:manualLayout>
          <c:layoutTarget val="inner"/>
          <c:xMode val="edge"/>
          <c:yMode val="edge"/>
          <c:x val="0.10109316591200775"/>
          <c:y val="0.2"/>
          <c:w val="0.75136812502167916"/>
          <c:h val="0.61117717486599921"/>
        </c:manualLayout>
      </c:layout>
      <c:barChart>
        <c:barDir val="col"/>
        <c:grouping val="stacked"/>
        <c:varyColors val="0"/>
        <c:ser>
          <c:idx val="0"/>
          <c:order val="0"/>
          <c:tx>
            <c:strRef>
              <c:f>'Grafikoni_Currency&amp;maturity str'!$B$46</c:f>
              <c:strCache>
                <c:ptCount val="1"/>
                <c:pt idx="0">
                  <c:v>Time deposits</c:v>
                </c:pt>
              </c:strCache>
            </c:strRef>
          </c:tx>
          <c:invertIfNegative val="0"/>
          <c:dLbls>
            <c:dLbl>
              <c:idx val="0"/>
              <c:layout>
                <c:manualLayout>
                  <c:x val="0.18576047993059044"/>
                  <c:y val="-4.6901162631813442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E90E-45E2-B597-B3690260F88D}"/>
                </c:ext>
              </c:extLst>
            </c:dLbl>
            <c:dLbl>
              <c:idx val="1"/>
              <c:layout>
                <c:manualLayout>
                  <c:x val="0.15571683306714559"/>
                  <c:y val="-4.6899315100405346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E90E-45E2-B597-B3690260F88D}"/>
                </c:ext>
              </c:extLst>
            </c:dLbl>
            <c:spPr>
              <a:noFill/>
              <a:ln w="25400">
                <a:noFill/>
              </a:ln>
            </c:spPr>
            <c:txPr>
              <a:bodyPr wrap="square" lIns="38100" tIns="19050" rIns="38100" bIns="19050" anchor="ctr">
                <a:spAutoFit/>
              </a:bodyPr>
              <a:lstStyle/>
              <a:p>
                <a:pPr>
                  <a:defRPr sz="9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'Grafikoni_Currency&amp;maturity str'!$C$41:$D$41</c:f>
              <c:strCache>
                <c:ptCount val="2"/>
                <c:pt idx="0">
                  <c:v>2021</c:v>
                </c:pt>
                <c:pt idx="1">
                  <c:v>2022</c:v>
                </c:pt>
              </c:strCache>
            </c:strRef>
          </c:cat>
          <c:val>
            <c:numRef>
              <c:f>'Grafikoni_Currency&amp;maturity str'!$C$46:$D$46</c:f>
              <c:numCache>
                <c:formatCode>0.0%</c:formatCode>
                <c:ptCount val="2"/>
                <c:pt idx="0">
                  <c:v>0.3915394167050959</c:v>
                </c:pt>
                <c:pt idx="1">
                  <c:v>0.37487381713178342</c:v>
                </c:pt>
              </c:numCache>
            </c:numRef>
          </c:val>
          <c:extLst>
            <c:ext xmlns:c16="http://schemas.microsoft.com/office/drawing/2014/chart" uri="{C3380CC4-5D6E-409C-BE32-E72D297353CC}">
              <c16:uniqueId val="{00000002-E90E-45E2-B597-B3690260F88D}"/>
            </c:ext>
          </c:extLst>
        </c:ser>
        <c:ser>
          <c:idx val="1"/>
          <c:order val="1"/>
          <c:tx>
            <c:strRef>
              <c:f>'Grafikoni_Currency&amp;maturity str'!$B$47</c:f>
              <c:strCache>
                <c:ptCount val="1"/>
                <c:pt idx="0">
                  <c:v>Demand deposits</c:v>
                </c:pt>
              </c:strCache>
            </c:strRef>
          </c:tx>
          <c:invertIfNegative val="0"/>
          <c:dLbls>
            <c:dLbl>
              <c:idx val="0"/>
              <c:layout>
                <c:manualLayout>
                  <c:x val="0.1812297365176492"/>
                  <c:y val="4.6901162631812149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E90E-45E2-B597-B3690260F88D}"/>
                </c:ext>
              </c:extLst>
            </c:dLbl>
            <c:dLbl>
              <c:idx val="1"/>
              <c:layout>
                <c:manualLayout>
                  <c:x val="0.1631067628658843"/>
                  <c:y val="4.6901162631812574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E90E-45E2-B597-B3690260F88D}"/>
                </c:ext>
              </c:extLst>
            </c:dLbl>
            <c:spPr>
              <a:noFill/>
              <a:ln w="25400">
                <a:noFill/>
              </a:ln>
            </c:spPr>
            <c:txPr>
              <a:bodyPr wrap="square" lIns="38100" tIns="19050" rIns="38100" bIns="19050" anchor="ctr">
                <a:spAutoFit/>
              </a:bodyPr>
              <a:lstStyle/>
              <a:p>
                <a:pPr>
                  <a:defRPr sz="9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'Grafikoni_Currency&amp;maturity str'!$C$41:$D$41</c:f>
              <c:strCache>
                <c:ptCount val="2"/>
                <c:pt idx="0">
                  <c:v>2021</c:v>
                </c:pt>
                <c:pt idx="1">
                  <c:v>2022</c:v>
                </c:pt>
              </c:strCache>
            </c:strRef>
          </c:cat>
          <c:val>
            <c:numRef>
              <c:f>'Grafikoni_Currency&amp;maturity str'!$C$47:$D$47</c:f>
              <c:numCache>
                <c:formatCode>0.0%</c:formatCode>
                <c:ptCount val="2"/>
                <c:pt idx="0">
                  <c:v>0.60846058329490404</c:v>
                </c:pt>
                <c:pt idx="1">
                  <c:v>0.62512618286821664</c:v>
                </c:pt>
              </c:numCache>
            </c:numRef>
          </c:val>
          <c:extLst>
            <c:ext xmlns:c16="http://schemas.microsoft.com/office/drawing/2014/chart" uri="{C3380CC4-5D6E-409C-BE32-E72D297353CC}">
              <c16:uniqueId val="{00000005-E90E-45E2-B597-B3690260F88D}"/>
            </c:ext>
          </c:extLst>
        </c:ser>
        <c:dLbls>
          <c:showLegendKey val="0"/>
          <c:showVal val="0"/>
          <c:showCatName val="0"/>
          <c:showSerName val="0"/>
          <c:showPercent val="0"/>
          <c:showBubbleSize val="0"/>
        </c:dLbls>
        <c:gapWidth val="100"/>
        <c:overlap val="100"/>
        <c:axId val="-1740966112"/>
        <c:axId val="-1740968832"/>
      </c:barChart>
      <c:catAx>
        <c:axId val="-1740966112"/>
        <c:scaling>
          <c:orientation val="minMax"/>
        </c:scaling>
        <c:delete val="0"/>
        <c:axPos val="b"/>
        <c:numFmt formatCode="General" sourceLinked="1"/>
        <c:majorTickMark val="out"/>
        <c:minorTickMark val="none"/>
        <c:tickLblPos val="nextTo"/>
        <c:txPr>
          <a:bodyPr rot="0" vert="horz"/>
          <a:lstStyle/>
          <a:p>
            <a:pPr>
              <a:defRPr sz="900"/>
            </a:pPr>
            <a:endParaRPr lang="en-US"/>
          </a:p>
        </c:txPr>
        <c:crossAx val="-1740968832"/>
        <c:crosses val="autoZero"/>
        <c:auto val="0"/>
        <c:lblAlgn val="ctr"/>
        <c:lblOffset val="100"/>
        <c:tickLblSkip val="1"/>
        <c:tickMarkSkip val="1"/>
        <c:noMultiLvlLbl val="0"/>
      </c:catAx>
      <c:valAx>
        <c:axId val="-1740968832"/>
        <c:scaling>
          <c:orientation val="minMax"/>
          <c:max val="1"/>
        </c:scaling>
        <c:delete val="0"/>
        <c:axPos val="l"/>
        <c:numFmt formatCode="0%" sourceLinked="0"/>
        <c:majorTickMark val="out"/>
        <c:minorTickMark val="none"/>
        <c:tickLblPos val="nextTo"/>
        <c:txPr>
          <a:bodyPr/>
          <a:lstStyle/>
          <a:p>
            <a:pPr>
              <a:defRPr sz="800"/>
            </a:pPr>
            <a:endParaRPr lang="en-US"/>
          </a:p>
        </c:txPr>
        <c:crossAx val="-1740966112"/>
        <c:crosses val="autoZero"/>
        <c:crossBetween val="between"/>
        <c:majorUnit val="0.2"/>
      </c:valAx>
    </c:plotArea>
    <c:legend>
      <c:legendPos val="b"/>
      <c:layout>
        <c:manualLayout>
          <c:xMode val="edge"/>
          <c:yMode val="edge"/>
          <c:x val="8.4837278528699947E-2"/>
          <c:y val="0.91319185677640557"/>
          <c:w val="0.76702746382141795"/>
          <c:h val="7.971459749973471E-2"/>
        </c:manualLayout>
      </c:layout>
      <c:overlay val="0"/>
    </c:legend>
    <c:plotVisOnly val="1"/>
    <c:dispBlanksAs val="gap"/>
    <c:showDLblsOverMax val="0"/>
  </c:chart>
  <c:spPr>
    <a:ln>
      <a:noFill/>
    </a:ln>
  </c:spPr>
  <c:txPr>
    <a:bodyPr/>
    <a:lstStyle/>
    <a:p>
      <a:pPr>
        <a:defRPr sz="105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sz="1000"/>
            </a:pPr>
            <a:r>
              <a:rPr lang="en-US" sz="1000"/>
              <a:t>CURRENCY STRUCTURE</a:t>
            </a:r>
          </a:p>
        </c:rich>
      </c:tx>
      <c:layout>
        <c:manualLayout>
          <c:xMode val="edge"/>
          <c:yMode val="edge"/>
          <c:x val="0.26470623864324649"/>
          <c:y val="1.3850740355568762E-2"/>
        </c:manualLayout>
      </c:layout>
      <c:overlay val="0"/>
      <c:spPr>
        <a:noFill/>
        <a:ln w="25400">
          <a:noFill/>
        </a:ln>
      </c:spPr>
    </c:title>
    <c:autoTitleDeleted val="0"/>
    <c:plotArea>
      <c:layout>
        <c:manualLayout>
          <c:layoutTarget val="inner"/>
          <c:xMode val="edge"/>
          <c:yMode val="edge"/>
          <c:x val="0.10439574443539722"/>
          <c:y val="0.20000036851482997"/>
          <c:w val="0.7472537496428433"/>
          <c:h val="0.60524227292688348"/>
        </c:manualLayout>
      </c:layout>
      <c:barChart>
        <c:barDir val="col"/>
        <c:grouping val="stacked"/>
        <c:varyColors val="0"/>
        <c:ser>
          <c:idx val="0"/>
          <c:order val="0"/>
          <c:tx>
            <c:strRef>
              <c:f>'Grafikoni_Currency&amp;maturity str'!$B$42</c:f>
              <c:strCache>
                <c:ptCount val="1"/>
                <c:pt idx="0">
                  <c:v>F/X</c:v>
                </c:pt>
              </c:strCache>
            </c:strRef>
          </c:tx>
          <c:invertIfNegative val="0"/>
          <c:dLbls>
            <c:dLbl>
              <c:idx val="0"/>
              <c:layout>
                <c:manualLayout>
                  <c:x val="0.18122986582568398"/>
                  <c:y val="0"/>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112B-432D-8364-910E1E89CE5F}"/>
                </c:ext>
              </c:extLst>
            </c:dLbl>
            <c:dLbl>
              <c:idx val="1"/>
              <c:layout>
                <c:manualLayout>
                  <c:x val="0.17216837253439979"/>
                  <c:y val="0"/>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112B-432D-8364-910E1E89CE5F}"/>
                </c:ext>
              </c:extLst>
            </c:dLbl>
            <c:spPr>
              <a:noFill/>
              <a:ln>
                <a:noFill/>
              </a:ln>
              <a:effectLst/>
            </c:spPr>
            <c:txPr>
              <a:bodyPr wrap="square" lIns="38100" tIns="19050" rIns="38100" bIns="19050" anchor="ctr">
                <a:spAutoFit/>
              </a:bodyPr>
              <a:lstStyle/>
              <a:p>
                <a:pPr>
                  <a:defRPr sz="900"/>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'Grafikoni_Currency&amp;maturity str'!$C$41:$D$41</c:f>
              <c:strCache>
                <c:ptCount val="2"/>
                <c:pt idx="0">
                  <c:v>2021</c:v>
                </c:pt>
                <c:pt idx="1">
                  <c:v>2022</c:v>
                </c:pt>
              </c:strCache>
            </c:strRef>
          </c:cat>
          <c:val>
            <c:numRef>
              <c:f>'Grafikoni_Currency&amp;maturity str'!$C$42:$D$42</c:f>
              <c:numCache>
                <c:formatCode>0.0%</c:formatCode>
                <c:ptCount val="2"/>
                <c:pt idx="0">
                  <c:v>0.42371582329973967</c:v>
                </c:pt>
                <c:pt idx="1">
                  <c:v>0.42808987668636045</c:v>
                </c:pt>
              </c:numCache>
            </c:numRef>
          </c:val>
          <c:extLst>
            <c:ext xmlns:c16="http://schemas.microsoft.com/office/drawing/2014/chart" uri="{C3380CC4-5D6E-409C-BE32-E72D297353CC}">
              <c16:uniqueId val="{00000002-112B-432D-8364-910E1E89CE5F}"/>
            </c:ext>
          </c:extLst>
        </c:ser>
        <c:ser>
          <c:idx val="1"/>
          <c:order val="1"/>
          <c:tx>
            <c:strRef>
              <c:f>'Grafikoni_Currency&amp;maturity str'!$B$43</c:f>
              <c:strCache>
                <c:ptCount val="1"/>
                <c:pt idx="0">
                  <c:v>MKD</c:v>
                </c:pt>
              </c:strCache>
            </c:strRef>
          </c:tx>
          <c:invertIfNegative val="0"/>
          <c:dLbls>
            <c:dLbl>
              <c:idx val="0"/>
              <c:layout>
                <c:manualLayout>
                  <c:x val="0.17216837253439979"/>
                  <c:y val="4.9122809731886605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112B-432D-8364-910E1E89CE5F}"/>
                </c:ext>
              </c:extLst>
            </c:dLbl>
            <c:dLbl>
              <c:idx val="1"/>
              <c:layout>
                <c:manualLayout>
                  <c:x val="0.17216837253439979"/>
                  <c:y val="2.456140486594303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112B-432D-8364-910E1E89CE5F}"/>
                </c:ext>
              </c:extLst>
            </c:dLbl>
            <c:spPr>
              <a:noFill/>
              <a:ln w="25400">
                <a:noFill/>
              </a:ln>
            </c:spPr>
            <c:txPr>
              <a:bodyPr wrap="square" lIns="38100" tIns="19050" rIns="38100" bIns="19050" anchor="ctr">
                <a:spAutoFit/>
              </a:bodyPr>
              <a:lstStyle/>
              <a:p>
                <a:pPr>
                  <a:defRPr sz="9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'Grafikoni_Currency&amp;maturity str'!$C$41:$D$41</c:f>
              <c:strCache>
                <c:ptCount val="2"/>
                <c:pt idx="0">
                  <c:v>2021</c:v>
                </c:pt>
                <c:pt idx="1">
                  <c:v>2022</c:v>
                </c:pt>
              </c:strCache>
            </c:strRef>
          </c:cat>
          <c:val>
            <c:numRef>
              <c:f>'Grafikoni_Currency&amp;maturity str'!$C$43:$D$43</c:f>
              <c:numCache>
                <c:formatCode>0.0%</c:formatCode>
                <c:ptCount val="2"/>
                <c:pt idx="0">
                  <c:v>0.57628417670026033</c:v>
                </c:pt>
                <c:pt idx="1">
                  <c:v>0.57191012331363955</c:v>
                </c:pt>
              </c:numCache>
            </c:numRef>
          </c:val>
          <c:extLst>
            <c:ext xmlns:c16="http://schemas.microsoft.com/office/drawing/2014/chart" uri="{C3380CC4-5D6E-409C-BE32-E72D297353CC}">
              <c16:uniqueId val="{00000005-112B-432D-8364-910E1E89CE5F}"/>
            </c:ext>
          </c:extLst>
        </c:ser>
        <c:dLbls>
          <c:showLegendKey val="0"/>
          <c:showVal val="0"/>
          <c:showCatName val="0"/>
          <c:showSerName val="0"/>
          <c:showPercent val="0"/>
          <c:showBubbleSize val="0"/>
        </c:dLbls>
        <c:gapWidth val="100"/>
        <c:overlap val="100"/>
        <c:axId val="-1740954144"/>
        <c:axId val="-1740959040"/>
      </c:barChart>
      <c:catAx>
        <c:axId val="-1740954144"/>
        <c:scaling>
          <c:orientation val="minMax"/>
        </c:scaling>
        <c:delete val="0"/>
        <c:axPos val="b"/>
        <c:numFmt formatCode="General" sourceLinked="1"/>
        <c:majorTickMark val="out"/>
        <c:minorTickMark val="none"/>
        <c:tickLblPos val="nextTo"/>
        <c:txPr>
          <a:bodyPr rot="0" vert="horz"/>
          <a:lstStyle/>
          <a:p>
            <a:pPr>
              <a:defRPr sz="900"/>
            </a:pPr>
            <a:endParaRPr lang="en-US"/>
          </a:p>
        </c:txPr>
        <c:crossAx val="-1740959040"/>
        <c:crosses val="autoZero"/>
        <c:auto val="0"/>
        <c:lblAlgn val="ctr"/>
        <c:lblOffset val="100"/>
        <c:noMultiLvlLbl val="0"/>
      </c:catAx>
      <c:valAx>
        <c:axId val="-1740959040"/>
        <c:scaling>
          <c:orientation val="minMax"/>
          <c:max val="1"/>
        </c:scaling>
        <c:delete val="0"/>
        <c:axPos val="l"/>
        <c:numFmt formatCode="0%" sourceLinked="0"/>
        <c:majorTickMark val="out"/>
        <c:minorTickMark val="none"/>
        <c:tickLblPos val="nextTo"/>
        <c:txPr>
          <a:bodyPr/>
          <a:lstStyle/>
          <a:p>
            <a:pPr>
              <a:defRPr sz="800"/>
            </a:pPr>
            <a:endParaRPr lang="en-US"/>
          </a:p>
        </c:txPr>
        <c:crossAx val="-1740954144"/>
        <c:crosses val="autoZero"/>
        <c:crossBetween val="between"/>
        <c:majorUnit val="0.2"/>
      </c:valAx>
    </c:plotArea>
    <c:legend>
      <c:legendPos val="b"/>
      <c:layout>
        <c:manualLayout>
          <c:xMode val="edge"/>
          <c:yMode val="edge"/>
          <c:x val="0.33661164366212759"/>
          <c:y val="0.91989464875171889"/>
          <c:w val="0.31009141553088998"/>
          <c:h val="7.9730146436613455E-2"/>
        </c:manualLayout>
      </c:layout>
      <c:overlay val="0"/>
    </c:legend>
    <c:plotVisOnly val="1"/>
    <c:dispBlanksAs val="gap"/>
    <c:showDLblsOverMax val="0"/>
  </c:chart>
  <c:spPr>
    <a:ln>
      <a:noFill/>
    </a:ln>
  </c:spPr>
  <c:txPr>
    <a:bodyPr/>
    <a:lstStyle/>
    <a:p>
      <a:pPr>
        <a:defRPr sz="105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lang="mk-MK"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SB Banking Book by Risk Categories 2022</a:t>
            </a:r>
          </a:p>
        </c:rich>
      </c:tx>
      <c:overlay val="0"/>
    </c:title>
    <c:autoTitleDeleted val="0"/>
    <c:plotArea>
      <c:layout/>
      <c:pieChart>
        <c:varyColors val="1"/>
        <c:ser>
          <c:idx val="0"/>
          <c:order val="0"/>
          <c:tx>
            <c:strRef>
              <c:f>'po kategorija'!$H$88:$H$92</c:f>
              <c:strCache>
                <c:ptCount val="5"/>
                <c:pt idx="0">
                  <c:v>86.1%</c:v>
                </c:pt>
                <c:pt idx="1">
                  <c:v>9.9%</c:v>
                </c:pt>
                <c:pt idx="2">
                  <c:v>1.1%</c:v>
                </c:pt>
                <c:pt idx="3">
                  <c:v>1.0%</c:v>
                </c:pt>
                <c:pt idx="4">
                  <c:v>2.0%</c:v>
                </c:pt>
              </c:strCache>
            </c:strRef>
          </c:tx>
          <c:dLbls>
            <c:dLbl>
              <c:idx val="0"/>
              <c:numFmt formatCode="0.0%" sourceLinked="0"/>
              <c:spPr/>
              <c:txPr>
                <a:bodyPr/>
                <a:lstStyle/>
                <a:p>
                  <a:pPr>
                    <a:defRPr sz="900" b="1" baseline="0">
                      <a:solidFill>
                        <a:schemeClr val="bg1"/>
                      </a:solidFill>
                    </a:defRPr>
                  </a:pPr>
                  <a:endParaRPr lang="en-US"/>
                </a:p>
              </c:txPr>
              <c:showLegendKey val="0"/>
              <c:showVal val="0"/>
              <c:showCatName val="1"/>
              <c:showSerName val="0"/>
              <c:showPercent val="1"/>
              <c:showBubbleSize val="0"/>
              <c:extLst>
                <c:ext xmlns:c16="http://schemas.microsoft.com/office/drawing/2014/chart" uri="{C3380CC4-5D6E-409C-BE32-E72D297353CC}">
                  <c16:uniqueId val="{00000000-FB3B-4ECE-9A6C-2EFA39D1FB9E}"/>
                </c:ext>
              </c:extLst>
            </c:dLbl>
            <c:dLbl>
              <c:idx val="1"/>
              <c:layout>
                <c:manualLayout>
                  <c:x val="9.7004963214000359E-2"/>
                  <c:y val="-3.8702650468223454E-4"/>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B3B-4ECE-9A6C-2EFA39D1FB9E}"/>
                </c:ext>
              </c:extLst>
            </c:dLbl>
            <c:dLbl>
              <c:idx val="2"/>
              <c:layout>
                <c:manualLayout>
                  <c:x val="1.5314737864481388E-2"/>
                  <c:y val="2.9866555292132946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FB3B-4ECE-9A6C-2EFA39D1FB9E}"/>
                </c:ext>
              </c:extLst>
            </c:dLbl>
            <c:dLbl>
              <c:idx val="3"/>
              <c:layout>
                <c:manualLayout>
                  <c:x val="-5.6582065302946148E-2"/>
                  <c:y val="-3.4147759611171846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B3B-4ECE-9A6C-2EFA39D1FB9E}"/>
                </c:ext>
              </c:extLst>
            </c:dLbl>
            <c:dLbl>
              <c:idx val="4"/>
              <c:layout>
                <c:manualLayout>
                  <c:x val="-9.2741707927776473E-2"/>
                  <c:y val="-8.7801458515033515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FB3B-4ECE-9A6C-2EFA39D1FB9E}"/>
                </c:ext>
              </c:extLst>
            </c:dLbl>
            <c:dLbl>
              <c:idx val="5"/>
              <c:numFmt formatCode="0.0%" sourceLinked="0"/>
              <c:spPr/>
              <c:txPr>
                <a:bodyPr/>
                <a:lstStyle/>
                <a:p>
                  <a:pPr>
                    <a:defRPr sz="900" b="1" baseline="0">
                      <a:solidFill>
                        <a:schemeClr val="tx2"/>
                      </a:solidFill>
                    </a:defRPr>
                  </a:pPr>
                  <a:endParaRPr lang="en-US"/>
                </a:p>
              </c:txPr>
              <c:showLegendKey val="0"/>
              <c:showVal val="0"/>
              <c:showCatName val="1"/>
              <c:showSerName val="0"/>
              <c:showPercent val="1"/>
              <c:showBubbleSize val="0"/>
              <c:extLst>
                <c:ext xmlns:c16="http://schemas.microsoft.com/office/drawing/2014/chart" uri="{C3380CC4-5D6E-409C-BE32-E72D297353CC}">
                  <c16:uniqueId val="{00000005-FB3B-4ECE-9A6C-2EFA39D1FB9E}"/>
                </c:ext>
              </c:extLst>
            </c:dLbl>
            <c:numFmt formatCode="0.0%" sourceLinked="0"/>
            <c:spPr>
              <a:noFill/>
              <a:ln>
                <a:noFill/>
              </a:ln>
              <a:effectLst/>
            </c:spPr>
            <c:txPr>
              <a:bodyPr/>
              <a:lstStyle/>
              <a:p>
                <a:pPr>
                  <a:defRPr sz="900" b="1"/>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'po kategorija'!$G$88:$G$92</c:f>
              <c:strCache>
                <c:ptCount val="5"/>
                <c:pt idx="0">
                  <c:v>A</c:v>
                </c:pt>
                <c:pt idx="1">
                  <c:v>B</c:v>
                </c:pt>
                <c:pt idx="2">
                  <c:v>C</c:v>
                </c:pt>
                <c:pt idx="3">
                  <c:v>D</c:v>
                </c:pt>
                <c:pt idx="4">
                  <c:v>E</c:v>
                </c:pt>
              </c:strCache>
            </c:strRef>
          </c:cat>
          <c:val>
            <c:numRef>
              <c:f>'po kategorija'!$H$88:$H$92</c:f>
              <c:numCache>
                <c:formatCode>0.0%</c:formatCode>
                <c:ptCount val="5"/>
                <c:pt idx="0">
                  <c:v>0.8607465009272719</c:v>
                </c:pt>
                <c:pt idx="1">
                  <c:v>9.8533334090945945E-2</c:v>
                </c:pt>
                <c:pt idx="2">
                  <c:v>1.0818364163372647E-2</c:v>
                </c:pt>
                <c:pt idx="3">
                  <c:v>9.7104065884374893E-3</c:v>
                </c:pt>
                <c:pt idx="4">
                  <c:v>2.0191394229971966E-2</c:v>
                </c:pt>
              </c:numCache>
            </c:numRef>
          </c:val>
          <c:extLst>
            <c:ext xmlns:c16="http://schemas.microsoft.com/office/drawing/2014/chart" uri="{C3380CC4-5D6E-409C-BE32-E72D297353CC}">
              <c16:uniqueId val="{00000006-FB3B-4ECE-9A6C-2EFA39D1FB9E}"/>
            </c:ext>
          </c:extLst>
        </c:ser>
        <c:dLbls>
          <c:showLegendKey val="0"/>
          <c:showVal val="0"/>
          <c:showCatName val="1"/>
          <c:showSerName val="0"/>
          <c:showPercent val="1"/>
          <c:showBubbleSize val="0"/>
          <c:showLeaderLines val="1"/>
        </c:dLbls>
        <c:firstSliceAng val="215"/>
      </c:pieChart>
    </c:plotArea>
    <c:plotVisOnly val="1"/>
    <c:dispBlanksAs val="zero"/>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dk1">
                    <a:lumMod val="65000"/>
                    <a:lumOff val="35000"/>
                  </a:schemeClr>
                </a:solidFill>
                <a:latin typeface="+mn-lt"/>
                <a:ea typeface="+mn-ea"/>
                <a:cs typeface="+mn-cs"/>
              </a:defRPr>
            </a:pPr>
            <a:r>
              <a:rPr lang="en-US" sz="1100"/>
              <a:t>Liquid assets</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0F85-448F-A2A3-40912DB24BC5}"/>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0F85-448F-A2A3-40912DB24BC5}"/>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0F85-448F-A2A3-40912DB24BC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 (2)'!$N$17:$N$19</c:f>
              <c:strCache>
                <c:ptCount val="3"/>
                <c:pt idx="0">
                  <c:v>Cash and balances with the Central Bank</c:v>
                </c:pt>
                <c:pt idx="1">
                  <c:v>Due from otner banks</c:v>
                </c:pt>
                <c:pt idx="2">
                  <c:v>Securities</c:v>
                </c:pt>
              </c:strCache>
            </c:strRef>
          </c:cat>
          <c:val>
            <c:numRef>
              <c:f>'Sheet1 (2)'!$O$17:$O$19</c:f>
              <c:numCache>
                <c:formatCode>0%</c:formatCode>
                <c:ptCount val="3"/>
                <c:pt idx="0">
                  <c:v>0.45</c:v>
                </c:pt>
                <c:pt idx="1">
                  <c:v>0.24</c:v>
                </c:pt>
                <c:pt idx="2">
                  <c:v>0.31</c:v>
                </c:pt>
              </c:numCache>
            </c:numRef>
          </c:val>
          <c:extLst>
            <c:ext xmlns:c16="http://schemas.microsoft.com/office/drawing/2014/chart" uri="{C3380CC4-5D6E-409C-BE32-E72D297353CC}">
              <c16:uniqueId val="{00000006-0F85-448F-A2A3-40912DB24BC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4.4985988862685136E-2"/>
          <c:y val="0.80442212281575287"/>
          <c:w val="0.89911666115385336"/>
          <c:h val="0.16558537530971587"/>
        </c:manualLayout>
      </c:layout>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1"/>
              <a:t>Gender composition, </a:t>
            </a:r>
          </a:p>
          <a:p>
            <a:pPr>
              <a:defRPr/>
            </a:pPr>
            <a:r>
              <a:rPr lang="en-US" sz="1100" b="1"/>
              <a:t>all employees</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6"/>
              </a:solidFill>
              <a:ln w="19050">
                <a:solidFill>
                  <a:schemeClr val="lt1"/>
                </a:solidFill>
              </a:ln>
              <a:effectLst/>
            </c:spPr>
            <c:extLst>
              <c:ext xmlns:c16="http://schemas.microsoft.com/office/drawing/2014/chart" uri="{C3380CC4-5D6E-409C-BE32-E72D297353CC}">
                <c16:uniqueId val="{00000001-D957-46B8-A109-999589F23D66}"/>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D957-46B8-A109-999589F23D6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Sheet1!$C$9:$C$10</c:f>
              <c:strCache>
                <c:ptCount val="2"/>
                <c:pt idx="0">
                  <c:v>Man</c:v>
                </c:pt>
                <c:pt idx="1">
                  <c:v>Woman</c:v>
                </c:pt>
              </c:strCache>
            </c:strRef>
          </c:cat>
          <c:val>
            <c:numRef>
              <c:f>Sheet1!$D$9:$D$10</c:f>
              <c:numCache>
                <c:formatCode>0%</c:formatCode>
                <c:ptCount val="2"/>
                <c:pt idx="0">
                  <c:v>0.32484076433121017</c:v>
                </c:pt>
                <c:pt idx="1">
                  <c:v>0.67515923566878977</c:v>
                </c:pt>
              </c:numCache>
            </c:numRef>
          </c:val>
          <c:extLst>
            <c:ext xmlns:c16="http://schemas.microsoft.com/office/drawing/2014/chart" uri="{C3380CC4-5D6E-409C-BE32-E72D297353CC}">
              <c16:uniqueId val="{00000004-D957-46B8-A109-999589F23D66}"/>
            </c:ext>
          </c:extLst>
        </c:ser>
        <c:ser>
          <c:idx val="1"/>
          <c:order val="1"/>
          <c:tx>
            <c:strRef>
              <c:f>Sheet1!$C$5</c:f>
              <c:strCache>
                <c:ptCount val="1"/>
                <c:pt idx="0">
                  <c:v>Број на вработени, родова структура</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6-D957-46B8-A109-999589F23D66}"/>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8-D957-46B8-A109-999589F23D66}"/>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A-D957-46B8-A109-999589F23D6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Sheet1!$D$6:$D$8</c:f>
              <c:numCache>
                <c:formatCode>General</c:formatCode>
                <c:ptCount val="3"/>
                <c:pt idx="0">
                  <c:v>306</c:v>
                </c:pt>
                <c:pt idx="1">
                  <c:v>636</c:v>
                </c:pt>
                <c:pt idx="2">
                  <c:v>942</c:v>
                </c:pt>
              </c:numCache>
            </c:numRef>
          </c:val>
          <c:extLst>
            <c:ext xmlns:c16="http://schemas.microsoft.com/office/drawing/2014/chart" uri="{C3380CC4-5D6E-409C-BE32-E72D297353CC}">
              <c16:uniqueId val="{0000000B-D957-46B8-A109-999589F23D66}"/>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2C6C5-092E-4D5D-829B-3D0420045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1624</TotalTime>
  <Pages>57</Pages>
  <Words>17237</Words>
  <Characters>98256</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stb</Company>
  <LinksUpToDate>false</LinksUpToDate>
  <CharactersWithSpaces>115263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Eliskovski</dc:creator>
  <cp:lastModifiedBy>Bojan Bogevski</cp:lastModifiedBy>
  <cp:revision>56</cp:revision>
  <cp:lastPrinted>2023-04-28T10:20:00Z</cp:lastPrinted>
  <dcterms:created xsi:type="dcterms:W3CDTF">2023-04-19T14:09:00Z</dcterms:created>
  <dcterms:modified xsi:type="dcterms:W3CDTF">2023-04-28T10:20:00Z</dcterms:modified>
</cp:coreProperties>
</file>