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00880" w14:textId="3CD40EF5" w:rsidR="00AA42E8" w:rsidRPr="00C341B0" w:rsidRDefault="00C341B0" w:rsidP="009B5025">
      <w:pPr>
        <w:ind w:right="-424"/>
        <w:jc w:val="center"/>
        <w:rPr>
          <w:rFonts w:asciiTheme="minorHAnsi" w:hAnsiTheme="minorHAnsi" w:cstheme="minorHAnsi"/>
          <w:b/>
          <w:bCs/>
          <w:sz w:val="28"/>
          <w:szCs w:val="28"/>
          <w:lang w:val="en-US"/>
        </w:rPr>
      </w:pPr>
      <w:r w:rsidRPr="00C341B0">
        <w:rPr>
          <w:rFonts w:asciiTheme="minorHAnsi" w:hAnsiTheme="minorHAnsi" w:cstheme="minorHAnsi"/>
          <w:b/>
          <w:bCs/>
          <w:sz w:val="28"/>
          <w:szCs w:val="28"/>
          <w:lang w:val="mk-MK"/>
        </w:rPr>
        <w:t xml:space="preserve">Required Documentation for Outgoing International Payment Transactions </w:t>
      </w:r>
      <w:r>
        <w:rPr>
          <w:rFonts w:asciiTheme="minorHAnsi" w:hAnsiTheme="minorHAnsi" w:cstheme="minorHAnsi"/>
          <w:b/>
          <w:bCs/>
          <w:sz w:val="28"/>
          <w:szCs w:val="28"/>
          <w:lang w:val="en-US"/>
        </w:rPr>
        <w:t>w</w:t>
      </w:r>
      <w:r w:rsidRPr="00C341B0">
        <w:rPr>
          <w:rFonts w:asciiTheme="minorHAnsi" w:hAnsiTheme="minorHAnsi" w:cstheme="minorHAnsi"/>
          <w:b/>
          <w:bCs/>
          <w:sz w:val="28"/>
          <w:szCs w:val="28"/>
          <w:lang w:val="mk-MK"/>
        </w:rPr>
        <w:t xml:space="preserve">here the Payer Is a Resident </w:t>
      </w:r>
      <w:r>
        <w:rPr>
          <w:rFonts w:asciiTheme="minorHAnsi" w:hAnsiTheme="minorHAnsi" w:cstheme="minorHAnsi"/>
          <w:b/>
          <w:bCs/>
          <w:sz w:val="28"/>
          <w:szCs w:val="28"/>
          <w:lang w:val="en-US"/>
        </w:rPr>
        <w:t>Individuals</w:t>
      </w:r>
    </w:p>
    <w:tbl>
      <w:tblPr>
        <w:tblW w:w="102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33"/>
        <w:gridCol w:w="5294"/>
      </w:tblGrid>
      <w:tr w:rsidR="00AA42E8" w:rsidRPr="009A7E6C" w14:paraId="12F468B5" w14:textId="77777777" w:rsidTr="009B5025">
        <w:tc>
          <w:tcPr>
            <w:tcW w:w="851" w:type="dxa"/>
          </w:tcPr>
          <w:p w14:paraId="70C310B5" w14:textId="4EF7B7AD" w:rsidR="00AA42E8" w:rsidRPr="009A7E6C" w:rsidRDefault="00C341B0" w:rsidP="008C0501">
            <w:pPr>
              <w:rPr>
                <w:rFonts w:asciiTheme="minorHAnsi" w:hAnsiTheme="minorHAnsi" w:cstheme="minorHAnsi"/>
                <w:sz w:val="22"/>
                <w:szCs w:val="22"/>
                <w:lang w:val="mk-MK"/>
              </w:rPr>
            </w:pPr>
            <w:r>
              <w:rPr>
                <w:rFonts w:asciiTheme="minorHAnsi" w:hAnsiTheme="minorHAnsi" w:cstheme="minorHAnsi"/>
                <w:sz w:val="22"/>
                <w:szCs w:val="22"/>
                <w:lang w:val="en-US"/>
              </w:rPr>
              <w:t>No</w:t>
            </w:r>
            <w:r w:rsidR="009A7E6C" w:rsidRPr="009A7E6C">
              <w:rPr>
                <w:rFonts w:asciiTheme="minorHAnsi" w:hAnsiTheme="minorHAnsi" w:cstheme="minorHAnsi"/>
                <w:sz w:val="22"/>
                <w:szCs w:val="22"/>
                <w:lang w:val="mk-MK"/>
              </w:rPr>
              <w:t>.</w:t>
            </w:r>
          </w:p>
        </w:tc>
        <w:tc>
          <w:tcPr>
            <w:tcW w:w="4133" w:type="dxa"/>
          </w:tcPr>
          <w:p w14:paraId="0664D37D" w14:textId="77777777" w:rsidR="00AA42E8" w:rsidRPr="009A7E6C" w:rsidRDefault="009A7E6C" w:rsidP="008C0501">
            <w:pPr>
              <w:rPr>
                <w:rFonts w:asciiTheme="minorHAnsi" w:hAnsiTheme="minorHAnsi" w:cstheme="minorHAnsi"/>
                <w:bCs/>
                <w:sz w:val="22"/>
                <w:szCs w:val="22"/>
                <w:lang w:val="mk-MK"/>
              </w:rPr>
            </w:pPr>
            <w:r w:rsidRPr="009A7E6C">
              <w:rPr>
                <w:rFonts w:asciiTheme="minorHAnsi" w:hAnsiTheme="minorHAnsi" w:cstheme="minorHAnsi"/>
                <w:bCs/>
                <w:sz w:val="22"/>
                <w:szCs w:val="22"/>
                <w:lang w:val="mk-MK"/>
              </w:rPr>
              <w:t xml:space="preserve">              </w:t>
            </w:r>
          </w:p>
          <w:p w14:paraId="65120CE4" w14:textId="641A9D8D" w:rsidR="00AA42E8" w:rsidRPr="00C341B0" w:rsidRDefault="009A7E6C" w:rsidP="00C341B0">
            <w:pPr>
              <w:rPr>
                <w:rFonts w:asciiTheme="minorHAnsi" w:hAnsiTheme="minorHAnsi" w:cstheme="minorHAnsi"/>
                <w:sz w:val="22"/>
                <w:szCs w:val="22"/>
                <w:lang w:val="en-US"/>
              </w:rPr>
            </w:pPr>
            <w:r w:rsidRPr="009A7E6C">
              <w:rPr>
                <w:rFonts w:asciiTheme="minorHAnsi" w:hAnsiTheme="minorHAnsi" w:cstheme="minorHAnsi"/>
                <w:bCs/>
                <w:sz w:val="22"/>
                <w:szCs w:val="22"/>
                <w:lang w:val="mk-MK"/>
              </w:rPr>
              <w:t xml:space="preserve">                 </w:t>
            </w:r>
            <w:r w:rsidR="00C341B0">
              <w:rPr>
                <w:rFonts w:asciiTheme="minorHAnsi" w:hAnsiTheme="minorHAnsi" w:cstheme="minorHAnsi"/>
                <w:bCs/>
                <w:sz w:val="22"/>
                <w:szCs w:val="22"/>
                <w:lang w:val="en-US"/>
              </w:rPr>
              <w:t>Type of transaction</w:t>
            </w:r>
          </w:p>
        </w:tc>
        <w:tc>
          <w:tcPr>
            <w:tcW w:w="5294" w:type="dxa"/>
          </w:tcPr>
          <w:p w14:paraId="008586A9" w14:textId="77777777" w:rsidR="00AA42E8" w:rsidRPr="009A7E6C" w:rsidRDefault="00AA42E8" w:rsidP="008C0501">
            <w:pPr>
              <w:rPr>
                <w:rFonts w:asciiTheme="minorHAnsi" w:hAnsiTheme="minorHAnsi" w:cstheme="minorHAnsi"/>
                <w:bCs/>
                <w:sz w:val="22"/>
                <w:szCs w:val="22"/>
                <w:lang w:val="mk-MK"/>
              </w:rPr>
            </w:pPr>
          </w:p>
          <w:p w14:paraId="1D8BB03A" w14:textId="3EA7D05C" w:rsidR="00AA42E8" w:rsidRPr="00C341B0" w:rsidRDefault="00C341B0" w:rsidP="00712346">
            <w:pPr>
              <w:jc w:val="center"/>
              <w:rPr>
                <w:rFonts w:asciiTheme="minorHAnsi" w:hAnsiTheme="minorHAnsi" w:cstheme="minorHAnsi"/>
                <w:sz w:val="22"/>
                <w:szCs w:val="22"/>
                <w:lang w:val="en-US"/>
              </w:rPr>
            </w:pPr>
            <w:r>
              <w:rPr>
                <w:rFonts w:asciiTheme="minorHAnsi" w:hAnsiTheme="minorHAnsi" w:cstheme="minorHAnsi"/>
                <w:bCs/>
                <w:sz w:val="22"/>
                <w:szCs w:val="22"/>
                <w:lang w:val="en-US"/>
              </w:rPr>
              <w:t>Required document</w:t>
            </w:r>
          </w:p>
        </w:tc>
      </w:tr>
      <w:tr w:rsidR="00AA42E8" w:rsidRPr="009A7E6C" w14:paraId="10949E72" w14:textId="77777777" w:rsidTr="009B5025">
        <w:tc>
          <w:tcPr>
            <w:tcW w:w="851" w:type="dxa"/>
          </w:tcPr>
          <w:p w14:paraId="4561993E" w14:textId="77777777" w:rsidR="00AA42E8" w:rsidRPr="009A7E6C" w:rsidRDefault="009A7E6C" w:rsidP="008C0501">
            <w:pPr>
              <w:rPr>
                <w:rFonts w:asciiTheme="minorHAnsi" w:hAnsiTheme="minorHAnsi" w:cstheme="minorHAnsi"/>
                <w:b/>
                <w:bCs/>
                <w:sz w:val="22"/>
                <w:szCs w:val="22"/>
                <w:lang w:val="mk-MK"/>
              </w:rPr>
            </w:pPr>
            <w:r w:rsidRPr="009A7E6C">
              <w:rPr>
                <w:rFonts w:asciiTheme="minorHAnsi" w:hAnsiTheme="minorHAnsi" w:cstheme="minorHAnsi"/>
                <w:b/>
                <w:bCs/>
                <w:sz w:val="22"/>
                <w:szCs w:val="22"/>
                <w:lang w:val="mk-MK"/>
              </w:rPr>
              <w:t>1.</w:t>
            </w:r>
          </w:p>
        </w:tc>
        <w:tc>
          <w:tcPr>
            <w:tcW w:w="4133" w:type="dxa"/>
          </w:tcPr>
          <w:p w14:paraId="4C40CB88" w14:textId="0747F717" w:rsidR="00AA42E8" w:rsidRPr="009A7E6C" w:rsidRDefault="009A7E6C" w:rsidP="0026007D">
            <w:pPr>
              <w:rPr>
                <w:rFonts w:asciiTheme="minorHAnsi" w:hAnsiTheme="minorHAnsi" w:cstheme="minorHAnsi"/>
                <w:sz w:val="22"/>
                <w:szCs w:val="22"/>
                <w:lang w:val="mk-MK"/>
              </w:rPr>
            </w:pPr>
            <w:r w:rsidRPr="009A7E6C">
              <w:rPr>
                <w:rFonts w:asciiTheme="minorHAnsi" w:hAnsiTheme="minorHAnsi" w:cstheme="minorHAnsi"/>
                <w:b/>
                <w:bCs/>
                <w:sz w:val="22"/>
                <w:szCs w:val="22"/>
                <w:lang w:val="mk-MK"/>
              </w:rPr>
              <w:t xml:space="preserve"> </w:t>
            </w:r>
            <w:r w:rsidR="00C341B0" w:rsidRPr="00C341B0">
              <w:rPr>
                <w:rFonts w:asciiTheme="minorHAnsi" w:hAnsiTheme="minorHAnsi" w:cstheme="minorHAnsi"/>
                <w:b/>
                <w:bCs/>
                <w:sz w:val="22"/>
                <w:szCs w:val="22"/>
                <w:lang w:val="mk-MK"/>
              </w:rPr>
              <w:t>Outgoing payment transactions based on DIRECT INVESTMENTS</w:t>
            </w:r>
          </w:p>
        </w:tc>
        <w:tc>
          <w:tcPr>
            <w:tcW w:w="5294" w:type="dxa"/>
          </w:tcPr>
          <w:p w14:paraId="6CCD070E" w14:textId="77777777" w:rsidR="00AA42E8" w:rsidRPr="009A7E6C" w:rsidRDefault="00AA42E8" w:rsidP="008C0501">
            <w:pPr>
              <w:rPr>
                <w:rFonts w:asciiTheme="minorHAnsi" w:hAnsiTheme="minorHAnsi" w:cstheme="minorHAnsi"/>
                <w:sz w:val="22"/>
                <w:szCs w:val="22"/>
                <w:lang w:val="mk-MK"/>
              </w:rPr>
            </w:pPr>
          </w:p>
        </w:tc>
      </w:tr>
      <w:tr w:rsidR="00AA42E8" w:rsidRPr="009A7E6C" w14:paraId="65B3992F" w14:textId="77777777" w:rsidTr="009B5025">
        <w:tc>
          <w:tcPr>
            <w:tcW w:w="851" w:type="dxa"/>
          </w:tcPr>
          <w:p w14:paraId="4B62DA2E" w14:textId="77777777" w:rsidR="00AA42E8" w:rsidRPr="009A7E6C" w:rsidRDefault="00AA42E8" w:rsidP="008C0501">
            <w:pPr>
              <w:rPr>
                <w:rFonts w:asciiTheme="minorHAnsi" w:hAnsiTheme="minorHAnsi" w:cstheme="minorHAnsi"/>
                <w:sz w:val="22"/>
                <w:szCs w:val="22"/>
                <w:lang w:val="mk-MK"/>
              </w:rPr>
            </w:pPr>
          </w:p>
        </w:tc>
        <w:tc>
          <w:tcPr>
            <w:tcW w:w="4133" w:type="dxa"/>
          </w:tcPr>
          <w:p w14:paraId="30228DA1" w14:textId="5FE57BD5" w:rsidR="00B9521E" w:rsidRPr="009A7E6C" w:rsidRDefault="009A7E6C" w:rsidP="008C0501">
            <w:pPr>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Payment from the sale of an investment classified as a direct investment</w:t>
            </w:r>
          </w:p>
        </w:tc>
        <w:tc>
          <w:tcPr>
            <w:tcW w:w="5294" w:type="dxa"/>
          </w:tcPr>
          <w:p w14:paraId="3361589D" w14:textId="77777777" w:rsidR="00C341B0" w:rsidRPr="00C341B0" w:rsidRDefault="009A7E6C" w:rsidP="00C341B0">
            <w:pPr>
              <w:rPr>
                <w:rFonts w:asciiTheme="minorHAnsi" w:hAnsiTheme="minorHAnsi" w:cstheme="minorHAnsi"/>
                <w:sz w:val="22"/>
                <w:szCs w:val="22"/>
              </w:rPr>
            </w:pPr>
            <w:r w:rsidRPr="009A7E6C">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rPr>
              <w:t>Proof of registration in the Register of Direct Investments of Non-residents at the Central Registry of the Republic of North Macedonia</w:t>
            </w:r>
          </w:p>
          <w:p w14:paraId="74511586" w14:textId="3891550E" w:rsidR="00AA42E8" w:rsidRPr="00B9521E" w:rsidRDefault="00C341B0" w:rsidP="00C341B0">
            <w:pPr>
              <w:rPr>
                <w:rFonts w:asciiTheme="minorHAnsi" w:hAnsiTheme="minorHAnsi" w:cstheme="minorHAnsi"/>
                <w:sz w:val="22"/>
                <w:szCs w:val="22"/>
                <w:lang w:val="mk-MK"/>
              </w:rPr>
            </w:pPr>
            <w:r w:rsidRPr="00C341B0">
              <w:rPr>
                <w:rFonts w:asciiTheme="minorHAnsi" w:hAnsiTheme="minorHAnsi" w:cstheme="minorHAnsi"/>
                <w:sz w:val="22"/>
                <w:szCs w:val="22"/>
              </w:rPr>
              <w:t>- Proof of settlement of legally prescribed tax and contribution obligations in the Republic of North Macedonia</w:t>
            </w:r>
          </w:p>
        </w:tc>
      </w:tr>
      <w:tr w:rsidR="00712346" w:rsidRPr="009A7E6C" w14:paraId="24ED3D92" w14:textId="77777777" w:rsidTr="009B5025">
        <w:tc>
          <w:tcPr>
            <w:tcW w:w="851" w:type="dxa"/>
          </w:tcPr>
          <w:p w14:paraId="5E40A335" w14:textId="1B28770D" w:rsidR="00712346" w:rsidRPr="0051712C" w:rsidRDefault="00712346" w:rsidP="00712346">
            <w:pPr>
              <w:rPr>
                <w:rFonts w:asciiTheme="minorHAnsi" w:hAnsiTheme="minorHAnsi" w:cstheme="minorHAnsi"/>
                <w:b/>
                <w:bCs/>
                <w:sz w:val="22"/>
                <w:szCs w:val="22"/>
                <w:lang w:val="mk-MK"/>
              </w:rPr>
            </w:pPr>
            <w:r>
              <w:rPr>
                <w:rFonts w:asciiTheme="minorHAnsi" w:hAnsiTheme="minorHAnsi" w:cstheme="minorHAnsi"/>
                <w:b/>
                <w:sz w:val="22"/>
                <w:szCs w:val="22"/>
                <w:lang w:val="mk-MK"/>
              </w:rPr>
              <w:t>2</w:t>
            </w:r>
            <w:r w:rsidRPr="009A7E6C">
              <w:rPr>
                <w:rFonts w:asciiTheme="minorHAnsi" w:hAnsiTheme="minorHAnsi" w:cstheme="minorHAnsi"/>
                <w:b/>
                <w:sz w:val="22"/>
                <w:szCs w:val="22"/>
                <w:lang w:val="mk-MK"/>
              </w:rPr>
              <w:t>.</w:t>
            </w:r>
          </w:p>
        </w:tc>
        <w:tc>
          <w:tcPr>
            <w:tcW w:w="4133" w:type="dxa"/>
          </w:tcPr>
          <w:p w14:paraId="70C21AF7" w14:textId="275100AD" w:rsidR="00712346" w:rsidRPr="0051712C" w:rsidRDefault="00C341B0" w:rsidP="00712346">
            <w:pPr>
              <w:rPr>
                <w:rFonts w:asciiTheme="minorHAnsi" w:hAnsiTheme="minorHAnsi" w:cstheme="minorHAnsi"/>
                <w:b/>
                <w:bCs/>
                <w:sz w:val="22"/>
                <w:szCs w:val="22"/>
                <w:lang w:val="mk-MK"/>
              </w:rPr>
            </w:pPr>
            <w:r w:rsidRPr="00C341B0">
              <w:rPr>
                <w:rFonts w:asciiTheme="minorHAnsi" w:hAnsiTheme="minorHAnsi" w:cstheme="minorHAnsi"/>
                <w:b/>
                <w:bCs/>
                <w:sz w:val="22"/>
                <w:szCs w:val="22"/>
                <w:lang w:val="mk-MK"/>
              </w:rPr>
              <w:t>Outgoing payment transactions based on PORTFOLIO INVESTMENTS</w:t>
            </w:r>
          </w:p>
        </w:tc>
        <w:tc>
          <w:tcPr>
            <w:tcW w:w="5294" w:type="dxa"/>
          </w:tcPr>
          <w:p w14:paraId="61917974" w14:textId="77777777" w:rsidR="00712346" w:rsidRPr="009A7E6C" w:rsidRDefault="00712346" w:rsidP="00712346">
            <w:pPr>
              <w:rPr>
                <w:rFonts w:asciiTheme="minorHAnsi" w:hAnsiTheme="minorHAnsi" w:cstheme="minorHAnsi"/>
                <w:sz w:val="22"/>
                <w:szCs w:val="22"/>
                <w:lang w:val="mk-MK"/>
              </w:rPr>
            </w:pPr>
          </w:p>
        </w:tc>
      </w:tr>
      <w:tr w:rsidR="00712346" w:rsidRPr="009A7E6C" w14:paraId="331B9E9C" w14:textId="77777777" w:rsidTr="009B5025">
        <w:tc>
          <w:tcPr>
            <w:tcW w:w="851" w:type="dxa"/>
          </w:tcPr>
          <w:p w14:paraId="3C5FC921" w14:textId="77777777" w:rsidR="00712346" w:rsidRPr="0051712C" w:rsidRDefault="00712346" w:rsidP="00712346">
            <w:pPr>
              <w:rPr>
                <w:rFonts w:asciiTheme="minorHAnsi" w:hAnsiTheme="minorHAnsi" w:cstheme="minorHAnsi"/>
                <w:b/>
                <w:bCs/>
                <w:sz w:val="22"/>
                <w:szCs w:val="22"/>
                <w:lang w:val="mk-MK"/>
              </w:rPr>
            </w:pPr>
          </w:p>
        </w:tc>
        <w:tc>
          <w:tcPr>
            <w:tcW w:w="4133" w:type="dxa"/>
          </w:tcPr>
          <w:p w14:paraId="41B3CE94" w14:textId="2E362785" w:rsidR="00712346" w:rsidRPr="0051712C" w:rsidRDefault="00712346" w:rsidP="00712346">
            <w:pPr>
              <w:rPr>
                <w:rFonts w:asciiTheme="minorHAnsi" w:hAnsiTheme="minorHAnsi" w:cstheme="minorHAnsi"/>
                <w:b/>
                <w:bCs/>
                <w:sz w:val="22"/>
                <w:szCs w:val="22"/>
                <w:lang w:val="mk-MK"/>
              </w:rPr>
            </w:pPr>
            <w:r w:rsidRPr="009A7E6C">
              <w:rPr>
                <w:rFonts w:asciiTheme="minorHAnsi" w:hAnsiTheme="minorHAnsi" w:cstheme="minorHAnsi"/>
                <w:sz w:val="22"/>
                <w:szCs w:val="22"/>
                <w:lang w:val="mk-MK"/>
              </w:rPr>
              <w:t>-</w:t>
            </w:r>
            <w:r w:rsidRPr="0051712C">
              <w:t xml:space="preserve"> </w:t>
            </w:r>
            <w:r w:rsidR="00C341B0" w:rsidRPr="00C341B0">
              <w:rPr>
                <w:rFonts w:asciiTheme="minorHAnsi" w:hAnsiTheme="minorHAnsi" w:cstheme="minorHAnsi"/>
                <w:sz w:val="22"/>
                <w:szCs w:val="22"/>
              </w:rPr>
              <w:t>Investment in foreign securities treated as portfolio investments</w:t>
            </w:r>
          </w:p>
        </w:tc>
        <w:tc>
          <w:tcPr>
            <w:tcW w:w="5294" w:type="dxa"/>
          </w:tcPr>
          <w:p w14:paraId="2A08EA92" w14:textId="02C70002" w:rsidR="00712346" w:rsidRPr="009A7E6C" w:rsidRDefault="000E1E6E" w:rsidP="00712346">
            <w:pPr>
              <w:rPr>
                <w:rFonts w:asciiTheme="minorHAnsi" w:hAnsiTheme="minorHAnsi" w:cstheme="minorHAnsi"/>
                <w:sz w:val="22"/>
                <w:szCs w:val="22"/>
                <w:lang w:val="mk-MK"/>
              </w:rPr>
            </w:pPr>
            <w:r>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rPr>
              <w:t>Document confirming that the transaction will be executed through an authorized market participant, foreign stock exchange participant, or organized securities market</w:t>
            </w:r>
          </w:p>
        </w:tc>
      </w:tr>
      <w:tr w:rsidR="00712346" w:rsidRPr="009A7E6C" w14:paraId="131BD474" w14:textId="77777777" w:rsidTr="009B5025">
        <w:tc>
          <w:tcPr>
            <w:tcW w:w="851" w:type="dxa"/>
          </w:tcPr>
          <w:p w14:paraId="0FDE7127" w14:textId="00E017E0" w:rsidR="00712346" w:rsidRPr="009A7E6C" w:rsidRDefault="000E1E6E" w:rsidP="00712346">
            <w:pPr>
              <w:rPr>
                <w:rFonts w:asciiTheme="minorHAnsi" w:hAnsiTheme="minorHAnsi" w:cstheme="minorHAnsi"/>
                <w:sz w:val="22"/>
                <w:szCs w:val="22"/>
                <w:lang w:val="mk-MK"/>
              </w:rPr>
            </w:pPr>
            <w:r>
              <w:rPr>
                <w:rFonts w:asciiTheme="minorHAnsi" w:hAnsiTheme="minorHAnsi" w:cstheme="minorHAnsi"/>
                <w:b/>
                <w:bCs/>
                <w:sz w:val="22"/>
                <w:szCs w:val="22"/>
                <w:lang w:val="mk-MK"/>
              </w:rPr>
              <w:t>3</w:t>
            </w:r>
            <w:r w:rsidR="00712346" w:rsidRPr="009A7E6C">
              <w:rPr>
                <w:rFonts w:asciiTheme="minorHAnsi" w:hAnsiTheme="minorHAnsi" w:cstheme="minorHAnsi"/>
                <w:b/>
                <w:bCs/>
                <w:sz w:val="22"/>
                <w:szCs w:val="22"/>
                <w:lang w:val="mk-MK"/>
              </w:rPr>
              <w:t>.</w:t>
            </w:r>
          </w:p>
        </w:tc>
        <w:tc>
          <w:tcPr>
            <w:tcW w:w="4133" w:type="dxa"/>
          </w:tcPr>
          <w:p w14:paraId="63A7AC7F" w14:textId="54EA9438" w:rsidR="00712346" w:rsidRDefault="00C341B0" w:rsidP="00712346">
            <w:pPr>
              <w:rPr>
                <w:rFonts w:asciiTheme="minorHAnsi" w:hAnsiTheme="minorHAnsi" w:cstheme="minorHAnsi"/>
                <w:sz w:val="22"/>
                <w:szCs w:val="22"/>
                <w:lang w:val="mk-MK"/>
              </w:rPr>
            </w:pPr>
            <w:r w:rsidRPr="00C341B0">
              <w:rPr>
                <w:rFonts w:asciiTheme="minorHAnsi" w:hAnsiTheme="minorHAnsi" w:cstheme="minorHAnsi"/>
                <w:b/>
                <w:bCs/>
                <w:sz w:val="22"/>
                <w:szCs w:val="22"/>
                <w:lang w:val="mk-MK"/>
              </w:rPr>
              <w:t>Outgoing payment transactions based on REAL ESTATE in the Republic of North Macedonia</w:t>
            </w:r>
          </w:p>
        </w:tc>
        <w:tc>
          <w:tcPr>
            <w:tcW w:w="5294" w:type="dxa"/>
          </w:tcPr>
          <w:p w14:paraId="32918158" w14:textId="77777777" w:rsidR="00712346" w:rsidRPr="00B9521E" w:rsidRDefault="00712346" w:rsidP="00712346">
            <w:pPr>
              <w:rPr>
                <w:rFonts w:asciiTheme="minorHAnsi" w:hAnsiTheme="minorHAnsi" w:cstheme="minorHAnsi"/>
                <w:sz w:val="22"/>
                <w:szCs w:val="22"/>
                <w:lang w:val="mk-MK"/>
              </w:rPr>
            </w:pPr>
          </w:p>
        </w:tc>
      </w:tr>
      <w:tr w:rsidR="00712346" w:rsidRPr="009A7E6C" w14:paraId="050C985A" w14:textId="77777777" w:rsidTr="009B5025">
        <w:tc>
          <w:tcPr>
            <w:tcW w:w="851" w:type="dxa"/>
          </w:tcPr>
          <w:p w14:paraId="5904AB66" w14:textId="77777777" w:rsidR="00712346" w:rsidRPr="009A7E6C" w:rsidRDefault="00712346" w:rsidP="00712346">
            <w:pPr>
              <w:rPr>
                <w:rFonts w:asciiTheme="minorHAnsi" w:hAnsiTheme="minorHAnsi" w:cstheme="minorHAnsi"/>
                <w:b/>
                <w:bCs/>
                <w:sz w:val="22"/>
                <w:szCs w:val="22"/>
                <w:lang w:val="mk-MK"/>
              </w:rPr>
            </w:pPr>
          </w:p>
        </w:tc>
        <w:tc>
          <w:tcPr>
            <w:tcW w:w="4133" w:type="dxa"/>
          </w:tcPr>
          <w:p w14:paraId="69D51FAF" w14:textId="77777777" w:rsidR="00C341B0" w:rsidRPr="00C341B0" w:rsidRDefault="00712346" w:rsidP="00C341B0">
            <w:pPr>
              <w:rPr>
                <w:rFonts w:asciiTheme="minorHAnsi" w:hAnsiTheme="minorHAnsi" w:cstheme="minorHAnsi"/>
                <w:sz w:val="22"/>
                <w:szCs w:val="22"/>
                <w:lang w:val="mk-MK"/>
              </w:rPr>
            </w:pPr>
            <w:r w:rsidRPr="00300989">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Purchase of real estate in North Macedonia owned by a non-resident</w:t>
            </w:r>
          </w:p>
          <w:p w14:paraId="2330421F" w14:textId="302D5F55" w:rsidR="00712346" w:rsidRPr="009A7E6C" w:rsidRDefault="00C341B0" w:rsidP="00C341B0">
            <w:pPr>
              <w:rPr>
                <w:rFonts w:asciiTheme="minorHAnsi" w:hAnsiTheme="minorHAnsi" w:cstheme="minorHAnsi"/>
                <w:b/>
                <w:bCs/>
                <w:sz w:val="22"/>
                <w:szCs w:val="22"/>
                <w:lang w:val="mk-MK"/>
              </w:rPr>
            </w:pPr>
            <w:r w:rsidRPr="00C341B0">
              <w:rPr>
                <w:rFonts w:asciiTheme="minorHAnsi" w:hAnsiTheme="minorHAnsi" w:cstheme="minorHAnsi"/>
                <w:sz w:val="22"/>
                <w:szCs w:val="22"/>
                <w:lang w:val="mk-MK"/>
              </w:rPr>
              <w:t>- Income payment for rental of real estate owned by a non-resident</w:t>
            </w:r>
          </w:p>
        </w:tc>
        <w:tc>
          <w:tcPr>
            <w:tcW w:w="5294" w:type="dxa"/>
          </w:tcPr>
          <w:p w14:paraId="0D655F7B" w14:textId="27DABA9F" w:rsidR="00712346" w:rsidRPr="00B9521E" w:rsidRDefault="00C341B0" w:rsidP="00712346">
            <w:pPr>
              <w:rPr>
                <w:rFonts w:asciiTheme="minorHAnsi" w:hAnsiTheme="minorHAnsi" w:cstheme="minorHAnsi"/>
                <w:sz w:val="22"/>
                <w:szCs w:val="22"/>
                <w:lang w:val="mk-MK"/>
              </w:rPr>
            </w:pPr>
            <w:r>
              <w:rPr>
                <w:rFonts w:asciiTheme="minorHAnsi" w:hAnsiTheme="minorHAnsi" w:cstheme="minorHAnsi"/>
                <w:sz w:val="22"/>
                <w:szCs w:val="22"/>
                <w:lang w:val="en-US"/>
              </w:rPr>
              <w:t>-</w:t>
            </w:r>
            <w:r w:rsidRPr="00C341B0">
              <w:rPr>
                <w:rFonts w:asciiTheme="minorHAnsi" w:hAnsiTheme="minorHAnsi" w:cstheme="minorHAnsi"/>
                <w:sz w:val="22"/>
                <w:szCs w:val="22"/>
                <w:lang w:val="mk-MK"/>
              </w:rPr>
              <w:t>Proof of registration in the Register of Foreign Real Estate Investments at the Central Registry of the Republic of North Macedonia</w:t>
            </w:r>
          </w:p>
        </w:tc>
      </w:tr>
      <w:tr w:rsidR="000E1E6E" w:rsidRPr="009A7E6C" w14:paraId="5E7B8E57" w14:textId="77777777" w:rsidTr="009B5025">
        <w:trPr>
          <w:trHeight w:val="510"/>
        </w:trPr>
        <w:tc>
          <w:tcPr>
            <w:tcW w:w="851" w:type="dxa"/>
          </w:tcPr>
          <w:p w14:paraId="39B0C9FF" w14:textId="0A18495A" w:rsidR="000E1E6E" w:rsidRPr="001A378A" w:rsidRDefault="001A378A" w:rsidP="00712346">
            <w:pPr>
              <w:rPr>
                <w:rFonts w:asciiTheme="minorHAnsi" w:hAnsiTheme="minorHAnsi" w:cstheme="minorHAnsi"/>
                <w:b/>
                <w:bCs/>
                <w:sz w:val="22"/>
                <w:szCs w:val="22"/>
                <w:lang w:val="mk-MK"/>
              </w:rPr>
            </w:pPr>
            <w:r w:rsidRPr="001A378A">
              <w:rPr>
                <w:rFonts w:asciiTheme="minorHAnsi" w:hAnsiTheme="minorHAnsi" w:cstheme="minorHAnsi"/>
                <w:b/>
                <w:bCs/>
                <w:sz w:val="22"/>
                <w:szCs w:val="22"/>
                <w:lang w:val="mk-MK"/>
              </w:rPr>
              <w:t>4</w:t>
            </w:r>
            <w:r w:rsidR="000E1E6E" w:rsidRPr="001A378A">
              <w:rPr>
                <w:rFonts w:asciiTheme="minorHAnsi" w:hAnsiTheme="minorHAnsi" w:cstheme="minorHAnsi"/>
                <w:b/>
                <w:bCs/>
                <w:sz w:val="22"/>
                <w:szCs w:val="22"/>
                <w:lang w:val="mk-MK"/>
              </w:rPr>
              <w:t>.</w:t>
            </w:r>
          </w:p>
        </w:tc>
        <w:tc>
          <w:tcPr>
            <w:tcW w:w="4133" w:type="dxa"/>
          </w:tcPr>
          <w:p w14:paraId="4E420331" w14:textId="49693948" w:rsidR="000E1E6E" w:rsidRPr="009A7E6C" w:rsidRDefault="00C341B0" w:rsidP="00712346">
            <w:pPr>
              <w:rPr>
                <w:rFonts w:asciiTheme="minorHAnsi" w:hAnsiTheme="minorHAnsi" w:cstheme="minorHAnsi"/>
                <w:sz w:val="22"/>
                <w:szCs w:val="22"/>
                <w:lang w:val="mk-MK"/>
              </w:rPr>
            </w:pPr>
            <w:r w:rsidRPr="00C341B0">
              <w:rPr>
                <w:rFonts w:asciiTheme="minorHAnsi" w:hAnsiTheme="minorHAnsi" w:cstheme="minorHAnsi"/>
                <w:b/>
                <w:bCs/>
                <w:sz w:val="22"/>
                <w:szCs w:val="22"/>
                <w:lang w:val="mk-MK"/>
              </w:rPr>
              <w:t>Outgoing capital transactions based on ENFORCEABLE DOCUMENTS</w:t>
            </w:r>
          </w:p>
        </w:tc>
        <w:tc>
          <w:tcPr>
            <w:tcW w:w="5294" w:type="dxa"/>
            <w:shd w:val="clear" w:color="auto" w:fill="auto"/>
          </w:tcPr>
          <w:p w14:paraId="55815A8C" w14:textId="77777777" w:rsidR="000E1E6E" w:rsidRPr="009A7E6C" w:rsidRDefault="000E1E6E" w:rsidP="00712346">
            <w:pPr>
              <w:ind w:left="-108"/>
              <w:rPr>
                <w:rFonts w:asciiTheme="minorHAnsi" w:hAnsiTheme="minorHAnsi" w:cstheme="minorHAnsi"/>
                <w:sz w:val="22"/>
                <w:szCs w:val="22"/>
                <w:lang w:val="mk-MK"/>
              </w:rPr>
            </w:pPr>
          </w:p>
        </w:tc>
      </w:tr>
      <w:tr w:rsidR="000E1E6E" w:rsidRPr="009A7E6C" w14:paraId="12551B7A" w14:textId="77777777" w:rsidTr="009B5025">
        <w:trPr>
          <w:trHeight w:val="510"/>
        </w:trPr>
        <w:tc>
          <w:tcPr>
            <w:tcW w:w="851" w:type="dxa"/>
          </w:tcPr>
          <w:p w14:paraId="45108582" w14:textId="77777777" w:rsidR="000E1E6E" w:rsidRPr="009A7E6C" w:rsidRDefault="000E1E6E" w:rsidP="00712346">
            <w:pPr>
              <w:rPr>
                <w:rFonts w:asciiTheme="minorHAnsi" w:hAnsiTheme="minorHAnsi" w:cstheme="minorHAnsi"/>
                <w:sz w:val="22"/>
                <w:szCs w:val="22"/>
                <w:lang w:val="mk-MK"/>
              </w:rPr>
            </w:pPr>
          </w:p>
        </w:tc>
        <w:tc>
          <w:tcPr>
            <w:tcW w:w="4133" w:type="dxa"/>
          </w:tcPr>
          <w:p w14:paraId="25DEA744" w14:textId="396D379F" w:rsidR="000E1E6E" w:rsidRPr="009A7E6C" w:rsidRDefault="000E1E6E" w:rsidP="00712346">
            <w:pPr>
              <w:rPr>
                <w:rFonts w:asciiTheme="minorHAnsi" w:hAnsiTheme="minorHAnsi" w:cstheme="minorHAnsi"/>
                <w:sz w:val="22"/>
                <w:szCs w:val="22"/>
                <w:lang w:val="mk-MK"/>
              </w:rPr>
            </w:pPr>
            <w:r>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Payments based on an enforceable title and enforcement of payment based on such document</w:t>
            </w:r>
          </w:p>
        </w:tc>
        <w:tc>
          <w:tcPr>
            <w:tcW w:w="5294" w:type="dxa"/>
            <w:shd w:val="clear" w:color="auto" w:fill="auto"/>
          </w:tcPr>
          <w:p w14:paraId="69C3A9C7" w14:textId="0906D112" w:rsidR="000E1E6E" w:rsidRPr="009A7E6C" w:rsidRDefault="00C341B0" w:rsidP="000E1E6E">
            <w:pPr>
              <w:rPr>
                <w:rFonts w:asciiTheme="minorHAnsi" w:hAnsiTheme="minorHAnsi" w:cstheme="minorHAnsi"/>
                <w:sz w:val="22"/>
                <w:szCs w:val="22"/>
                <w:lang w:val="mk-MK"/>
              </w:rPr>
            </w:pPr>
            <w:r>
              <w:rPr>
                <w:rFonts w:asciiTheme="minorHAnsi" w:hAnsiTheme="minorHAnsi" w:cstheme="minorHAnsi"/>
                <w:sz w:val="22"/>
                <w:szCs w:val="22"/>
                <w:lang w:val="en-US"/>
              </w:rPr>
              <w:t>-</w:t>
            </w:r>
            <w:r w:rsidRPr="00C341B0">
              <w:rPr>
                <w:rFonts w:asciiTheme="minorHAnsi" w:hAnsiTheme="minorHAnsi" w:cstheme="minorHAnsi"/>
                <w:sz w:val="22"/>
                <w:szCs w:val="22"/>
                <w:lang w:val="mk-MK"/>
              </w:rPr>
              <w:t>Proof from a competent authority confirming that legal tax and contribution obligations to the state have been settled, if such proof is required for the underlying activity</w:t>
            </w:r>
          </w:p>
        </w:tc>
      </w:tr>
      <w:tr w:rsidR="00712346" w:rsidRPr="009A7E6C" w14:paraId="77D7EE1E" w14:textId="77777777" w:rsidTr="009B5025">
        <w:trPr>
          <w:trHeight w:val="446"/>
        </w:trPr>
        <w:tc>
          <w:tcPr>
            <w:tcW w:w="851" w:type="dxa"/>
          </w:tcPr>
          <w:p w14:paraId="015C2135" w14:textId="74BF9086" w:rsidR="00712346" w:rsidRPr="009A7E6C" w:rsidRDefault="001A378A" w:rsidP="00712346">
            <w:pPr>
              <w:rPr>
                <w:rFonts w:asciiTheme="minorHAnsi" w:hAnsiTheme="minorHAnsi" w:cstheme="minorHAnsi"/>
                <w:sz w:val="22"/>
                <w:szCs w:val="22"/>
                <w:lang w:val="mk-MK"/>
              </w:rPr>
            </w:pPr>
            <w:r>
              <w:rPr>
                <w:rFonts w:asciiTheme="minorHAnsi" w:hAnsiTheme="minorHAnsi" w:cstheme="minorHAnsi"/>
                <w:b/>
                <w:bCs/>
                <w:sz w:val="22"/>
                <w:szCs w:val="22"/>
                <w:lang w:val="mk-MK"/>
              </w:rPr>
              <w:t>5</w:t>
            </w:r>
            <w:r w:rsidR="00712346" w:rsidRPr="009A7E6C">
              <w:rPr>
                <w:rFonts w:asciiTheme="minorHAnsi" w:hAnsiTheme="minorHAnsi" w:cstheme="minorHAnsi"/>
                <w:b/>
                <w:bCs/>
                <w:sz w:val="22"/>
                <w:szCs w:val="22"/>
                <w:lang w:val="mk-MK"/>
              </w:rPr>
              <w:t>.</w:t>
            </w:r>
          </w:p>
        </w:tc>
        <w:tc>
          <w:tcPr>
            <w:tcW w:w="4133" w:type="dxa"/>
          </w:tcPr>
          <w:p w14:paraId="1D8014A2" w14:textId="6232EBAD" w:rsidR="00712346" w:rsidRPr="009A7E6C" w:rsidRDefault="00C341B0" w:rsidP="001A378A">
            <w:pPr>
              <w:rPr>
                <w:rFonts w:asciiTheme="minorHAnsi" w:hAnsiTheme="minorHAnsi" w:cstheme="minorHAnsi"/>
                <w:sz w:val="22"/>
                <w:szCs w:val="22"/>
                <w:lang w:val="mk-MK"/>
              </w:rPr>
            </w:pPr>
            <w:r w:rsidRPr="00C341B0">
              <w:rPr>
                <w:rFonts w:asciiTheme="minorHAnsi" w:hAnsiTheme="minorHAnsi" w:cstheme="minorHAnsi"/>
                <w:b/>
                <w:bCs/>
                <w:sz w:val="22"/>
                <w:szCs w:val="22"/>
                <w:lang w:val="mk-MK"/>
              </w:rPr>
              <w:t>Outgoing transactions according to amount</w:t>
            </w:r>
          </w:p>
        </w:tc>
        <w:tc>
          <w:tcPr>
            <w:tcW w:w="5294" w:type="dxa"/>
          </w:tcPr>
          <w:p w14:paraId="1CF18069" w14:textId="076FEF1B" w:rsidR="00712346" w:rsidRPr="009A7E6C" w:rsidRDefault="00712346" w:rsidP="00712346">
            <w:pPr>
              <w:jc w:val="both"/>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p>
        </w:tc>
      </w:tr>
      <w:tr w:rsidR="00712346" w:rsidRPr="009A7E6C" w14:paraId="4BABE9E0" w14:textId="77777777" w:rsidTr="009B5025">
        <w:tc>
          <w:tcPr>
            <w:tcW w:w="851" w:type="dxa"/>
          </w:tcPr>
          <w:p w14:paraId="31D6FB05" w14:textId="6C349654" w:rsidR="00712346" w:rsidRPr="009A7E6C" w:rsidRDefault="00712346" w:rsidP="00712346">
            <w:pPr>
              <w:rPr>
                <w:rFonts w:asciiTheme="minorHAnsi" w:hAnsiTheme="minorHAnsi" w:cstheme="minorHAnsi"/>
                <w:b/>
                <w:bCs/>
                <w:sz w:val="22"/>
                <w:szCs w:val="22"/>
                <w:lang w:val="mk-MK"/>
              </w:rPr>
            </w:pPr>
          </w:p>
        </w:tc>
        <w:tc>
          <w:tcPr>
            <w:tcW w:w="4133" w:type="dxa"/>
          </w:tcPr>
          <w:p w14:paraId="1F68CE0D" w14:textId="270A00B9" w:rsidR="00712346" w:rsidRPr="00C57BB6" w:rsidRDefault="00712346" w:rsidP="004D79FF">
            <w:pPr>
              <w:rPr>
                <w:rFonts w:asciiTheme="minorHAnsi" w:hAnsiTheme="minorHAnsi" w:cstheme="minorHAnsi"/>
                <w:b/>
                <w:bCs/>
                <w:sz w:val="22"/>
                <w:szCs w:val="22"/>
                <w:lang w:val="mk-MK"/>
              </w:rPr>
            </w:pPr>
            <w:r w:rsidRPr="00C57BB6">
              <w:rPr>
                <w:rFonts w:asciiTheme="minorHAnsi" w:hAnsiTheme="minorHAnsi" w:cstheme="minorHAnsi"/>
                <w:sz w:val="22"/>
                <w:szCs w:val="22"/>
                <w:lang w:val="mk-MK"/>
              </w:rPr>
              <w:t>-</w:t>
            </w:r>
            <w:r w:rsidR="00C341B0">
              <w:t xml:space="preserve"> </w:t>
            </w:r>
            <w:r w:rsidR="00C341B0" w:rsidRPr="00C341B0">
              <w:rPr>
                <w:rFonts w:asciiTheme="minorHAnsi" w:hAnsiTheme="minorHAnsi" w:cstheme="minorHAnsi"/>
                <w:sz w:val="22"/>
                <w:szCs w:val="22"/>
                <w:lang w:val="mk-MK"/>
              </w:rPr>
              <w:t>Outgoing payment transactions by resident individuals in amounts equal to or exceeding EUR 50,000</w:t>
            </w:r>
          </w:p>
        </w:tc>
        <w:tc>
          <w:tcPr>
            <w:tcW w:w="5294" w:type="dxa"/>
          </w:tcPr>
          <w:p w14:paraId="73D84A6B" w14:textId="7914AF56" w:rsidR="00712346" w:rsidRPr="009A7E6C" w:rsidRDefault="00C341B0" w:rsidP="00712346">
            <w:pPr>
              <w:rPr>
                <w:rFonts w:asciiTheme="minorHAnsi" w:hAnsiTheme="minorHAnsi" w:cstheme="minorHAnsi"/>
                <w:sz w:val="22"/>
                <w:szCs w:val="22"/>
                <w:lang w:val="mk-MK"/>
              </w:rPr>
            </w:pPr>
            <w:r>
              <w:rPr>
                <w:rFonts w:asciiTheme="minorHAnsi" w:hAnsiTheme="minorHAnsi" w:cstheme="minorHAnsi"/>
                <w:sz w:val="22"/>
                <w:szCs w:val="22"/>
                <w:lang w:val="en-US"/>
              </w:rPr>
              <w:t>-</w:t>
            </w:r>
            <w:r w:rsidRPr="00C341B0">
              <w:rPr>
                <w:rFonts w:asciiTheme="minorHAnsi" w:hAnsiTheme="minorHAnsi" w:cstheme="minorHAnsi"/>
                <w:sz w:val="22"/>
                <w:szCs w:val="22"/>
                <w:lang w:val="mk-MK"/>
              </w:rPr>
              <w:t>Additional documents as requested by the Bank</w:t>
            </w:r>
          </w:p>
        </w:tc>
      </w:tr>
      <w:tr w:rsidR="001A378A" w:rsidRPr="009A7E6C" w14:paraId="39C5F023" w14:textId="77777777" w:rsidTr="009B5025">
        <w:tc>
          <w:tcPr>
            <w:tcW w:w="851" w:type="dxa"/>
          </w:tcPr>
          <w:p w14:paraId="2689C3EE" w14:textId="64ACBD66" w:rsidR="001A378A" w:rsidRPr="009A7E6C" w:rsidRDefault="001A378A" w:rsidP="001A378A">
            <w:pPr>
              <w:rPr>
                <w:rFonts w:asciiTheme="minorHAnsi" w:hAnsiTheme="minorHAnsi" w:cstheme="minorHAnsi"/>
                <w:b/>
                <w:bCs/>
                <w:sz w:val="22"/>
                <w:szCs w:val="22"/>
                <w:lang w:val="mk-MK"/>
              </w:rPr>
            </w:pPr>
            <w:r>
              <w:rPr>
                <w:rFonts w:asciiTheme="minorHAnsi" w:hAnsiTheme="minorHAnsi" w:cstheme="minorHAnsi"/>
                <w:b/>
                <w:bCs/>
                <w:sz w:val="22"/>
                <w:szCs w:val="22"/>
                <w:lang w:val="mk-MK"/>
              </w:rPr>
              <w:t>6</w:t>
            </w:r>
            <w:r w:rsidRPr="009A7E6C">
              <w:rPr>
                <w:rFonts w:asciiTheme="minorHAnsi" w:hAnsiTheme="minorHAnsi" w:cstheme="minorHAnsi"/>
                <w:b/>
                <w:bCs/>
                <w:sz w:val="22"/>
                <w:szCs w:val="22"/>
                <w:lang w:val="mk-MK"/>
              </w:rPr>
              <w:t>.</w:t>
            </w:r>
          </w:p>
        </w:tc>
        <w:tc>
          <w:tcPr>
            <w:tcW w:w="4133" w:type="dxa"/>
          </w:tcPr>
          <w:p w14:paraId="0E2E4E6A" w14:textId="567BC707" w:rsidR="001A378A" w:rsidRPr="00C57BB6" w:rsidRDefault="00C341B0" w:rsidP="001A378A">
            <w:pPr>
              <w:rPr>
                <w:rFonts w:asciiTheme="minorHAnsi" w:hAnsiTheme="minorHAnsi" w:cstheme="minorHAnsi"/>
                <w:sz w:val="22"/>
                <w:szCs w:val="22"/>
                <w:lang w:val="mk-MK"/>
              </w:rPr>
            </w:pPr>
            <w:r w:rsidRPr="00C341B0">
              <w:rPr>
                <w:rFonts w:asciiTheme="minorHAnsi" w:hAnsiTheme="minorHAnsi" w:cstheme="minorHAnsi"/>
                <w:b/>
                <w:bCs/>
                <w:sz w:val="22"/>
                <w:szCs w:val="22"/>
                <w:lang w:val="mk-MK"/>
              </w:rPr>
              <w:t>Outgoing transactions to own account abroad</w:t>
            </w:r>
          </w:p>
        </w:tc>
        <w:tc>
          <w:tcPr>
            <w:tcW w:w="5294" w:type="dxa"/>
          </w:tcPr>
          <w:p w14:paraId="218300E4" w14:textId="77777777" w:rsidR="001A378A" w:rsidRPr="009A7E6C" w:rsidRDefault="001A378A" w:rsidP="001A378A">
            <w:pPr>
              <w:rPr>
                <w:rFonts w:asciiTheme="minorHAnsi" w:hAnsiTheme="minorHAnsi" w:cstheme="minorHAnsi"/>
                <w:sz w:val="22"/>
                <w:szCs w:val="22"/>
                <w:lang w:val="mk-MK"/>
              </w:rPr>
            </w:pPr>
          </w:p>
        </w:tc>
      </w:tr>
      <w:tr w:rsidR="00B35302" w:rsidRPr="009A7E6C" w14:paraId="3AD0D8FA" w14:textId="77777777" w:rsidTr="009B5025">
        <w:tc>
          <w:tcPr>
            <w:tcW w:w="851" w:type="dxa"/>
          </w:tcPr>
          <w:p w14:paraId="757C239D" w14:textId="77777777" w:rsidR="00B35302" w:rsidRDefault="00B35302" w:rsidP="001A378A">
            <w:pPr>
              <w:rPr>
                <w:rFonts w:asciiTheme="minorHAnsi" w:hAnsiTheme="minorHAnsi" w:cstheme="minorHAnsi"/>
                <w:b/>
                <w:bCs/>
                <w:sz w:val="22"/>
                <w:szCs w:val="22"/>
                <w:lang w:val="mk-MK"/>
              </w:rPr>
            </w:pPr>
          </w:p>
        </w:tc>
        <w:tc>
          <w:tcPr>
            <w:tcW w:w="4133" w:type="dxa"/>
          </w:tcPr>
          <w:p w14:paraId="366F4701" w14:textId="09B5E0C7" w:rsidR="00B35302" w:rsidRPr="00B35302" w:rsidRDefault="00B35302" w:rsidP="001A378A">
            <w:pPr>
              <w:rPr>
                <w:rFonts w:asciiTheme="minorHAnsi" w:hAnsiTheme="minorHAnsi" w:cstheme="minorHAnsi"/>
                <w:sz w:val="22"/>
                <w:szCs w:val="22"/>
                <w:lang w:val="mk-MK"/>
              </w:rPr>
            </w:pPr>
            <w:r w:rsidRPr="00B35302">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rPr>
              <w:t>Transfer of funds from a domestic payment account to the resident's own account abroad</w:t>
            </w:r>
          </w:p>
        </w:tc>
        <w:tc>
          <w:tcPr>
            <w:tcW w:w="5294" w:type="dxa"/>
          </w:tcPr>
          <w:p w14:paraId="6603CCB3" w14:textId="5D865889" w:rsidR="00B35302" w:rsidRPr="009A7E6C" w:rsidRDefault="00C341B0" w:rsidP="001A378A">
            <w:pPr>
              <w:rPr>
                <w:rFonts w:asciiTheme="minorHAnsi" w:hAnsiTheme="minorHAnsi" w:cstheme="minorHAnsi"/>
                <w:sz w:val="22"/>
                <w:szCs w:val="22"/>
                <w:lang w:val="mk-MK"/>
              </w:rPr>
            </w:pPr>
            <w:r w:rsidRPr="00C341B0">
              <w:rPr>
                <w:rFonts w:asciiTheme="minorHAnsi" w:hAnsiTheme="minorHAnsi" w:cstheme="minorHAnsi"/>
                <w:sz w:val="22"/>
                <w:szCs w:val="22"/>
                <w:lang w:val="mk-MK"/>
              </w:rPr>
              <w:t>- Document in accordance with the Decision on the manner and conditions under which residents who are not authorized banks may open and hold accounts abroad*</w:t>
            </w:r>
          </w:p>
        </w:tc>
      </w:tr>
      <w:tr w:rsidR="004D79FF" w:rsidRPr="009A7E6C" w14:paraId="0BF6811A" w14:textId="77777777" w:rsidTr="009B5025">
        <w:tc>
          <w:tcPr>
            <w:tcW w:w="851" w:type="dxa"/>
          </w:tcPr>
          <w:p w14:paraId="1B6607AA" w14:textId="77777777" w:rsidR="004D79FF" w:rsidRDefault="004D79FF" w:rsidP="004D79FF">
            <w:pPr>
              <w:rPr>
                <w:rFonts w:asciiTheme="minorHAnsi" w:hAnsiTheme="minorHAnsi" w:cstheme="minorHAnsi"/>
                <w:b/>
                <w:bCs/>
                <w:sz w:val="22"/>
                <w:szCs w:val="22"/>
                <w:lang w:val="mk-MK"/>
              </w:rPr>
            </w:pPr>
          </w:p>
        </w:tc>
        <w:tc>
          <w:tcPr>
            <w:tcW w:w="4133" w:type="dxa"/>
          </w:tcPr>
          <w:p w14:paraId="3440C68C" w14:textId="65966A4C" w:rsidR="004D79FF" w:rsidRDefault="002B5256" w:rsidP="002B5256">
            <w:pPr>
              <w:rPr>
                <w:rFonts w:asciiTheme="minorHAnsi" w:hAnsiTheme="minorHAnsi" w:cstheme="minorHAnsi"/>
                <w:b/>
                <w:bCs/>
                <w:sz w:val="22"/>
                <w:szCs w:val="22"/>
                <w:lang w:val="mk-MK"/>
              </w:rPr>
            </w:pPr>
            <w:r>
              <w:rPr>
                <w:rFonts w:asciiTheme="minorHAnsi" w:hAnsiTheme="minorHAnsi" w:cstheme="minorHAnsi"/>
                <w:b/>
                <w:bCs/>
                <w:sz w:val="22"/>
                <w:szCs w:val="22"/>
                <w:lang w:val="mk-MK"/>
              </w:rPr>
              <w:t xml:space="preserve">- </w:t>
            </w:r>
            <w:r w:rsidR="00C341B0" w:rsidRPr="00C341B0">
              <w:rPr>
                <w:rFonts w:asciiTheme="minorHAnsi" w:hAnsiTheme="minorHAnsi" w:cstheme="minorHAnsi"/>
                <w:sz w:val="22"/>
                <w:szCs w:val="22"/>
                <w:lang w:val="mk-MK"/>
              </w:rPr>
              <w:t>Resident individuals temporarily residing abroad for 6 months or more</w:t>
            </w:r>
          </w:p>
        </w:tc>
        <w:tc>
          <w:tcPr>
            <w:tcW w:w="5294" w:type="dxa"/>
          </w:tcPr>
          <w:p w14:paraId="340DAEC5" w14:textId="7FAEE9B3" w:rsidR="004D79FF" w:rsidRPr="00CB5D92" w:rsidRDefault="002B5256" w:rsidP="002B5256">
            <w:pPr>
              <w:rPr>
                <w:rFonts w:asciiTheme="minorHAnsi" w:hAnsiTheme="minorHAnsi" w:cstheme="minorHAnsi"/>
                <w:sz w:val="22"/>
                <w:szCs w:val="22"/>
                <w:lang w:val="en-US"/>
              </w:rPr>
            </w:pPr>
            <w:r>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Valid residence permit/document proving a stay abroad for 6+ months, issued by a competent foreign authority</w:t>
            </w:r>
          </w:p>
        </w:tc>
      </w:tr>
      <w:tr w:rsidR="004D79FF" w:rsidRPr="009A7E6C" w14:paraId="240B1B0F" w14:textId="77777777" w:rsidTr="009B5025">
        <w:tc>
          <w:tcPr>
            <w:tcW w:w="851" w:type="dxa"/>
          </w:tcPr>
          <w:p w14:paraId="461C352B" w14:textId="77777777" w:rsidR="004D79FF" w:rsidRDefault="004D79FF" w:rsidP="004D79FF">
            <w:pPr>
              <w:rPr>
                <w:rFonts w:asciiTheme="minorHAnsi" w:hAnsiTheme="minorHAnsi" w:cstheme="minorHAnsi"/>
                <w:b/>
                <w:bCs/>
                <w:sz w:val="22"/>
                <w:szCs w:val="22"/>
                <w:lang w:val="mk-MK"/>
              </w:rPr>
            </w:pPr>
          </w:p>
        </w:tc>
        <w:tc>
          <w:tcPr>
            <w:tcW w:w="4133" w:type="dxa"/>
          </w:tcPr>
          <w:p w14:paraId="43309501" w14:textId="5E559E89" w:rsidR="004D79FF" w:rsidRPr="009A7E6C" w:rsidRDefault="002B5256" w:rsidP="002B5256">
            <w:pPr>
              <w:rPr>
                <w:rFonts w:asciiTheme="minorHAnsi" w:hAnsiTheme="minorHAnsi" w:cstheme="minorHAnsi"/>
                <w:sz w:val="22"/>
                <w:szCs w:val="22"/>
                <w:lang w:val="mk-MK"/>
              </w:rPr>
            </w:pPr>
            <w:r>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Resident individuals holding a valid foreign travel document containing address abroad</w:t>
            </w:r>
          </w:p>
        </w:tc>
        <w:tc>
          <w:tcPr>
            <w:tcW w:w="5294" w:type="dxa"/>
          </w:tcPr>
          <w:p w14:paraId="39D10DCC" w14:textId="5071A895" w:rsidR="004D79FF" w:rsidRPr="004D79FF" w:rsidRDefault="002B5256" w:rsidP="002B5256">
            <w:pPr>
              <w:rPr>
                <w:rFonts w:asciiTheme="minorHAnsi" w:hAnsiTheme="minorHAnsi" w:cstheme="minorHAnsi"/>
                <w:sz w:val="22"/>
                <w:szCs w:val="22"/>
                <w:lang w:val="mk-MK"/>
              </w:rPr>
            </w:pPr>
            <w:r>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The foreign account must be opened in the country where the travel document was issued and may only be used for cross-border transfers</w:t>
            </w:r>
          </w:p>
        </w:tc>
      </w:tr>
      <w:tr w:rsidR="004D79FF" w:rsidRPr="009A7E6C" w14:paraId="519B4812" w14:textId="77777777" w:rsidTr="00A05765">
        <w:tc>
          <w:tcPr>
            <w:tcW w:w="851" w:type="dxa"/>
          </w:tcPr>
          <w:p w14:paraId="799A493A" w14:textId="77777777" w:rsidR="004D79FF" w:rsidRPr="009A7E6C" w:rsidRDefault="004D79FF" w:rsidP="004D79FF">
            <w:pPr>
              <w:rPr>
                <w:rFonts w:asciiTheme="minorHAnsi" w:hAnsiTheme="minorHAnsi" w:cstheme="minorHAnsi"/>
                <w:b/>
                <w:bCs/>
                <w:sz w:val="22"/>
                <w:szCs w:val="22"/>
                <w:lang w:val="mk-MK"/>
              </w:rPr>
            </w:pPr>
          </w:p>
        </w:tc>
        <w:tc>
          <w:tcPr>
            <w:tcW w:w="4133" w:type="dxa"/>
          </w:tcPr>
          <w:p w14:paraId="2EF82018" w14:textId="2C39EF31" w:rsidR="004D79FF" w:rsidRPr="00C57BB6" w:rsidRDefault="004D79FF" w:rsidP="006C5CC0">
            <w:pPr>
              <w:rPr>
                <w:rFonts w:asciiTheme="minorHAnsi" w:hAnsiTheme="minorHAnsi" w:cstheme="minorHAnsi"/>
                <w:sz w:val="22"/>
                <w:szCs w:val="22"/>
                <w:lang w:val="mk-MK"/>
              </w:rPr>
            </w:pPr>
            <w:r w:rsidRPr="009A7E6C">
              <w:rPr>
                <w:rFonts w:asciiTheme="minorHAnsi" w:hAnsiTheme="minorHAnsi" w:cstheme="minorHAnsi"/>
                <w:sz w:val="22"/>
                <w:szCs w:val="22"/>
                <w:lang w:val="mk-MK"/>
              </w:rPr>
              <w:t xml:space="preserve">-  </w:t>
            </w:r>
            <w:r w:rsidR="00C341B0" w:rsidRPr="00C341B0">
              <w:rPr>
                <w:rFonts w:asciiTheme="minorHAnsi" w:hAnsiTheme="minorHAnsi" w:cstheme="minorHAnsi"/>
                <w:sz w:val="22"/>
                <w:szCs w:val="22"/>
                <w:lang w:val="mk-MK"/>
              </w:rPr>
              <w:t>Residents who own real estate abroad and are paying related costs</w:t>
            </w:r>
          </w:p>
        </w:tc>
        <w:tc>
          <w:tcPr>
            <w:tcW w:w="5294" w:type="dxa"/>
            <w:shd w:val="clear" w:color="auto" w:fill="auto"/>
          </w:tcPr>
          <w:p w14:paraId="1958CB6F" w14:textId="1CCA48ED" w:rsidR="00C341B0" w:rsidRPr="00C341B0" w:rsidRDefault="006C5CC0" w:rsidP="00C341B0">
            <w:pPr>
              <w:rPr>
                <w:rFonts w:asciiTheme="minorHAnsi" w:hAnsiTheme="minorHAnsi" w:cstheme="minorHAnsi"/>
                <w:sz w:val="22"/>
                <w:szCs w:val="22"/>
                <w:lang w:val="mk-MK"/>
              </w:rPr>
            </w:pPr>
            <w:r>
              <w:rPr>
                <w:rFonts w:asciiTheme="minorHAnsi" w:hAnsiTheme="minorHAnsi" w:cstheme="minorHAnsi"/>
                <w:sz w:val="22"/>
                <w:szCs w:val="22"/>
                <w:lang w:val="mk-MK"/>
              </w:rPr>
              <w:t>-</w:t>
            </w:r>
            <w:r w:rsidR="00C341B0">
              <w:t xml:space="preserve"> </w:t>
            </w:r>
            <w:r w:rsidR="00C341B0" w:rsidRPr="00C341B0">
              <w:rPr>
                <w:rFonts w:asciiTheme="minorHAnsi" w:hAnsiTheme="minorHAnsi" w:cstheme="minorHAnsi"/>
                <w:sz w:val="22"/>
                <w:szCs w:val="22"/>
                <w:lang w:val="mk-MK"/>
              </w:rPr>
              <w:t>Proof of registration in the Foreign Real Estate Investment Register at the Central Registry</w:t>
            </w:r>
          </w:p>
          <w:p w14:paraId="7E811BB1" w14:textId="77777777" w:rsidR="00C341B0" w:rsidRPr="00C341B0" w:rsidRDefault="00C341B0" w:rsidP="00C341B0">
            <w:pPr>
              <w:rPr>
                <w:rFonts w:asciiTheme="minorHAnsi" w:hAnsiTheme="minorHAnsi" w:cstheme="minorHAnsi"/>
                <w:sz w:val="22"/>
                <w:szCs w:val="22"/>
                <w:lang w:val="mk-MK"/>
              </w:rPr>
            </w:pPr>
            <w:r w:rsidRPr="00C341B0">
              <w:rPr>
                <w:rFonts w:asciiTheme="minorHAnsi" w:hAnsiTheme="minorHAnsi" w:cstheme="minorHAnsi"/>
                <w:sz w:val="22"/>
                <w:szCs w:val="22"/>
                <w:lang w:val="mk-MK"/>
              </w:rPr>
              <w:t>- Valid documents confirming the obligation to pay the related costs (e.g., invoices, contracts)</w:t>
            </w:r>
          </w:p>
          <w:p w14:paraId="7FF41374" w14:textId="0C7EA57E" w:rsidR="004D79FF" w:rsidRPr="009A7E6C" w:rsidRDefault="00C341B0" w:rsidP="00C341B0">
            <w:pPr>
              <w:rPr>
                <w:rFonts w:asciiTheme="minorHAnsi" w:hAnsiTheme="minorHAnsi" w:cstheme="minorHAnsi"/>
                <w:sz w:val="22"/>
                <w:szCs w:val="22"/>
                <w:lang w:val="mk-MK"/>
              </w:rPr>
            </w:pPr>
            <w:r w:rsidRPr="00C341B0">
              <w:rPr>
                <w:rFonts w:asciiTheme="minorHAnsi" w:hAnsiTheme="minorHAnsi" w:cstheme="minorHAnsi"/>
                <w:sz w:val="22"/>
                <w:szCs w:val="22"/>
                <w:lang w:val="mk-MK"/>
              </w:rPr>
              <w:lastRenderedPageBreak/>
              <w:t>- The foreign account must be opened in the country where the property is located and may only be used for payments up to the amount of such costs</w:t>
            </w:r>
            <w:r>
              <w:rPr>
                <w:rFonts w:asciiTheme="minorHAnsi" w:hAnsiTheme="minorHAnsi" w:cstheme="minorHAnsi"/>
                <w:sz w:val="22"/>
                <w:szCs w:val="22"/>
                <w:lang w:val="en-US"/>
              </w:rPr>
              <w:t xml:space="preserve"> </w:t>
            </w:r>
          </w:p>
        </w:tc>
      </w:tr>
      <w:tr w:rsidR="00323BEB" w:rsidRPr="009A7E6C" w14:paraId="19451363" w14:textId="77777777" w:rsidTr="00A05765">
        <w:tc>
          <w:tcPr>
            <w:tcW w:w="851" w:type="dxa"/>
          </w:tcPr>
          <w:p w14:paraId="3453BF68" w14:textId="77777777" w:rsidR="00323BEB" w:rsidRPr="009A7E6C" w:rsidRDefault="00323BEB" w:rsidP="004D79FF">
            <w:pPr>
              <w:rPr>
                <w:rFonts w:asciiTheme="minorHAnsi" w:hAnsiTheme="minorHAnsi" w:cstheme="minorHAnsi"/>
                <w:b/>
                <w:bCs/>
                <w:sz w:val="22"/>
                <w:szCs w:val="22"/>
                <w:lang w:val="mk-MK"/>
              </w:rPr>
            </w:pPr>
          </w:p>
        </w:tc>
        <w:tc>
          <w:tcPr>
            <w:tcW w:w="4133" w:type="dxa"/>
          </w:tcPr>
          <w:p w14:paraId="0BE2CE0E" w14:textId="54968F4D" w:rsidR="00323BEB" w:rsidRPr="00A53683" w:rsidRDefault="00CB5D92" w:rsidP="00CB5D92">
            <w:pPr>
              <w:rPr>
                <w:rFonts w:asciiTheme="minorHAnsi" w:hAnsiTheme="minorHAnsi" w:cstheme="minorHAnsi"/>
                <w:sz w:val="22"/>
                <w:szCs w:val="22"/>
                <w:lang w:val="en-US"/>
              </w:rPr>
            </w:pPr>
            <w:r>
              <w:rPr>
                <w:rFonts w:asciiTheme="minorHAnsi" w:hAnsiTheme="minorHAnsi" w:cstheme="minorHAnsi"/>
                <w:sz w:val="22"/>
                <w:szCs w:val="22"/>
                <w:lang w:val="en-US"/>
              </w:rPr>
              <w:t>-</w:t>
            </w:r>
            <w:r w:rsidR="00C341B0">
              <w:t xml:space="preserve"> </w:t>
            </w:r>
            <w:r w:rsidR="00C341B0" w:rsidRPr="00C341B0">
              <w:rPr>
                <w:rFonts w:asciiTheme="minorHAnsi" w:hAnsiTheme="minorHAnsi" w:cstheme="minorHAnsi"/>
                <w:sz w:val="22"/>
                <w:szCs w:val="22"/>
                <w:lang w:val="mk-MK"/>
              </w:rPr>
              <w:t>Residents with an obligation to pay for the purchase of foreign securities</w:t>
            </w:r>
          </w:p>
        </w:tc>
        <w:tc>
          <w:tcPr>
            <w:tcW w:w="5294" w:type="dxa"/>
            <w:shd w:val="clear" w:color="auto" w:fill="auto"/>
          </w:tcPr>
          <w:p w14:paraId="15EDAA05" w14:textId="10153F0E" w:rsidR="002B75FB" w:rsidRPr="002B75FB" w:rsidRDefault="00CB5D92" w:rsidP="002B75FB">
            <w:pPr>
              <w:rPr>
                <w:rFonts w:asciiTheme="minorHAnsi" w:hAnsiTheme="minorHAnsi" w:cstheme="minorHAnsi"/>
                <w:sz w:val="22"/>
                <w:szCs w:val="22"/>
              </w:rPr>
            </w:pPr>
            <w:r>
              <w:rPr>
                <w:rFonts w:asciiTheme="minorHAnsi" w:hAnsiTheme="minorHAnsi" w:cstheme="minorHAnsi"/>
                <w:sz w:val="22"/>
                <w:szCs w:val="22"/>
                <w:lang w:val="en-US"/>
              </w:rPr>
              <w:t>-</w:t>
            </w:r>
            <w:r w:rsidR="002B75FB">
              <w:t xml:space="preserve"> </w:t>
            </w:r>
            <w:r w:rsidR="002B75FB" w:rsidRPr="002B75FB">
              <w:rPr>
                <w:rFonts w:asciiTheme="minorHAnsi" w:hAnsiTheme="minorHAnsi" w:cstheme="minorHAnsi"/>
                <w:sz w:val="22"/>
                <w:szCs w:val="22"/>
              </w:rPr>
              <w:t>Order for transaction execution, transaction report, contract, or document confirming the transaction</w:t>
            </w:r>
          </w:p>
          <w:p w14:paraId="59A0463A" w14:textId="77777777" w:rsidR="002B75FB" w:rsidRPr="002B75FB" w:rsidRDefault="002B75FB" w:rsidP="002B75FB">
            <w:pPr>
              <w:rPr>
                <w:rFonts w:asciiTheme="minorHAnsi" w:hAnsiTheme="minorHAnsi" w:cstheme="minorHAnsi"/>
                <w:sz w:val="22"/>
                <w:szCs w:val="22"/>
              </w:rPr>
            </w:pPr>
            <w:r w:rsidRPr="002B75FB">
              <w:rPr>
                <w:rFonts w:asciiTheme="minorHAnsi" w:hAnsiTheme="minorHAnsi" w:cstheme="minorHAnsi"/>
                <w:sz w:val="22"/>
                <w:szCs w:val="22"/>
              </w:rPr>
              <w:t>- Document proving a business relationship between the resident and a licensed foreign exchange participant or organized market</w:t>
            </w:r>
          </w:p>
          <w:p w14:paraId="17079753" w14:textId="74B2F2B0" w:rsidR="00323BEB" w:rsidRPr="00CB5D92" w:rsidRDefault="002B75FB" w:rsidP="002B75FB">
            <w:pPr>
              <w:rPr>
                <w:rFonts w:asciiTheme="minorHAnsi" w:hAnsiTheme="minorHAnsi" w:cstheme="minorHAnsi"/>
                <w:sz w:val="22"/>
                <w:szCs w:val="22"/>
                <w:lang w:val="en-US"/>
              </w:rPr>
            </w:pPr>
            <w:r w:rsidRPr="002B75FB">
              <w:rPr>
                <w:rFonts w:asciiTheme="minorHAnsi" w:hAnsiTheme="minorHAnsi" w:cstheme="minorHAnsi"/>
                <w:sz w:val="22"/>
                <w:szCs w:val="22"/>
              </w:rPr>
              <w:t>- Such foreign accounts may only be used for transfers related to foreign securities transactions</w:t>
            </w:r>
          </w:p>
        </w:tc>
      </w:tr>
      <w:tr w:rsidR="00121ED5" w:rsidRPr="009A7E6C" w14:paraId="79AE8C6B" w14:textId="77777777" w:rsidTr="00A05765">
        <w:tc>
          <w:tcPr>
            <w:tcW w:w="851" w:type="dxa"/>
          </w:tcPr>
          <w:p w14:paraId="4570D576" w14:textId="77777777" w:rsidR="00121ED5" w:rsidRPr="009A7E6C" w:rsidRDefault="00121ED5" w:rsidP="004D79FF">
            <w:pPr>
              <w:rPr>
                <w:rFonts w:asciiTheme="minorHAnsi" w:hAnsiTheme="minorHAnsi" w:cstheme="minorHAnsi"/>
                <w:b/>
                <w:bCs/>
                <w:sz w:val="22"/>
                <w:szCs w:val="22"/>
                <w:lang w:val="mk-MK"/>
              </w:rPr>
            </w:pPr>
          </w:p>
        </w:tc>
        <w:tc>
          <w:tcPr>
            <w:tcW w:w="4133" w:type="dxa"/>
          </w:tcPr>
          <w:p w14:paraId="14B9E49D" w14:textId="01DBBEFB" w:rsidR="00121ED5" w:rsidRDefault="00CB5D92" w:rsidP="002B75FB">
            <w:pPr>
              <w:rPr>
                <w:rFonts w:asciiTheme="minorHAnsi" w:hAnsiTheme="minorHAnsi" w:cstheme="minorHAnsi"/>
                <w:sz w:val="22"/>
                <w:szCs w:val="22"/>
                <w:lang w:val="mk-MK"/>
              </w:rPr>
            </w:pPr>
            <w:r>
              <w:rPr>
                <w:rFonts w:asciiTheme="minorHAnsi" w:hAnsiTheme="minorHAnsi" w:cstheme="minorHAnsi"/>
                <w:sz w:val="22"/>
                <w:szCs w:val="22"/>
                <w:lang w:val="en-US"/>
              </w:rPr>
              <w:t>-</w:t>
            </w:r>
            <w:r w:rsidR="002B75FB">
              <w:t xml:space="preserve"> </w:t>
            </w:r>
            <w:r w:rsidR="002B75FB" w:rsidRPr="002B75FB">
              <w:rPr>
                <w:rFonts w:asciiTheme="minorHAnsi" w:hAnsiTheme="minorHAnsi" w:cstheme="minorHAnsi"/>
                <w:sz w:val="22"/>
                <w:szCs w:val="22"/>
                <w:lang w:val="mk-MK"/>
              </w:rPr>
              <w:t>Residents required to pay certain charges to foreign authorities/legal entities (e.g., notary fees, court fees, bank commissions, enforcement costs)</w:t>
            </w:r>
          </w:p>
        </w:tc>
        <w:tc>
          <w:tcPr>
            <w:tcW w:w="5294" w:type="dxa"/>
            <w:shd w:val="clear" w:color="auto" w:fill="auto"/>
          </w:tcPr>
          <w:p w14:paraId="3A841F38" w14:textId="5158E9A1" w:rsidR="00121ED5" w:rsidRDefault="00CB5D92" w:rsidP="00CB5D92">
            <w:pPr>
              <w:rPr>
                <w:rFonts w:asciiTheme="minorHAnsi" w:hAnsiTheme="minorHAnsi" w:cstheme="minorHAnsi"/>
                <w:sz w:val="22"/>
                <w:szCs w:val="22"/>
                <w:lang w:val="mk-MK"/>
              </w:rPr>
            </w:pPr>
            <w:r>
              <w:rPr>
                <w:rFonts w:asciiTheme="minorHAnsi" w:hAnsiTheme="minorHAnsi" w:cstheme="minorHAnsi"/>
                <w:sz w:val="22"/>
                <w:szCs w:val="22"/>
                <w:lang w:val="en-US"/>
              </w:rPr>
              <w:t>-</w:t>
            </w:r>
            <w:r w:rsidR="002B75FB">
              <w:t xml:space="preserve"> </w:t>
            </w:r>
            <w:r w:rsidR="002B75FB" w:rsidRPr="002B75FB">
              <w:rPr>
                <w:rFonts w:asciiTheme="minorHAnsi" w:hAnsiTheme="minorHAnsi" w:cstheme="minorHAnsi"/>
                <w:sz w:val="22"/>
                <w:szCs w:val="22"/>
                <w:lang w:val="mk-MK"/>
              </w:rPr>
              <w:t>Original or certified copy of the document (e.g., from a notary) proving the payment obligation towards a competent foreign authority or legal entity</w:t>
            </w:r>
          </w:p>
        </w:tc>
      </w:tr>
      <w:tr w:rsidR="00E32821" w:rsidRPr="009A7E6C" w14:paraId="71D67436" w14:textId="77777777" w:rsidTr="00A05765">
        <w:tc>
          <w:tcPr>
            <w:tcW w:w="851" w:type="dxa"/>
          </w:tcPr>
          <w:p w14:paraId="324EB0E3" w14:textId="77777777" w:rsidR="00E32821" w:rsidRPr="009A7E6C" w:rsidRDefault="00E32821" w:rsidP="004D79FF">
            <w:pPr>
              <w:rPr>
                <w:rFonts w:asciiTheme="minorHAnsi" w:hAnsiTheme="minorHAnsi" w:cstheme="minorHAnsi"/>
                <w:b/>
                <w:bCs/>
                <w:sz w:val="22"/>
                <w:szCs w:val="22"/>
                <w:lang w:val="mk-MK"/>
              </w:rPr>
            </w:pPr>
          </w:p>
        </w:tc>
        <w:tc>
          <w:tcPr>
            <w:tcW w:w="4133" w:type="dxa"/>
          </w:tcPr>
          <w:p w14:paraId="0FE4D25A" w14:textId="0802FD0D" w:rsidR="00E32821" w:rsidRPr="009A7E6C" w:rsidRDefault="00CB5D92" w:rsidP="00121ED5">
            <w:pPr>
              <w:rPr>
                <w:rFonts w:asciiTheme="minorHAnsi" w:hAnsiTheme="minorHAnsi" w:cstheme="minorHAnsi"/>
                <w:sz w:val="22"/>
                <w:szCs w:val="22"/>
                <w:lang w:val="mk-MK"/>
              </w:rPr>
            </w:pPr>
            <w:r>
              <w:rPr>
                <w:rFonts w:asciiTheme="minorHAnsi" w:hAnsiTheme="minorHAnsi" w:cstheme="minorHAnsi"/>
                <w:sz w:val="22"/>
                <w:szCs w:val="22"/>
                <w:lang w:val="en-US"/>
              </w:rPr>
              <w:t>-</w:t>
            </w:r>
            <w:r w:rsidR="002B75FB" w:rsidRPr="002B75FB">
              <w:t xml:space="preserve"> </w:t>
            </w:r>
            <w:r w:rsidR="002B75FB" w:rsidRPr="002B75FB">
              <w:rPr>
                <w:rFonts w:asciiTheme="minorHAnsi" w:hAnsiTheme="minorHAnsi" w:cstheme="minorHAnsi"/>
                <w:sz w:val="22"/>
                <w:szCs w:val="22"/>
              </w:rPr>
              <w:t>Resident individuals sending funds abroad to meet requirements for obtaining a residence permit for education purposes</w:t>
            </w:r>
          </w:p>
        </w:tc>
        <w:tc>
          <w:tcPr>
            <w:tcW w:w="5294" w:type="dxa"/>
            <w:shd w:val="clear" w:color="auto" w:fill="auto"/>
          </w:tcPr>
          <w:p w14:paraId="50EC4B3B" w14:textId="77777777" w:rsidR="002B75FB" w:rsidRPr="002B75FB" w:rsidRDefault="002B75FB" w:rsidP="002B75FB">
            <w:pPr>
              <w:rPr>
                <w:rFonts w:asciiTheme="minorHAnsi" w:hAnsiTheme="minorHAnsi" w:cstheme="minorHAnsi"/>
                <w:sz w:val="22"/>
                <w:szCs w:val="22"/>
                <w:lang w:val="mk-MK"/>
              </w:rPr>
            </w:pPr>
            <w:r w:rsidRPr="002B75FB">
              <w:rPr>
                <w:rFonts w:asciiTheme="minorHAnsi" w:hAnsiTheme="minorHAnsi" w:cstheme="minorHAnsi"/>
                <w:sz w:val="22"/>
                <w:szCs w:val="22"/>
                <w:lang w:val="mk-MK"/>
              </w:rPr>
              <w:t>Document issued by a competent foreign educational institution, foreign authority, or diplomatic-consular office of the foreign country in North Macedonia, confirming that the resident must open a foreign account and deposit a specific amount prior to issuing a residence permit for education purposes</w:t>
            </w:r>
          </w:p>
          <w:p w14:paraId="58669106" w14:textId="140F0568" w:rsidR="00E32821" w:rsidRDefault="002B75FB" w:rsidP="002B75FB">
            <w:pPr>
              <w:rPr>
                <w:rFonts w:asciiTheme="minorHAnsi" w:hAnsiTheme="minorHAnsi" w:cstheme="minorHAnsi"/>
                <w:sz w:val="22"/>
                <w:szCs w:val="22"/>
                <w:lang w:val="mk-MK"/>
              </w:rPr>
            </w:pPr>
            <w:r w:rsidRPr="002B75FB">
              <w:rPr>
                <w:rFonts w:asciiTheme="minorHAnsi" w:hAnsiTheme="minorHAnsi" w:cstheme="minorHAnsi"/>
                <w:sz w:val="22"/>
                <w:szCs w:val="22"/>
                <w:lang w:val="mk-MK"/>
              </w:rPr>
              <w:t>- The foreign account must be opened in the country where the institution or authority is located and may be used only for transfers related to this purpose</w:t>
            </w:r>
          </w:p>
        </w:tc>
      </w:tr>
      <w:tr w:rsidR="00053B1C" w:rsidRPr="009A7E6C" w14:paraId="3CB4CD1E" w14:textId="77777777" w:rsidTr="00A05765">
        <w:tc>
          <w:tcPr>
            <w:tcW w:w="851" w:type="dxa"/>
          </w:tcPr>
          <w:p w14:paraId="26628959" w14:textId="1C020F44" w:rsidR="00053B1C" w:rsidRPr="009A7E6C" w:rsidRDefault="00053B1C" w:rsidP="004D79FF">
            <w:pPr>
              <w:rPr>
                <w:rFonts w:asciiTheme="minorHAnsi" w:hAnsiTheme="minorHAnsi" w:cstheme="minorHAnsi"/>
                <w:b/>
                <w:bCs/>
                <w:sz w:val="22"/>
                <w:szCs w:val="22"/>
                <w:lang w:val="mk-MK"/>
              </w:rPr>
            </w:pPr>
            <w:r>
              <w:rPr>
                <w:rFonts w:asciiTheme="minorHAnsi" w:hAnsiTheme="minorHAnsi" w:cstheme="minorHAnsi"/>
                <w:b/>
                <w:bCs/>
                <w:sz w:val="22"/>
                <w:szCs w:val="22"/>
                <w:lang w:val="mk-MK"/>
              </w:rPr>
              <w:t>7.</w:t>
            </w:r>
          </w:p>
        </w:tc>
        <w:tc>
          <w:tcPr>
            <w:tcW w:w="4133" w:type="dxa"/>
          </w:tcPr>
          <w:p w14:paraId="2D3BE85C" w14:textId="49242550" w:rsidR="00053B1C" w:rsidRPr="009A365A" w:rsidRDefault="002B75FB" w:rsidP="00CB5D92">
            <w:pPr>
              <w:rPr>
                <w:rFonts w:asciiTheme="minorHAnsi" w:hAnsiTheme="minorHAnsi" w:cstheme="minorHAnsi"/>
                <w:b/>
                <w:bCs/>
                <w:sz w:val="22"/>
                <w:szCs w:val="22"/>
                <w:lang w:val="mk-MK"/>
              </w:rPr>
            </w:pPr>
            <w:r w:rsidRPr="002B75FB">
              <w:rPr>
                <w:rFonts w:asciiTheme="minorHAnsi" w:hAnsiTheme="minorHAnsi" w:cstheme="minorHAnsi"/>
                <w:b/>
                <w:bCs/>
                <w:sz w:val="22"/>
                <w:szCs w:val="22"/>
                <w:lang w:val="mk-MK"/>
              </w:rPr>
              <w:t>Transfers to FOREIGN PAYMENT INSTITUTIONS or ELECTRONIC MONEY INSTITUTIONS</w:t>
            </w:r>
          </w:p>
        </w:tc>
        <w:tc>
          <w:tcPr>
            <w:tcW w:w="5294" w:type="dxa"/>
            <w:shd w:val="clear" w:color="auto" w:fill="auto"/>
          </w:tcPr>
          <w:p w14:paraId="6E4DE0C5" w14:textId="77777777" w:rsidR="00053B1C" w:rsidRPr="00E32821" w:rsidRDefault="00053B1C" w:rsidP="00E32821">
            <w:pPr>
              <w:rPr>
                <w:rFonts w:asciiTheme="minorHAnsi" w:hAnsiTheme="minorHAnsi" w:cstheme="minorHAnsi"/>
                <w:sz w:val="22"/>
                <w:szCs w:val="22"/>
                <w:lang w:val="mk-MK"/>
              </w:rPr>
            </w:pPr>
          </w:p>
        </w:tc>
      </w:tr>
      <w:tr w:rsidR="00E32821" w:rsidRPr="009A7E6C" w14:paraId="6259083F" w14:textId="77777777" w:rsidTr="00A05765">
        <w:tc>
          <w:tcPr>
            <w:tcW w:w="851" w:type="dxa"/>
          </w:tcPr>
          <w:p w14:paraId="4A3DE9FC" w14:textId="77777777" w:rsidR="00E32821" w:rsidRPr="009A7E6C" w:rsidRDefault="00E32821" w:rsidP="004D79FF">
            <w:pPr>
              <w:rPr>
                <w:rFonts w:asciiTheme="minorHAnsi" w:hAnsiTheme="minorHAnsi" w:cstheme="minorHAnsi"/>
                <w:b/>
                <w:bCs/>
                <w:sz w:val="22"/>
                <w:szCs w:val="22"/>
                <w:lang w:val="mk-MK"/>
              </w:rPr>
            </w:pPr>
          </w:p>
        </w:tc>
        <w:tc>
          <w:tcPr>
            <w:tcW w:w="4133" w:type="dxa"/>
          </w:tcPr>
          <w:p w14:paraId="4446460F" w14:textId="75452417" w:rsidR="00E32821" w:rsidRPr="009A7E6C" w:rsidRDefault="00CB5D92" w:rsidP="00CB5D92">
            <w:pPr>
              <w:rPr>
                <w:rFonts w:asciiTheme="minorHAnsi" w:hAnsiTheme="minorHAnsi" w:cstheme="minorHAnsi"/>
                <w:sz w:val="22"/>
                <w:szCs w:val="22"/>
                <w:lang w:val="mk-MK"/>
              </w:rPr>
            </w:pPr>
            <w:r>
              <w:rPr>
                <w:rFonts w:asciiTheme="minorHAnsi" w:hAnsiTheme="minorHAnsi" w:cstheme="minorHAnsi"/>
                <w:sz w:val="22"/>
                <w:szCs w:val="22"/>
                <w:lang w:val="mk-MK"/>
              </w:rPr>
              <w:t>-</w:t>
            </w:r>
            <w:r w:rsidR="002B75FB">
              <w:t xml:space="preserve"> </w:t>
            </w:r>
            <w:r w:rsidR="002B75FB" w:rsidRPr="002B75FB">
              <w:rPr>
                <w:rFonts w:asciiTheme="minorHAnsi" w:hAnsiTheme="minorHAnsi" w:cstheme="minorHAnsi"/>
                <w:sz w:val="22"/>
                <w:szCs w:val="22"/>
              </w:rPr>
              <w:t>Resident individuals may freely open and maintain accounts at foreign payment or e-money institutions only for commercial purposes (e.g., online purchase/sale of goods or services)</w:t>
            </w:r>
          </w:p>
        </w:tc>
        <w:tc>
          <w:tcPr>
            <w:tcW w:w="5294" w:type="dxa"/>
            <w:shd w:val="clear" w:color="auto" w:fill="auto"/>
          </w:tcPr>
          <w:p w14:paraId="6CED0FA4" w14:textId="77777777" w:rsidR="002B75FB" w:rsidRPr="002B75FB" w:rsidRDefault="002B75FB" w:rsidP="002B75FB">
            <w:pPr>
              <w:rPr>
                <w:rFonts w:asciiTheme="minorHAnsi" w:hAnsiTheme="minorHAnsi" w:cstheme="minorHAnsi"/>
                <w:sz w:val="22"/>
                <w:szCs w:val="22"/>
                <w:lang w:val="mk-MK"/>
              </w:rPr>
            </w:pPr>
            <w:r w:rsidRPr="002B75FB">
              <w:rPr>
                <w:rFonts w:asciiTheme="minorHAnsi" w:hAnsiTheme="minorHAnsi" w:cstheme="minorHAnsi"/>
                <w:sz w:val="22"/>
                <w:szCs w:val="22"/>
                <w:lang w:val="mk-MK"/>
              </w:rPr>
              <w:t>Monthly transfers to such accounts must not exceed EUR 2,500 per person</w:t>
            </w:r>
          </w:p>
          <w:p w14:paraId="56FA7B4C" w14:textId="5D7DE61C" w:rsidR="00E32821" w:rsidRDefault="002B75FB" w:rsidP="002B75FB">
            <w:pPr>
              <w:rPr>
                <w:rFonts w:asciiTheme="minorHAnsi" w:hAnsiTheme="minorHAnsi" w:cstheme="minorHAnsi"/>
                <w:sz w:val="22"/>
                <w:szCs w:val="22"/>
                <w:lang w:val="mk-MK"/>
              </w:rPr>
            </w:pPr>
            <w:r w:rsidRPr="002B75FB">
              <w:rPr>
                <w:rFonts w:asciiTheme="minorHAnsi" w:hAnsiTheme="minorHAnsi" w:cstheme="minorHAnsi"/>
                <w:sz w:val="22"/>
                <w:szCs w:val="22"/>
                <w:lang w:val="mk-MK"/>
              </w:rPr>
              <w:t>- If such institutions are also authorized foreign stock exchange participants or organized market members (as per Article 14 of the Law on Foreign Exchange Operations), residents (natural and legal persons) may freely open accounts for securities trading purposes</w:t>
            </w:r>
          </w:p>
        </w:tc>
      </w:tr>
    </w:tbl>
    <w:p w14:paraId="701C42EE" w14:textId="77777777" w:rsidR="00F7793F" w:rsidRDefault="00F7793F" w:rsidP="009B5025">
      <w:pPr>
        <w:ind w:right="-908"/>
        <w:jc w:val="both"/>
        <w:rPr>
          <w:rFonts w:asciiTheme="minorHAnsi" w:hAnsiTheme="minorHAnsi" w:cstheme="minorHAnsi"/>
          <w:b/>
          <w:bCs/>
          <w:sz w:val="22"/>
          <w:szCs w:val="22"/>
          <w:lang w:val="mk-MK"/>
        </w:rPr>
      </w:pPr>
    </w:p>
    <w:p w14:paraId="7E0339A3" w14:textId="664C82BB" w:rsidR="0050679A" w:rsidRDefault="0050679A" w:rsidP="00E32821">
      <w:pPr>
        <w:ind w:right="-908"/>
        <w:jc w:val="both"/>
        <w:rPr>
          <w:rFonts w:asciiTheme="minorHAnsi" w:hAnsiTheme="minorHAnsi" w:cstheme="minorHAnsi"/>
          <w:b/>
          <w:bCs/>
          <w:sz w:val="22"/>
          <w:szCs w:val="22"/>
          <w:lang w:val="mk-MK"/>
        </w:rPr>
      </w:pPr>
      <w:r w:rsidRPr="0050679A">
        <w:rPr>
          <w:rFonts w:asciiTheme="minorHAnsi" w:hAnsiTheme="minorHAnsi" w:cstheme="minorHAnsi"/>
          <w:b/>
          <w:bCs/>
          <w:sz w:val="22"/>
          <w:szCs w:val="22"/>
          <w:lang w:val="mk-MK"/>
        </w:rPr>
        <w:t>*</w:t>
      </w:r>
      <w:r w:rsidR="002B75FB" w:rsidRPr="002B75FB">
        <w:t xml:space="preserve"> </w:t>
      </w:r>
      <w:r w:rsidR="002B75FB" w:rsidRPr="002B75FB">
        <w:rPr>
          <w:rFonts w:asciiTheme="minorHAnsi" w:hAnsiTheme="minorHAnsi" w:cstheme="minorHAnsi"/>
          <w:b/>
          <w:bCs/>
          <w:sz w:val="22"/>
          <w:szCs w:val="22"/>
          <w:lang w:val="mk-MK"/>
        </w:rPr>
        <w:t>For more information, visit:</w:t>
      </w:r>
      <w:r w:rsidR="002B75FB">
        <w:rPr>
          <w:rFonts w:asciiTheme="minorHAnsi" w:hAnsiTheme="minorHAnsi" w:cstheme="minorHAnsi"/>
          <w:b/>
          <w:bCs/>
          <w:sz w:val="22"/>
          <w:szCs w:val="22"/>
          <w:lang w:val="en-US"/>
        </w:rPr>
        <w:t xml:space="preserve"> </w:t>
      </w:r>
      <w:hyperlink r:id="rId7" w:history="1">
        <w:r w:rsidRPr="00E851C1">
          <w:rPr>
            <w:rStyle w:val="Hyperlink"/>
            <w:rFonts w:asciiTheme="minorHAnsi" w:hAnsiTheme="minorHAnsi" w:cstheme="minorHAnsi"/>
            <w:b/>
            <w:bCs/>
            <w:sz w:val="22"/>
            <w:szCs w:val="22"/>
            <w:lang w:val="mk-MK"/>
          </w:rPr>
          <w:t>https://www.nbrm.mk/ns-newsarticle-odluka-za-nacinot-i-uslovite-pod-koi-rezidentite-koisto-ne-se-ovlasteni-banki-mozat-da-otvoraat-i-da-imaat-smetki-vo-stranstvo.nspx</w:t>
        </w:r>
      </w:hyperlink>
    </w:p>
    <w:p w14:paraId="1240338C" w14:textId="77777777" w:rsidR="0050679A" w:rsidRDefault="0050679A" w:rsidP="00E32821">
      <w:pPr>
        <w:ind w:right="-908"/>
        <w:jc w:val="both"/>
        <w:rPr>
          <w:rFonts w:asciiTheme="minorHAnsi" w:hAnsiTheme="minorHAnsi" w:cstheme="minorHAnsi"/>
          <w:b/>
          <w:bCs/>
          <w:sz w:val="22"/>
          <w:szCs w:val="22"/>
          <w:lang w:val="mk-MK"/>
        </w:rPr>
      </w:pPr>
    </w:p>
    <w:p w14:paraId="5CFF05F2" w14:textId="77777777" w:rsidR="0050679A" w:rsidRDefault="0050679A" w:rsidP="00E32821">
      <w:pPr>
        <w:ind w:right="-908"/>
        <w:jc w:val="both"/>
        <w:rPr>
          <w:rFonts w:asciiTheme="minorHAnsi" w:hAnsiTheme="minorHAnsi" w:cstheme="minorHAnsi"/>
          <w:b/>
          <w:bCs/>
          <w:sz w:val="22"/>
          <w:szCs w:val="22"/>
          <w:lang w:val="mk-MK"/>
        </w:rPr>
      </w:pPr>
    </w:p>
    <w:p w14:paraId="753E54DB" w14:textId="0727B160" w:rsidR="002B75FB" w:rsidRPr="002B75FB" w:rsidRDefault="002B75FB" w:rsidP="002B75FB">
      <w:pPr>
        <w:ind w:right="-908"/>
        <w:jc w:val="both"/>
        <w:rPr>
          <w:rFonts w:asciiTheme="minorHAnsi" w:hAnsiTheme="minorHAnsi" w:cstheme="minorHAnsi"/>
          <w:bCs/>
          <w:sz w:val="22"/>
          <w:szCs w:val="22"/>
          <w:lang w:val="mk-MK"/>
        </w:rPr>
      </w:pPr>
      <w:r>
        <w:rPr>
          <w:rFonts w:asciiTheme="minorHAnsi" w:hAnsiTheme="minorHAnsi" w:cstheme="minorHAnsi"/>
          <w:b/>
          <w:bCs/>
          <w:sz w:val="22"/>
          <w:szCs w:val="22"/>
          <w:lang w:val="en-US"/>
        </w:rPr>
        <w:t xml:space="preserve">Note: </w:t>
      </w:r>
      <w:r w:rsidRPr="002B75FB">
        <w:rPr>
          <w:rFonts w:asciiTheme="minorHAnsi" w:hAnsiTheme="minorHAnsi" w:cstheme="minorHAnsi"/>
          <w:bCs/>
          <w:sz w:val="22"/>
          <w:szCs w:val="22"/>
          <w:lang w:val="mk-MK"/>
        </w:rPr>
        <w:t xml:space="preserve">Countries that are part of the Single Euro Payments Area (SEPA) </w:t>
      </w:r>
      <w:proofErr w:type="gramStart"/>
      <w:r w:rsidRPr="002B75FB">
        <w:rPr>
          <w:rFonts w:asciiTheme="minorHAnsi" w:hAnsiTheme="minorHAnsi" w:cstheme="minorHAnsi"/>
          <w:bCs/>
          <w:sz w:val="22"/>
          <w:szCs w:val="22"/>
          <w:lang w:val="mk-MK"/>
        </w:rPr>
        <w:t>are treated</w:t>
      </w:r>
      <w:proofErr w:type="gramEnd"/>
      <w:r w:rsidRPr="002B75FB">
        <w:rPr>
          <w:rFonts w:asciiTheme="minorHAnsi" w:hAnsiTheme="minorHAnsi" w:cstheme="minorHAnsi"/>
          <w:bCs/>
          <w:sz w:val="22"/>
          <w:szCs w:val="22"/>
          <w:lang w:val="mk-MK"/>
        </w:rPr>
        <w:t xml:space="preserve"> as a single country.</w:t>
      </w:r>
    </w:p>
    <w:p w14:paraId="734A3EE8" w14:textId="77777777" w:rsidR="002B75FB" w:rsidRPr="002B75FB" w:rsidRDefault="002B75FB" w:rsidP="002B75FB">
      <w:pPr>
        <w:ind w:right="-908"/>
        <w:jc w:val="both"/>
        <w:rPr>
          <w:rFonts w:asciiTheme="minorHAnsi" w:hAnsiTheme="minorHAnsi" w:cstheme="minorHAnsi"/>
          <w:bCs/>
          <w:sz w:val="22"/>
          <w:szCs w:val="22"/>
          <w:lang w:val="mk-MK"/>
        </w:rPr>
      </w:pPr>
    </w:p>
    <w:p w14:paraId="63317FE9" w14:textId="025C331C" w:rsidR="00626212" w:rsidRPr="002B75FB" w:rsidRDefault="002B75FB" w:rsidP="002B75FB">
      <w:pPr>
        <w:ind w:right="-908"/>
        <w:jc w:val="both"/>
        <w:rPr>
          <w:rFonts w:asciiTheme="minorHAnsi" w:hAnsiTheme="minorHAnsi" w:cstheme="minorHAnsi"/>
          <w:bCs/>
          <w:sz w:val="22"/>
          <w:szCs w:val="22"/>
          <w:lang w:val="mk-MK"/>
        </w:rPr>
      </w:pPr>
      <w:r w:rsidRPr="002B75FB">
        <w:rPr>
          <w:rFonts w:asciiTheme="minorHAnsi" w:hAnsiTheme="minorHAnsi" w:cstheme="minorHAnsi"/>
          <w:bCs/>
          <w:sz w:val="22"/>
          <w:szCs w:val="22"/>
          <w:lang w:val="mk-MK"/>
        </w:rPr>
        <w:t>The Bank reserves the right to request additional documents.</w:t>
      </w:r>
      <w:bookmarkStart w:id="0" w:name="_GoBack"/>
      <w:bookmarkEnd w:id="0"/>
    </w:p>
    <w:sectPr w:rsidR="00626212" w:rsidRPr="002B75FB" w:rsidSect="00127074">
      <w:footerReference w:type="even" r:id="rId8"/>
      <w:footerReference w:type="default" r:id="rId9"/>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B843" w14:textId="77777777" w:rsidR="007E0F14" w:rsidRDefault="007E0F14">
      <w:r>
        <w:separator/>
      </w:r>
    </w:p>
  </w:endnote>
  <w:endnote w:type="continuationSeparator" w:id="0">
    <w:p w14:paraId="6FCCB378" w14:textId="77777777" w:rsidR="007E0F14" w:rsidRDefault="007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acedonian Tms">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38B7" w14:textId="77777777" w:rsidR="00DE2EAA" w:rsidRDefault="00DE2EAA"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68B7F3" w14:textId="77777777" w:rsidR="00DE2EAA" w:rsidRDefault="00DE2EAA" w:rsidP="00CC2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BBBC" w14:textId="0494FFF0" w:rsidR="00DE2EAA" w:rsidRDefault="00DE2EAA" w:rsidP="00632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75FB">
      <w:rPr>
        <w:rStyle w:val="PageNumber"/>
        <w:noProof/>
      </w:rPr>
      <w:t>2</w:t>
    </w:r>
    <w:r>
      <w:rPr>
        <w:rStyle w:val="PageNumber"/>
      </w:rPr>
      <w:fldChar w:fldCharType="end"/>
    </w:r>
  </w:p>
  <w:p w14:paraId="5AB7F270" w14:textId="77777777" w:rsidR="00DE2EAA" w:rsidRDefault="00DE2EAA" w:rsidP="00CC2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8E779" w14:textId="77777777" w:rsidR="007E0F14" w:rsidRDefault="007E0F14">
      <w:r>
        <w:separator/>
      </w:r>
    </w:p>
  </w:footnote>
  <w:footnote w:type="continuationSeparator" w:id="0">
    <w:p w14:paraId="55F2F3CB" w14:textId="77777777" w:rsidR="007E0F14" w:rsidRDefault="007E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30F"/>
    <w:multiLevelType w:val="hybridMultilevel"/>
    <w:tmpl w:val="707825A6"/>
    <w:lvl w:ilvl="0" w:tplc="84A073C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7B00E92"/>
    <w:multiLevelType w:val="multilevel"/>
    <w:tmpl w:val="72221FD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CD7809"/>
    <w:multiLevelType w:val="hybridMultilevel"/>
    <w:tmpl w:val="6EAA0E3A"/>
    <w:lvl w:ilvl="0" w:tplc="C8AAA63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F4F1B"/>
    <w:multiLevelType w:val="hybridMultilevel"/>
    <w:tmpl w:val="4A761B30"/>
    <w:lvl w:ilvl="0" w:tplc="7A7AFE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11A1F"/>
    <w:multiLevelType w:val="hybridMultilevel"/>
    <w:tmpl w:val="69821C1C"/>
    <w:lvl w:ilvl="0" w:tplc="CCA0C3F0">
      <w:start w:val="1"/>
      <w:numFmt w:val="bullet"/>
      <w:lvlText w:val="-"/>
      <w:lvlJc w:val="left"/>
      <w:pPr>
        <w:tabs>
          <w:tab w:val="num" w:pos="1980"/>
        </w:tabs>
        <w:ind w:left="1980" w:hanging="360"/>
      </w:pPr>
      <w:rPr>
        <w:rFonts w:ascii="MAC C Times" w:eastAsia="Times New Roman" w:hAnsi="MAC C Times" w:cs="Times New Roman"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1E0E38FE"/>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00475B"/>
    <w:multiLevelType w:val="hybridMultilevel"/>
    <w:tmpl w:val="5CD01DD4"/>
    <w:lvl w:ilvl="0" w:tplc="81D0A22E">
      <w:numFmt w:val="bullet"/>
      <w:lvlText w:val="-"/>
      <w:lvlJc w:val="left"/>
      <w:pPr>
        <w:tabs>
          <w:tab w:val="num" w:pos="1080"/>
        </w:tabs>
        <w:ind w:left="1080" w:hanging="360"/>
      </w:pPr>
      <w:rPr>
        <w:rFonts w:ascii="MAC C Times" w:eastAsia="Times New Roman" w:hAnsi="MAC C Time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0B4DF2"/>
    <w:multiLevelType w:val="hybridMultilevel"/>
    <w:tmpl w:val="A926ADF4"/>
    <w:lvl w:ilvl="0" w:tplc="F6EC5FE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10662"/>
    <w:multiLevelType w:val="multilevel"/>
    <w:tmpl w:val="3490E340"/>
    <w:lvl w:ilvl="0">
      <w:start w:val="1"/>
      <w:numFmt w:val="decimal"/>
      <w:lvlText w:val="%1."/>
      <w:lvlJc w:val="left"/>
      <w:pPr>
        <w:tabs>
          <w:tab w:val="num" w:pos="450"/>
        </w:tabs>
        <w:ind w:left="450" w:hanging="450"/>
      </w:pPr>
      <w:rPr>
        <w:rFonts w:ascii="MAC C Times" w:hAnsi="MAC C Times" w:hint="default"/>
      </w:rPr>
    </w:lvl>
    <w:lvl w:ilvl="1">
      <w:start w:val="1"/>
      <w:numFmt w:val="decimal"/>
      <w:lvlText w:val="%1.%2)"/>
      <w:lvlJc w:val="left"/>
      <w:pPr>
        <w:tabs>
          <w:tab w:val="num" w:pos="720"/>
        </w:tabs>
        <w:ind w:left="720" w:hanging="720"/>
      </w:pPr>
      <w:rPr>
        <w:rFonts w:ascii="MAC C Times" w:hAnsi="MAC C Times" w:hint="default"/>
      </w:rPr>
    </w:lvl>
    <w:lvl w:ilvl="2">
      <w:start w:val="1"/>
      <w:numFmt w:val="decimal"/>
      <w:lvlText w:val="%1.%2)%3."/>
      <w:lvlJc w:val="left"/>
      <w:pPr>
        <w:tabs>
          <w:tab w:val="num" w:pos="720"/>
        </w:tabs>
        <w:ind w:left="720" w:hanging="720"/>
      </w:pPr>
      <w:rPr>
        <w:rFonts w:ascii="MAC C Times" w:hAnsi="MAC C Times" w:hint="default"/>
      </w:rPr>
    </w:lvl>
    <w:lvl w:ilvl="3">
      <w:start w:val="1"/>
      <w:numFmt w:val="decimal"/>
      <w:lvlText w:val="%1.%2)%3.%4."/>
      <w:lvlJc w:val="left"/>
      <w:pPr>
        <w:tabs>
          <w:tab w:val="num" w:pos="1080"/>
        </w:tabs>
        <w:ind w:left="1080" w:hanging="1080"/>
      </w:pPr>
      <w:rPr>
        <w:rFonts w:ascii="MAC C Times" w:hAnsi="MAC C Times" w:hint="default"/>
      </w:rPr>
    </w:lvl>
    <w:lvl w:ilvl="4">
      <w:start w:val="1"/>
      <w:numFmt w:val="decimal"/>
      <w:lvlText w:val="%1.%2)%3.%4.%5."/>
      <w:lvlJc w:val="left"/>
      <w:pPr>
        <w:tabs>
          <w:tab w:val="num" w:pos="1080"/>
        </w:tabs>
        <w:ind w:left="1080" w:hanging="1080"/>
      </w:pPr>
      <w:rPr>
        <w:rFonts w:ascii="MAC C Times" w:hAnsi="MAC C Times" w:hint="default"/>
      </w:rPr>
    </w:lvl>
    <w:lvl w:ilvl="5">
      <w:start w:val="1"/>
      <w:numFmt w:val="decimal"/>
      <w:lvlText w:val="%1.%2)%3.%4.%5.%6."/>
      <w:lvlJc w:val="left"/>
      <w:pPr>
        <w:tabs>
          <w:tab w:val="num" w:pos="1440"/>
        </w:tabs>
        <w:ind w:left="1440" w:hanging="1440"/>
      </w:pPr>
      <w:rPr>
        <w:rFonts w:ascii="MAC C Times" w:hAnsi="MAC C Times" w:hint="default"/>
      </w:rPr>
    </w:lvl>
    <w:lvl w:ilvl="6">
      <w:start w:val="1"/>
      <w:numFmt w:val="decimal"/>
      <w:lvlText w:val="%1.%2)%3.%4.%5.%6.%7."/>
      <w:lvlJc w:val="left"/>
      <w:pPr>
        <w:tabs>
          <w:tab w:val="num" w:pos="1440"/>
        </w:tabs>
        <w:ind w:left="1440" w:hanging="1440"/>
      </w:pPr>
      <w:rPr>
        <w:rFonts w:ascii="MAC C Times" w:hAnsi="MAC C Times" w:hint="default"/>
      </w:rPr>
    </w:lvl>
    <w:lvl w:ilvl="7">
      <w:start w:val="1"/>
      <w:numFmt w:val="decimal"/>
      <w:lvlText w:val="%1.%2)%3.%4.%5.%6.%7.%8."/>
      <w:lvlJc w:val="left"/>
      <w:pPr>
        <w:tabs>
          <w:tab w:val="num" w:pos="1800"/>
        </w:tabs>
        <w:ind w:left="1800" w:hanging="1800"/>
      </w:pPr>
      <w:rPr>
        <w:rFonts w:ascii="MAC C Times" w:hAnsi="MAC C Times" w:hint="default"/>
      </w:rPr>
    </w:lvl>
    <w:lvl w:ilvl="8">
      <w:start w:val="1"/>
      <w:numFmt w:val="decimal"/>
      <w:lvlText w:val="%1.%2)%3.%4.%5.%6.%7.%8.%9."/>
      <w:lvlJc w:val="left"/>
      <w:pPr>
        <w:tabs>
          <w:tab w:val="num" w:pos="1800"/>
        </w:tabs>
        <w:ind w:left="1800" w:hanging="1800"/>
      </w:pPr>
      <w:rPr>
        <w:rFonts w:ascii="MAC C Times" w:hAnsi="MAC C Times" w:hint="default"/>
      </w:rPr>
    </w:lvl>
  </w:abstractNum>
  <w:abstractNum w:abstractNumId="9" w15:restartNumberingAfterBreak="0">
    <w:nsid w:val="32DE3405"/>
    <w:multiLevelType w:val="hybridMultilevel"/>
    <w:tmpl w:val="B34AB6B0"/>
    <w:lvl w:ilvl="0" w:tplc="390CEB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167B2"/>
    <w:multiLevelType w:val="hybridMultilevel"/>
    <w:tmpl w:val="1CBEFA2A"/>
    <w:lvl w:ilvl="0" w:tplc="7A44EEBA">
      <w:start w:val="1"/>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11A31"/>
    <w:multiLevelType w:val="hybridMultilevel"/>
    <w:tmpl w:val="6564464C"/>
    <w:lvl w:ilvl="0" w:tplc="6AF82882">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F0630"/>
    <w:multiLevelType w:val="hybridMultilevel"/>
    <w:tmpl w:val="77B6EB42"/>
    <w:lvl w:ilvl="0" w:tplc="0F885AF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06C24"/>
    <w:multiLevelType w:val="hybridMultilevel"/>
    <w:tmpl w:val="0AD4B4EE"/>
    <w:lvl w:ilvl="0" w:tplc="1F06AC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01DBD"/>
    <w:multiLevelType w:val="multilevel"/>
    <w:tmpl w:val="6AC461FE"/>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E458D0"/>
    <w:multiLevelType w:val="hybridMultilevel"/>
    <w:tmpl w:val="0E427824"/>
    <w:lvl w:ilvl="0" w:tplc="7D022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B0DE4"/>
    <w:multiLevelType w:val="hybridMultilevel"/>
    <w:tmpl w:val="90302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F60A94"/>
    <w:multiLevelType w:val="hybridMultilevel"/>
    <w:tmpl w:val="27AC6F50"/>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8" w15:restartNumberingAfterBreak="0">
    <w:nsid w:val="73C3505F"/>
    <w:multiLevelType w:val="hybridMultilevel"/>
    <w:tmpl w:val="C07CF5AC"/>
    <w:lvl w:ilvl="0" w:tplc="04302676">
      <w:start w:val="1"/>
      <w:numFmt w:val="decimal"/>
      <w:lvlText w:val="%1."/>
      <w:lvlJc w:val="left"/>
      <w:pPr>
        <w:ind w:left="795" w:hanging="360"/>
      </w:pPr>
      <w:rPr>
        <w:rFonts w:hint="default"/>
      </w:rPr>
    </w:lvl>
    <w:lvl w:ilvl="1" w:tplc="042F0019" w:tentative="1">
      <w:start w:val="1"/>
      <w:numFmt w:val="lowerLetter"/>
      <w:lvlText w:val="%2."/>
      <w:lvlJc w:val="left"/>
      <w:pPr>
        <w:ind w:left="1515" w:hanging="360"/>
      </w:pPr>
    </w:lvl>
    <w:lvl w:ilvl="2" w:tplc="042F001B" w:tentative="1">
      <w:start w:val="1"/>
      <w:numFmt w:val="lowerRoman"/>
      <w:lvlText w:val="%3."/>
      <w:lvlJc w:val="right"/>
      <w:pPr>
        <w:ind w:left="2235" w:hanging="180"/>
      </w:pPr>
    </w:lvl>
    <w:lvl w:ilvl="3" w:tplc="042F000F" w:tentative="1">
      <w:start w:val="1"/>
      <w:numFmt w:val="decimal"/>
      <w:lvlText w:val="%4."/>
      <w:lvlJc w:val="left"/>
      <w:pPr>
        <w:ind w:left="2955" w:hanging="360"/>
      </w:pPr>
    </w:lvl>
    <w:lvl w:ilvl="4" w:tplc="042F0019" w:tentative="1">
      <w:start w:val="1"/>
      <w:numFmt w:val="lowerLetter"/>
      <w:lvlText w:val="%5."/>
      <w:lvlJc w:val="left"/>
      <w:pPr>
        <w:ind w:left="3675" w:hanging="360"/>
      </w:pPr>
    </w:lvl>
    <w:lvl w:ilvl="5" w:tplc="042F001B" w:tentative="1">
      <w:start w:val="1"/>
      <w:numFmt w:val="lowerRoman"/>
      <w:lvlText w:val="%6."/>
      <w:lvlJc w:val="right"/>
      <w:pPr>
        <w:ind w:left="4395" w:hanging="180"/>
      </w:pPr>
    </w:lvl>
    <w:lvl w:ilvl="6" w:tplc="042F000F" w:tentative="1">
      <w:start w:val="1"/>
      <w:numFmt w:val="decimal"/>
      <w:lvlText w:val="%7."/>
      <w:lvlJc w:val="left"/>
      <w:pPr>
        <w:ind w:left="5115" w:hanging="360"/>
      </w:pPr>
    </w:lvl>
    <w:lvl w:ilvl="7" w:tplc="042F0019" w:tentative="1">
      <w:start w:val="1"/>
      <w:numFmt w:val="lowerLetter"/>
      <w:lvlText w:val="%8."/>
      <w:lvlJc w:val="left"/>
      <w:pPr>
        <w:ind w:left="5835" w:hanging="360"/>
      </w:pPr>
    </w:lvl>
    <w:lvl w:ilvl="8" w:tplc="042F001B" w:tentative="1">
      <w:start w:val="1"/>
      <w:numFmt w:val="lowerRoman"/>
      <w:lvlText w:val="%9."/>
      <w:lvlJc w:val="right"/>
      <w:pPr>
        <w:ind w:left="6555" w:hanging="180"/>
      </w:pPr>
    </w:lvl>
  </w:abstractNum>
  <w:abstractNum w:abstractNumId="19" w15:restartNumberingAfterBreak="0">
    <w:nsid w:val="7FCC008B"/>
    <w:multiLevelType w:val="hybridMultilevel"/>
    <w:tmpl w:val="69E628EC"/>
    <w:lvl w:ilvl="0" w:tplc="64DCD8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7"/>
  </w:num>
  <w:num w:numId="5">
    <w:abstractNumId w:val="1"/>
  </w:num>
  <w:num w:numId="6">
    <w:abstractNumId w:val="6"/>
  </w:num>
  <w:num w:numId="7">
    <w:abstractNumId w:val="4"/>
  </w:num>
  <w:num w:numId="8">
    <w:abstractNumId w:val="14"/>
  </w:num>
  <w:num w:numId="9">
    <w:abstractNumId w:val="12"/>
  </w:num>
  <w:num w:numId="10">
    <w:abstractNumId w:val="10"/>
  </w:num>
  <w:num w:numId="11">
    <w:abstractNumId w:val="16"/>
  </w:num>
  <w:num w:numId="12">
    <w:abstractNumId w:val="18"/>
  </w:num>
  <w:num w:numId="13">
    <w:abstractNumId w:val="17"/>
  </w:num>
  <w:num w:numId="14">
    <w:abstractNumId w:val="3"/>
  </w:num>
  <w:num w:numId="15">
    <w:abstractNumId w:val="9"/>
  </w:num>
  <w:num w:numId="16">
    <w:abstractNumId w:val="13"/>
  </w:num>
  <w:num w:numId="17">
    <w:abstractNumId w:val="11"/>
  </w:num>
  <w:num w:numId="18">
    <w:abstractNumId w:val="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4"/>
    <w:rsid w:val="000032E2"/>
    <w:rsid w:val="0001259B"/>
    <w:rsid w:val="00016C6D"/>
    <w:rsid w:val="0002693D"/>
    <w:rsid w:val="000320C5"/>
    <w:rsid w:val="00035664"/>
    <w:rsid w:val="00051DAB"/>
    <w:rsid w:val="00053B1C"/>
    <w:rsid w:val="00055CDC"/>
    <w:rsid w:val="00064419"/>
    <w:rsid w:val="00080578"/>
    <w:rsid w:val="0008565E"/>
    <w:rsid w:val="00090594"/>
    <w:rsid w:val="00090D34"/>
    <w:rsid w:val="0009311D"/>
    <w:rsid w:val="00095459"/>
    <w:rsid w:val="00095D68"/>
    <w:rsid w:val="000B0AFE"/>
    <w:rsid w:val="000B0B90"/>
    <w:rsid w:val="000B3805"/>
    <w:rsid w:val="000B5C90"/>
    <w:rsid w:val="000B5DE0"/>
    <w:rsid w:val="000C4BF8"/>
    <w:rsid w:val="000C64D6"/>
    <w:rsid w:val="000D52D1"/>
    <w:rsid w:val="000D60D9"/>
    <w:rsid w:val="000E1E6E"/>
    <w:rsid w:val="000E5D44"/>
    <w:rsid w:val="000F79C6"/>
    <w:rsid w:val="00101E93"/>
    <w:rsid w:val="00111823"/>
    <w:rsid w:val="00114E9F"/>
    <w:rsid w:val="001156CB"/>
    <w:rsid w:val="00117086"/>
    <w:rsid w:val="0012060B"/>
    <w:rsid w:val="00121ED5"/>
    <w:rsid w:val="00127074"/>
    <w:rsid w:val="001278A4"/>
    <w:rsid w:val="00144270"/>
    <w:rsid w:val="00145310"/>
    <w:rsid w:val="001532B1"/>
    <w:rsid w:val="00164CAF"/>
    <w:rsid w:val="00166847"/>
    <w:rsid w:val="00177438"/>
    <w:rsid w:val="0018115B"/>
    <w:rsid w:val="001825A3"/>
    <w:rsid w:val="00185A5F"/>
    <w:rsid w:val="001868B3"/>
    <w:rsid w:val="00186AFF"/>
    <w:rsid w:val="00192F39"/>
    <w:rsid w:val="00194768"/>
    <w:rsid w:val="001A378A"/>
    <w:rsid w:val="001A4179"/>
    <w:rsid w:val="001C1A00"/>
    <w:rsid w:val="001C587F"/>
    <w:rsid w:val="001D0548"/>
    <w:rsid w:val="001D0BC4"/>
    <w:rsid w:val="001D3696"/>
    <w:rsid w:val="001D6831"/>
    <w:rsid w:val="001D793C"/>
    <w:rsid w:val="001F3EDB"/>
    <w:rsid w:val="001F4992"/>
    <w:rsid w:val="001F5317"/>
    <w:rsid w:val="001F613D"/>
    <w:rsid w:val="001F7737"/>
    <w:rsid w:val="00200F6D"/>
    <w:rsid w:val="00203C7A"/>
    <w:rsid w:val="0020539A"/>
    <w:rsid w:val="0020661E"/>
    <w:rsid w:val="00207503"/>
    <w:rsid w:val="00207A95"/>
    <w:rsid w:val="00235A25"/>
    <w:rsid w:val="00251DF7"/>
    <w:rsid w:val="0025786C"/>
    <w:rsid w:val="0026007D"/>
    <w:rsid w:val="00276C18"/>
    <w:rsid w:val="002868D6"/>
    <w:rsid w:val="00294670"/>
    <w:rsid w:val="002A58FC"/>
    <w:rsid w:val="002A7AC9"/>
    <w:rsid w:val="002B5256"/>
    <w:rsid w:val="002B75FB"/>
    <w:rsid w:val="002C6CDF"/>
    <w:rsid w:val="002E2143"/>
    <w:rsid w:val="002E52FB"/>
    <w:rsid w:val="00300989"/>
    <w:rsid w:val="003158ED"/>
    <w:rsid w:val="00323BEB"/>
    <w:rsid w:val="0033069F"/>
    <w:rsid w:val="00341708"/>
    <w:rsid w:val="00356A68"/>
    <w:rsid w:val="00364341"/>
    <w:rsid w:val="0037539E"/>
    <w:rsid w:val="00387633"/>
    <w:rsid w:val="00394608"/>
    <w:rsid w:val="0039781E"/>
    <w:rsid w:val="003A13D2"/>
    <w:rsid w:val="003B147B"/>
    <w:rsid w:val="003D51F9"/>
    <w:rsid w:val="003E0361"/>
    <w:rsid w:val="003E05E6"/>
    <w:rsid w:val="003E4031"/>
    <w:rsid w:val="003F0D4F"/>
    <w:rsid w:val="003F238E"/>
    <w:rsid w:val="0040593A"/>
    <w:rsid w:val="00411D23"/>
    <w:rsid w:val="004136A0"/>
    <w:rsid w:val="0041681F"/>
    <w:rsid w:val="00421520"/>
    <w:rsid w:val="00430727"/>
    <w:rsid w:val="0043640C"/>
    <w:rsid w:val="004468E3"/>
    <w:rsid w:val="00447579"/>
    <w:rsid w:val="0045291B"/>
    <w:rsid w:val="00465DF0"/>
    <w:rsid w:val="0047196B"/>
    <w:rsid w:val="0047344A"/>
    <w:rsid w:val="004764BD"/>
    <w:rsid w:val="00481BAD"/>
    <w:rsid w:val="004B2501"/>
    <w:rsid w:val="004B3C04"/>
    <w:rsid w:val="004B59BB"/>
    <w:rsid w:val="004C5187"/>
    <w:rsid w:val="004D7178"/>
    <w:rsid w:val="004D79FF"/>
    <w:rsid w:val="004E019D"/>
    <w:rsid w:val="004E2E39"/>
    <w:rsid w:val="004E3204"/>
    <w:rsid w:val="004E4ABB"/>
    <w:rsid w:val="004E713A"/>
    <w:rsid w:val="004F4954"/>
    <w:rsid w:val="00501194"/>
    <w:rsid w:val="0050679A"/>
    <w:rsid w:val="005100EE"/>
    <w:rsid w:val="005126A0"/>
    <w:rsid w:val="00512CAE"/>
    <w:rsid w:val="0051712C"/>
    <w:rsid w:val="00520328"/>
    <w:rsid w:val="00524731"/>
    <w:rsid w:val="00527312"/>
    <w:rsid w:val="00527CFE"/>
    <w:rsid w:val="00531718"/>
    <w:rsid w:val="0053420E"/>
    <w:rsid w:val="00535D6C"/>
    <w:rsid w:val="00540F5A"/>
    <w:rsid w:val="00544508"/>
    <w:rsid w:val="00545B00"/>
    <w:rsid w:val="0055262F"/>
    <w:rsid w:val="005575A4"/>
    <w:rsid w:val="0056012E"/>
    <w:rsid w:val="00572834"/>
    <w:rsid w:val="005816D3"/>
    <w:rsid w:val="00585103"/>
    <w:rsid w:val="00587C88"/>
    <w:rsid w:val="005904E4"/>
    <w:rsid w:val="00593106"/>
    <w:rsid w:val="005948AD"/>
    <w:rsid w:val="005A1555"/>
    <w:rsid w:val="005A21FE"/>
    <w:rsid w:val="005C2FE7"/>
    <w:rsid w:val="005C4E89"/>
    <w:rsid w:val="005D3969"/>
    <w:rsid w:val="005E3457"/>
    <w:rsid w:val="005E747D"/>
    <w:rsid w:val="005F046B"/>
    <w:rsid w:val="005F4743"/>
    <w:rsid w:val="0060573E"/>
    <w:rsid w:val="006064E3"/>
    <w:rsid w:val="006112F6"/>
    <w:rsid w:val="006175D4"/>
    <w:rsid w:val="00626212"/>
    <w:rsid w:val="006323A0"/>
    <w:rsid w:val="006328ED"/>
    <w:rsid w:val="00634BD1"/>
    <w:rsid w:val="00642432"/>
    <w:rsid w:val="00642789"/>
    <w:rsid w:val="006502F1"/>
    <w:rsid w:val="00653608"/>
    <w:rsid w:val="0066117D"/>
    <w:rsid w:val="006650D7"/>
    <w:rsid w:val="006819A8"/>
    <w:rsid w:val="00691945"/>
    <w:rsid w:val="00696148"/>
    <w:rsid w:val="006A723A"/>
    <w:rsid w:val="006B1AA3"/>
    <w:rsid w:val="006C0F20"/>
    <w:rsid w:val="006C146F"/>
    <w:rsid w:val="006C365A"/>
    <w:rsid w:val="006C5CC0"/>
    <w:rsid w:val="006D01F4"/>
    <w:rsid w:val="006D7EF3"/>
    <w:rsid w:val="006E237C"/>
    <w:rsid w:val="00704A19"/>
    <w:rsid w:val="00704FD0"/>
    <w:rsid w:val="007058A1"/>
    <w:rsid w:val="0070730D"/>
    <w:rsid w:val="00710E1B"/>
    <w:rsid w:val="00712346"/>
    <w:rsid w:val="00727061"/>
    <w:rsid w:val="007340EF"/>
    <w:rsid w:val="007348CA"/>
    <w:rsid w:val="0073528E"/>
    <w:rsid w:val="007364A9"/>
    <w:rsid w:val="00737AAD"/>
    <w:rsid w:val="00737F99"/>
    <w:rsid w:val="00747587"/>
    <w:rsid w:val="00750D7D"/>
    <w:rsid w:val="007550DF"/>
    <w:rsid w:val="00771436"/>
    <w:rsid w:val="00772927"/>
    <w:rsid w:val="00772D11"/>
    <w:rsid w:val="00775FFB"/>
    <w:rsid w:val="00794F98"/>
    <w:rsid w:val="007C6360"/>
    <w:rsid w:val="007C6712"/>
    <w:rsid w:val="007E0F14"/>
    <w:rsid w:val="007E596E"/>
    <w:rsid w:val="007F12A7"/>
    <w:rsid w:val="007F2413"/>
    <w:rsid w:val="007F3557"/>
    <w:rsid w:val="00800A23"/>
    <w:rsid w:val="00804A56"/>
    <w:rsid w:val="008165FA"/>
    <w:rsid w:val="008211AC"/>
    <w:rsid w:val="00821CF4"/>
    <w:rsid w:val="00835A30"/>
    <w:rsid w:val="00852583"/>
    <w:rsid w:val="00855690"/>
    <w:rsid w:val="008654E7"/>
    <w:rsid w:val="008835B1"/>
    <w:rsid w:val="00893F93"/>
    <w:rsid w:val="00895516"/>
    <w:rsid w:val="0089552C"/>
    <w:rsid w:val="008B0521"/>
    <w:rsid w:val="008B6447"/>
    <w:rsid w:val="008B6FC7"/>
    <w:rsid w:val="008B7B66"/>
    <w:rsid w:val="008B7EC5"/>
    <w:rsid w:val="008C0501"/>
    <w:rsid w:val="008C5FDC"/>
    <w:rsid w:val="008C6DD6"/>
    <w:rsid w:val="008D068B"/>
    <w:rsid w:val="008D11AE"/>
    <w:rsid w:val="008D1A27"/>
    <w:rsid w:val="008D1FE6"/>
    <w:rsid w:val="008E04B2"/>
    <w:rsid w:val="008E18F6"/>
    <w:rsid w:val="008E2E81"/>
    <w:rsid w:val="008F12B9"/>
    <w:rsid w:val="008F2CBC"/>
    <w:rsid w:val="00904780"/>
    <w:rsid w:val="00917C2F"/>
    <w:rsid w:val="00927B81"/>
    <w:rsid w:val="00927F65"/>
    <w:rsid w:val="009327DD"/>
    <w:rsid w:val="0093508D"/>
    <w:rsid w:val="009360D9"/>
    <w:rsid w:val="009417FC"/>
    <w:rsid w:val="00953126"/>
    <w:rsid w:val="009572C1"/>
    <w:rsid w:val="00961BB4"/>
    <w:rsid w:val="00974C1B"/>
    <w:rsid w:val="0098055B"/>
    <w:rsid w:val="00980F28"/>
    <w:rsid w:val="009A26FA"/>
    <w:rsid w:val="009A291A"/>
    <w:rsid w:val="009A365A"/>
    <w:rsid w:val="009A3A10"/>
    <w:rsid w:val="009A7E6C"/>
    <w:rsid w:val="009B5025"/>
    <w:rsid w:val="009C6576"/>
    <w:rsid w:val="009D232A"/>
    <w:rsid w:val="009D4A34"/>
    <w:rsid w:val="009E0150"/>
    <w:rsid w:val="009E0343"/>
    <w:rsid w:val="009E2BC8"/>
    <w:rsid w:val="009E6A24"/>
    <w:rsid w:val="00A05A72"/>
    <w:rsid w:val="00A137F6"/>
    <w:rsid w:val="00A2581A"/>
    <w:rsid w:val="00A33F95"/>
    <w:rsid w:val="00A34226"/>
    <w:rsid w:val="00A37F92"/>
    <w:rsid w:val="00A41917"/>
    <w:rsid w:val="00A45FDD"/>
    <w:rsid w:val="00A530A1"/>
    <w:rsid w:val="00A53683"/>
    <w:rsid w:val="00A54EE1"/>
    <w:rsid w:val="00A64E9C"/>
    <w:rsid w:val="00A6676F"/>
    <w:rsid w:val="00A66D81"/>
    <w:rsid w:val="00A717C3"/>
    <w:rsid w:val="00A74EE7"/>
    <w:rsid w:val="00A86503"/>
    <w:rsid w:val="00A978CB"/>
    <w:rsid w:val="00AA37A7"/>
    <w:rsid w:val="00AA42E8"/>
    <w:rsid w:val="00AA43CB"/>
    <w:rsid w:val="00AA7EA3"/>
    <w:rsid w:val="00AB5971"/>
    <w:rsid w:val="00AB61E7"/>
    <w:rsid w:val="00AB72D7"/>
    <w:rsid w:val="00AC25CA"/>
    <w:rsid w:val="00AD30D0"/>
    <w:rsid w:val="00AD74B8"/>
    <w:rsid w:val="00AE564B"/>
    <w:rsid w:val="00AF7C2E"/>
    <w:rsid w:val="00B14004"/>
    <w:rsid w:val="00B21096"/>
    <w:rsid w:val="00B214F8"/>
    <w:rsid w:val="00B35302"/>
    <w:rsid w:val="00B61FCD"/>
    <w:rsid w:val="00B620E7"/>
    <w:rsid w:val="00B63642"/>
    <w:rsid w:val="00B661C8"/>
    <w:rsid w:val="00B75775"/>
    <w:rsid w:val="00B814AB"/>
    <w:rsid w:val="00B9521E"/>
    <w:rsid w:val="00BA0978"/>
    <w:rsid w:val="00BA19DE"/>
    <w:rsid w:val="00BB02E0"/>
    <w:rsid w:val="00BB43AC"/>
    <w:rsid w:val="00BC4C59"/>
    <w:rsid w:val="00BD5D00"/>
    <w:rsid w:val="00BF617B"/>
    <w:rsid w:val="00BF7FDB"/>
    <w:rsid w:val="00C03055"/>
    <w:rsid w:val="00C12231"/>
    <w:rsid w:val="00C13624"/>
    <w:rsid w:val="00C25124"/>
    <w:rsid w:val="00C341B0"/>
    <w:rsid w:val="00C34549"/>
    <w:rsid w:val="00C3600F"/>
    <w:rsid w:val="00C4474C"/>
    <w:rsid w:val="00C5664E"/>
    <w:rsid w:val="00C56EEC"/>
    <w:rsid w:val="00C57BB6"/>
    <w:rsid w:val="00C62708"/>
    <w:rsid w:val="00C654C7"/>
    <w:rsid w:val="00C709F1"/>
    <w:rsid w:val="00C73A55"/>
    <w:rsid w:val="00C91A31"/>
    <w:rsid w:val="00CA593F"/>
    <w:rsid w:val="00CA7B8C"/>
    <w:rsid w:val="00CB0A1E"/>
    <w:rsid w:val="00CB5D92"/>
    <w:rsid w:val="00CC25A0"/>
    <w:rsid w:val="00CD5196"/>
    <w:rsid w:val="00CD5CA7"/>
    <w:rsid w:val="00CE0B1D"/>
    <w:rsid w:val="00CE51CF"/>
    <w:rsid w:val="00CE5933"/>
    <w:rsid w:val="00CE594E"/>
    <w:rsid w:val="00CF06D5"/>
    <w:rsid w:val="00D06C36"/>
    <w:rsid w:val="00D11650"/>
    <w:rsid w:val="00D123AE"/>
    <w:rsid w:val="00D1401B"/>
    <w:rsid w:val="00D162D8"/>
    <w:rsid w:val="00D22762"/>
    <w:rsid w:val="00D23883"/>
    <w:rsid w:val="00D241C0"/>
    <w:rsid w:val="00D420AB"/>
    <w:rsid w:val="00D536EB"/>
    <w:rsid w:val="00D53D49"/>
    <w:rsid w:val="00D56B8D"/>
    <w:rsid w:val="00D623AF"/>
    <w:rsid w:val="00D66366"/>
    <w:rsid w:val="00D66DC7"/>
    <w:rsid w:val="00D76ABF"/>
    <w:rsid w:val="00D803C5"/>
    <w:rsid w:val="00D80955"/>
    <w:rsid w:val="00D83554"/>
    <w:rsid w:val="00D86254"/>
    <w:rsid w:val="00D8754D"/>
    <w:rsid w:val="00DA7F3C"/>
    <w:rsid w:val="00DB25AF"/>
    <w:rsid w:val="00DD2F78"/>
    <w:rsid w:val="00DE0F67"/>
    <w:rsid w:val="00DE2EAA"/>
    <w:rsid w:val="00DE4725"/>
    <w:rsid w:val="00DE4C12"/>
    <w:rsid w:val="00DF7408"/>
    <w:rsid w:val="00E03D54"/>
    <w:rsid w:val="00E1348A"/>
    <w:rsid w:val="00E203C9"/>
    <w:rsid w:val="00E21049"/>
    <w:rsid w:val="00E2339C"/>
    <w:rsid w:val="00E30407"/>
    <w:rsid w:val="00E30FE3"/>
    <w:rsid w:val="00E32821"/>
    <w:rsid w:val="00E36A59"/>
    <w:rsid w:val="00E37469"/>
    <w:rsid w:val="00E40187"/>
    <w:rsid w:val="00E4370C"/>
    <w:rsid w:val="00E456FF"/>
    <w:rsid w:val="00E5525E"/>
    <w:rsid w:val="00E750E9"/>
    <w:rsid w:val="00E76513"/>
    <w:rsid w:val="00E83113"/>
    <w:rsid w:val="00E90C00"/>
    <w:rsid w:val="00EA2474"/>
    <w:rsid w:val="00EC6C41"/>
    <w:rsid w:val="00EC7CE7"/>
    <w:rsid w:val="00ED1AB4"/>
    <w:rsid w:val="00EE013C"/>
    <w:rsid w:val="00EE478E"/>
    <w:rsid w:val="00EF3062"/>
    <w:rsid w:val="00EF41D0"/>
    <w:rsid w:val="00EF5F53"/>
    <w:rsid w:val="00EF600D"/>
    <w:rsid w:val="00F0385C"/>
    <w:rsid w:val="00F04471"/>
    <w:rsid w:val="00F10202"/>
    <w:rsid w:val="00F219C0"/>
    <w:rsid w:val="00F23846"/>
    <w:rsid w:val="00F244DB"/>
    <w:rsid w:val="00F253C6"/>
    <w:rsid w:val="00F2612F"/>
    <w:rsid w:val="00F324DD"/>
    <w:rsid w:val="00F3569B"/>
    <w:rsid w:val="00F369C2"/>
    <w:rsid w:val="00F513C9"/>
    <w:rsid w:val="00F566C6"/>
    <w:rsid w:val="00F60093"/>
    <w:rsid w:val="00F72610"/>
    <w:rsid w:val="00F7793F"/>
    <w:rsid w:val="00F823C7"/>
    <w:rsid w:val="00F8565D"/>
    <w:rsid w:val="00FA518E"/>
    <w:rsid w:val="00FA7370"/>
    <w:rsid w:val="00FB20EA"/>
    <w:rsid w:val="00FB3000"/>
    <w:rsid w:val="00FB559E"/>
    <w:rsid w:val="00FC0EC8"/>
    <w:rsid w:val="00FC4A22"/>
    <w:rsid w:val="00FC5857"/>
    <w:rsid w:val="00FE2175"/>
    <w:rsid w:val="00FE6692"/>
    <w:rsid w:val="00FF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63BFD"/>
  <w15:chartTrackingRefBased/>
  <w15:docId w15:val="{6FB57BFE-C9FF-43A3-8A14-EB91D3BE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691945"/>
    <w:pPr>
      <w:keepNext/>
      <w:outlineLvl w:val="0"/>
    </w:pPr>
    <w:rPr>
      <w:rFonts w:ascii="MAC C Times" w:hAnsi="MAC C Times"/>
      <w:lang w:eastAsia="en-US"/>
    </w:rPr>
  </w:style>
  <w:style w:type="paragraph" w:styleId="Heading2">
    <w:name w:val="heading 2"/>
    <w:basedOn w:val="Normal"/>
    <w:next w:val="Normal"/>
    <w:qFormat/>
    <w:rsid w:val="00AA42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25A0"/>
    <w:pPr>
      <w:tabs>
        <w:tab w:val="center" w:pos="4153"/>
        <w:tab w:val="right" w:pos="8306"/>
      </w:tabs>
    </w:pPr>
  </w:style>
  <w:style w:type="character" w:styleId="PageNumber">
    <w:name w:val="page number"/>
    <w:basedOn w:val="DefaultParagraphFont"/>
    <w:rsid w:val="00CC25A0"/>
  </w:style>
  <w:style w:type="paragraph" w:styleId="Header">
    <w:name w:val="header"/>
    <w:basedOn w:val="Normal"/>
    <w:rsid w:val="00691945"/>
    <w:pPr>
      <w:tabs>
        <w:tab w:val="center" w:pos="4320"/>
        <w:tab w:val="right" w:pos="8640"/>
      </w:tabs>
      <w:jc w:val="both"/>
    </w:pPr>
    <w:rPr>
      <w:rFonts w:ascii="Macedonian Tms" w:hAnsi="Macedonian Tms"/>
      <w:szCs w:val="20"/>
      <w:lang w:val="en-US" w:eastAsia="en-US"/>
    </w:rPr>
  </w:style>
  <w:style w:type="paragraph" w:styleId="BalloonText">
    <w:name w:val="Balloon Text"/>
    <w:basedOn w:val="Normal"/>
    <w:semiHidden/>
    <w:rsid w:val="00D420AB"/>
    <w:rPr>
      <w:rFonts w:ascii="Tahoma" w:hAnsi="Tahoma" w:cs="Tahoma"/>
      <w:sz w:val="16"/>
      <w:szCs w:val="16"/>
    </w:rPr>
  </w:style>
  <w:style w:type="paragraph" w:styleId="Title">
    <w:name w:val="Title"/>
    <w:basedOn w:val="Normal"/>
    <w:qFormat/>
    <w:rsid w:val="001C1A00"/>
    <w:pPr>
      <w:tabs>
        <w:tab w:val="left" w:pos="1134"/>
      </w:tabs>
      <w:jc w:val="center"/>
    </w:pPr>
    <w:rPr>
      <w:rFonts w:ascii="Macedonian Tms" w:hAnsi="Macedonian Tms"/>
      <w:b/>
      <w:szCs w:val="20"/>
      <w:lang w:val="en-US" w:eastAsia="en-US"/>
    </w:rPr>
  </w:style>
  <w:style w:type="paragraph" w:customStyle="1" w:styleId="Default">
    <w:name w:val="Default"/>
    <w:rsid w:val="00A05A72"/>
    <w:pPr>
      <w:autoSpaceDE w:val="0"/>
      <w:autoSpaceDN w:val="0"/>
      <w:adjustRightInd w:val="0"/>
    </w:pPr>
    <w:rPr>
      <w:rFonts w:ascii="Tahoma" w:hAnsi="Tahoma" w:cs="Tahoma"/>
      <w:color w:val="000000"/>
      <w:sz w:val="24"/>
      <w:szCs w:val="24"/>
      <w:lang w:val="mk-MK" w:eastAsia="mk-MK"/>
    </w:rPr>
  </w:style>
  <w:style w:type="paragraph" w:styleId="ListParagraph">
    <w:name w:val="List Paragraph"/>
    <w:basedOn w:val="Normal"/>
    <w:uiPriority w:val="34"/>
    <w:qFormat/>
    <w:rsid w:val="00B9521E"/>
    <w:pPr>
      <w:ind w:left="720"/>
      <w:contextualSpacing/>
    </w:pPr>
  </w:style>
  <w:style w:type="character" w:styleId="Hyperlink">
    <w:name w:val="Hyperlink"/>
    <w:basedOn w:val="DefaultParagraphFont"/>
    <w:rsid w:val="0050679A"/>
    <w:rPr>
      <w:color w:val="0563C1" w:themeColor="hyperlink"/>
      <w:u w:val="single"/>
    </w:rPr>
  </w:style>
  <w:style w:type="character" w:customStyle="1" w:styleId="UnresolvedMention">
    <w:name w:val="Unresolved Mention"/>
    <w:basedOn w:val="DefaultParagraphFont"/>
    <w:uiPriority w:val="99"/>
    <w:semiHidden/>
    <w:unhideWhenUsed/>
    <w:rsid w:val="0050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14007">
      <w:bodyDiv w:val="1"/>
      <w:marLeft w:val="0"/>
      <w:marRight w:val="0"/>
      <w:marTop w:val="0"/>
      <w:marBottom w:val="0"/>
      <w:divBdr>
        <w:top w:val="none" w:sz="0" w:space="0" w:color="auto"/>
        <w:left w:val="none" w:sz="0" w:space="0" w:color="auto"/>
        <w:bottom w:val="none" w:sz="0" w:space="0" w:color="auto"/>
        <w:right w:val="none" w:sz="0" w:space="0" w:color="auto"/>
      </w:divBdr>
    </w:div>
    <w:div w:id="1012486799">
      <w:bodyDiv w:val="1"/>
      <w:marLeft w:val="0"/>
      <w:marRight w:val="0"/>
      <w:marTop w:val="0"/>
      <w:marBottom w:val="0"/>
      <w:divBdr>
        <w:top w:val="none" w:sz="0" w:space="0" w:color="auto"/>
        <w:left w:val="none" w:sz="0" w:space="0" w:color="auto"/>
        <w:bottom w:val="none" w:sz="0" w:space="0" w:color="auto"/>
        <w:right w:val="none" w:sz="0" w:space="0" w:color="auto"/>
      </w:divBdr>
    </w:div>
    <w:div w:id="1357735953">
      <w:bodyDiv w:val="1"/>
      <w:marLeft w:val="0"/>
      <w:marRight w:val="0"/>
      <w:marTop w:val="0"/>
      <w:marBottom w:val="0"/>
      <w:divBdr>
        <w:top w:val="none" w:sz="0" w:space="0" w:color="auto"/>
        <w:left w:val="none" w:sz="0" w:space="0" w:color="auto"/>
        <w:bottom w:val="none" w:sz="0" w:space="0" w:color="auto"/>
        <w:right w:val="none" w:sz="0" w:space="0" w:color="auto"/>
      </w:divBdr>
    </w:div>
    <w:div w:id="21168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brm.mk/ns-newsarticle-odluka-za-nacinot-i-uslovite-pod-koi-rezidentite-koisto-ne-se-ovlasteni-banki-mozat-da-otvoraat-i-da-imaat-smetki-vo-stranstvo.n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Vrz o snova na ~len 46 od Statutot na Stopanska banka AD Skopje (S</vt:lpstr>
    </vt:vector>
  </TitlesOfParts>
  <Company>Stopanska Banka AD Skopje</Company>
  <LinksUpToDate>false</LinksUpToDate>
  <CharactersWithSpaces>5339</CharactersWithSpaces>
  <SharedDoc>false</SharedDoc>
  <HLinks>
    <vt:vector size="6" baseType="variant">
      <vt:variant>
        <vt:i4>3276812</vt:i4>
      </vt:variant>
      <vt:variant>
        <vt:i4>33158</vt:i4>
      </vt:variant>
      <vt:variant>
        <vt:i4>1025</vt:i4>
      </vt:variant>
      <vt:variant>
        <vt:i4>1</vt:i4>
      </vt:variant>
      <vt:variant>
        <vt:lpwstr>cid:image001.png@01D65B7B.97EF5D80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Vrz o snova na ~len 46 od Statutot na Stopanska banka AD Skopje (S</dc:title>
  <dc:subject/>
  <dc:creator>danicab</dc:creator>
  <cp:keywords/>
  <dc:description/>
  <cp:lastModifiedBy>SB</cp:lastModifiedBy>
  <cp:revision>2</cp:revision>
  <cp:lastPrinted>2020-07-17T13:47:00Z</cp:lastPrinted>
  <dcterms:created xsi:type="dcterms:W3CDTF">2025-10-07T21:02:00Z</dcterms:created>
  <dcterms:modified xsi:type="dcterms:W3CDTF">2025-10-07T21:02:00Z</dcterms:modified>
</cp:coreProperties>
</file>