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4DD3" w14:textId="76CE7BFA" w:rsidR="001A378A" w:rsidRDefault="00B63642" w:rsidP="009B5025">
      <w:pPr>
        <w:ind w:right="-424"/>
        <w:jc w:val="center"/>
        <w:rPr>
          <w:rFonts w:asciiTheme="minorHAnsi" w:hAnsiTheme="minorHAnsi" w:cstheme="minorHAnsi"/>
          <w:b/>
          <w:bCs/>
          <w:sz w:val="28"/>
          <w:szCs w:val="28"/>
          <w:lang w:val="mk-MK"/>
        </w:rPr>
      </w:pPr>
      <w:r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Потребна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документација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51712C" w:rsidRPr="0051712C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за </w:t>
      </w:r>
      <w:r w:rsidR="00B620E7">
        <w:rPr>
          <w:rFonts w:asciiTheme="minorHAnsi" w:hAnsiTheme="minorHAnsi" w:cstheme="minorHAnsi"/>
          <w:b/>
          <w:bCs/>
          <w:sz w:val="28"/>
          <w:szCs w:val="28"/>
          <w:lang w:val="mk-MK"/>
        </w:rPr>
        <w:t>одливни</w:t>
      </w:r>
      <w:r w:rsidR="0051712C" w:rsidRPr="0051712C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платежни трансакции </w:t>
      </w:r>
      <w:r w:rsidR="00B620E7">
        <w:rPr>
          <w:rFonts w:asciiTheme="minorHAnsi" w:hAnsiTheme="minorHAnsi" w:cstheme="minorHAnsi"/>
          <w:b/>
          <w:bCs/>
          <w:sz w:val="28"/>
          <w:szCs w:val="28"/>
          <w:lang w:val="mk-MK"/>
        </w:rPr>
        <w:t>во</w:t>
      </w:r>
      <w:r w:rsidR="0051712C" w:rsidRPr="0051712C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странство </w:t>
      </w:r>
      <w:r w:rsidR="00C57BB6">
        <w:rPr>
          <w:rFonts w:asciiTheme="minorHAnsi" w:hAnsiTheme="minorHAnsi" w:cstheme="minorHAnsi"/>
          <w:b/>
          <w:bCs/>
          <w:sz w:val="28"/>
          <w:szCs w:val="28"/>
          <w:lang w:val="mk-MK"/>
        </w:rPr>
        <w:t>за</w:t>
      </w:r>
      <w:r w:rsidR="0051712C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ко</w:t>
      </w:r>
      <w:r w:rsidR="00C57BB6">
        <w:rPr>
          <w:rFonts w:asciiTheme="minorHAnsi" w:hAnsiTheme="minorHAnsi" w:cstheme="minorHAnsi"/>
          <w:b/>
          <w:bCs/>
          <w:sz w:val="28"/>
          <w:szCs w:val="28"/>
          <w:lang w:val="mk-MK"/>
        </w:rPr>
        <w:t>и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20E7">
        <w:rPr>
          <w:rFonts w:asciiTheme="minorHAnsi" w:hAnsiTheme="minorHAnsi" w:cstheme="minorHAnsi"/>
          <w:b/>
          <w:bCs/>
          <w:sz w:val="28"/>
          <w:szCs w:val="28"/>
          <w:lang w:val="mk-MK"/>
        </w:rPr>
        <w:t>плаќачот</w:t>
      </w:r>
      <w:r w:rsidR="00B9521E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20E7" w:rsidRPr="00B620E7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 xml:space="preserve">резидент </w:t>
      </w:r>
      <w:r w:rsidR="004D79FF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>физичко</w:t>
      </w:r>
      <w:r w:rsidR="00B9521E" w:rsidRPr="00B620E7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 xml:space="preserve"> </w:t>
      </w:r>
      <w:r w:rsidR="00300989" w:rsidRPr="00B620E7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>л</w:t>
      </w:r>
      <w:r w:rsidR="00B9521E" w:rsidRPr="00B620E7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>ице</w:t>
      </w:r>
      <w:r w:rsid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</w:p>
    <w:p w14:paraId="7F300880" w14:textId="78A7A8BD" w:rsidR="00AA42E8" w:rsidRPr="00300989" w:rsidRDefault="00B620E7" w:rsidP="009B5025">
      <w:pPr>
        <w:ind w:right="-424"/>
        <w:jc w:val="center"/>
        <w:rPr>
          <w:rFonts w:asciiTheme="minorHAnsi" w:hAnsiTheme="minorHAnsi" w:cstheme="minorHAnsi"/>
          <w:b/>
          <w:bCs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         </w:t>
      </w:r>
      <w:r w:rsidR="00C57BB6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е потребно да </w:t>
      </w:r>
      <w:r w:rsidR="00B63642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ја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3642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достав</w:t>
      </w:r>
      <w:r w:rsidR="00C57BB6">
        <w:rPr>
          <w:rFonts w:asciiTheme="minorHAnsi" w:hAnsiTheme="minorHAnsi" w:cstheme="minorHAnsi"/>
          <w:b/>
          <w:bCs/>
          <w:sz w:val="28"/>
          <w:szCs w:val="28"/>
          <w:lang w:val="mk-MK"/>
        </w:rPr>
        <w:t>и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3642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до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3642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банката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:</w:t>
      </w:r>
    </w:p>
    <w:tbl>
      <w:tblPr>
        <w:tblW w:w="102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133"/>
        <w:gridCol w:w="5294"/>
      </w:tblGrid>
      <w:tr w:rsidR="00AA42E8" w:rsidRPr="009A7E6C" w14:paraId="12F468B5" w14:textId="77777777" w:rsidTr="009B5025">
        <w:tc>
          <w:tcPr>
            <w:tcW w:w="851" w:type="dxa"/>
          </w:tcPr>
          <w:p w14:paraId="70C310B5" w14:textId="77777777" w:rsidR="00AA42E8" w:rsidRPr="009A7E6C" w:rsidRDefault="00B63642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Ред</w:t>
            </w:r>
            <w:r w:rsidR="009A7E6C"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бр</w:t>
            </w:r>
            <w:r w:rsidR="009A7E6C"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0664D37D" w14:textId="77777777" w:rsidR="00AA42E8" w:rsidRPr="009A7E6C" w:rsidRDefault="009A7E6C" w:rsidP="008C0501">
            <w:pPr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             </w:t>
            </w:r>
          </w:p>
          <w:p w14:paraId="65120CE4" w14:textId="77777777" w:rsidR="00AA42E8" w:rsidRPr="009A7E6C" w:rsidRDefault="009A7E6C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                </w:t>
            </w:r>
            <w:r w:rsidR="00B63642"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Вид</w:t>
            </w: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на</w:t>
            </w: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трансакција</w:t>
            </w:r>
          </w:p>
        </w:tc>
        <w:tc>
          <w:tcPr>
            <w:tcW w:w="5294" w:type="dxa"/>
          </w:tcPr>
          <w:p w14:paraId="008586A9" w14:textId="77777777" w:rsidR="00AA42E8" w:rsidRPr="009A7E6C" w:rsidRDefault="00AA42E8" w:rsidP="008C0501">
            <w:pPr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</w:pPr>
          </w:p>
          <w:p w14:paraId="1D8BB03A" w14:textId="612F5EB4" w:rsidR="00AA42E8" w:rsidRPr="009A7E6C" w:rsidRDefault="00B63642" w:rsidP="007123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Документ</w:t>
            </w:r>
          </w:p>
        </w:tc>
      </w:tr>
      <w:tr w:rsidR="00AA42E8" w:rsidRPr="009A7E6C" w14:paraId="10949E72" w14:textId="77777777" w:rsidTr="009B5025">
        <w:tc>
          <w:tcPr>
            <w:tcW w:w="851" w:type="dxa"/>
          </w:tcPr>
          <w:p w14:paraId="4561993E" w14:textId="77777777" w:rsidR="00AA42E8" w:rsidRPr="009A7E6C" w:rsidRDefault="009A7E6C" w:rsidP="008C05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1.</w:t>
            </w:r>
          </w:p>
        </w:tc>
        <w:tc>
          <w:tcPr>
            <w:tcW w:w="4133" w:type="dxa"/>
          </w:tcPr>
          <w:p w14:paraId="4C40CB88" w14:textId="3B672427" w:rsidR="00AA42E8" w:rsidRPr="009A7E6C" w:rsidRDefault="009A7E6C" w:rsidP="0026007D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20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Одливни платежни трансакции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по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основ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на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ДИРЕКТНИ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ИНВЕСТИЦИИ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5294" w:type="dxa"/>
          </w:tcPr>
          <w:p w14:paraId="6CCD070E" w14:textId="77777777" w:rsidR="00AA42E8" w:rsidRPr="009A7E6C" w:rsidRDefault="00AA42E8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AA42E8" w:rsidRPr="009A7E6C" w14:paraId="65B3992F" w14:textId="77777777" w:rsidTr="009B5025">
        <w:tc>
          <w:tcPr>
            <w:tcW w:w="851" w:type="dxa"/>
          </w:tcPr>
          <w:p w14:paraId="4B62DA2E" w14:textId="77777777" w:rsidR="00AA42E8" w:rsidRPr="009A7E6C" w:rsidRDefault="00AA42E8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31D46664" w14:textId="561806AD" w:rsidR="00AA42E8" w:rsidRDefault="009A7E6C" w:rsidP="00B620E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 </w:t>
            </w:r>
            <w:r w:rsidR="00B620E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лаќање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продажба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вложувањето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кое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смета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директна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инвестиција</w:t>
            </w:r>
            <w:proofErr w:type="spellEnd"/>
          </w:p>
          <w:p w14:paraId="30228DA1" w14:textId="2C2B048C" w:rsidR="00B9521E" w:rsidRPr="009A7E6C" w:rsidRDefault="00B9521E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5294" w:type="dxa"/>
          </w:tcPr>
          <w:p w14:paraId="38A02FA8" w14:textId="77777777" w:rsidR="00D11650" w:rsidRPr="009A7E6C" w:rsidRDefault="00B63642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Резидентот</w:t>
            </w:r>
            <w:r w:rsidR="009A7E6C"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доставува</w:t>
            </w:r>
            <w:r w:rsidR="009A7E6C"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:</w:t>
            </w:r>
          </w:p>
          <w:p w14:paraId="2DBDBA66" w14:textId="77777777" w:rsidR="00B620E7" w:rsidRDefault="009A7E6C" w:rsidP="009E0150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доказ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извршен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упис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регистарот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директни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инвестиции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нерезиденти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при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Централниот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</w:p>
          <w:p w14:paraId="74511586" w14:textId="7C9049D4" w:rsidR="00AA42E8" w:rsidRPr="00B9521E" w:rsidRDefault="00B620E7" w:rsidP="009E0150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доказ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намирување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законските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обврски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даноци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придонеси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</w:p>
        </w:tc>
      </w:tr>
      <w:tr w:rsidR="00712346" w:rsidRPr="009A7E6C" w14:paraId="24ED3D92" w14:textId="77777777" w:rsidTr="009B5025">
        <w:tc>
          <w:tcPr>
            <w:tcW w:w="851" w:type="dxa"/>
          </w:tcPr>
          <w:p w14:paraId="5E40A335" w14:textId="1B28770D" w:rsidR="00712346" w:rsidRPr="0051712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2</w:t>
            </w:r>
            <w:r w:rsidRPr="009A7E6C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70C21AF7" w14:textId="6B6C6CF2" w:rsidR="00712346" w:rsidRPr="0051712C" w:rsidRDefault="00B620E7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Одливни платежни трансакции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по основ на ПОРТФОЛИО ИНВЕСТИЦИИ</w:t>
            </w:r>
          </w:p>
        </w:tc>
        <w:tc>
          <w:tcPr>
            <w:tcW w:w="5294" w:type="dxa"/>
          </w:tcPr>
          <w:p w14:paraId="61917974" w14:textId="77777777" w:rsidR="00712346" w:rsidRPr="009A7E6C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712346" w:rsidRPr="009A7E6C" w14:paraId="331B9E9C" w14:textId="77777777" w:rsidTr="009B5025">
        <w:tc>
          <w:tcPr>
            <w:tcW w:w="851" w:type="dxa"/>
          </w:tcPr>
          <w:p w14:paraId="3C5FC921" w14:textId="77777777" w:rsidR="00712346" w:rsidRPr="0051712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41B3CE94" w14:textId="40BCC777" w:rsidR="00712346" w:rsidRPr="0051712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Pr="0051712C"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Плаќање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вложување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странство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страна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резиденти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коишто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имаат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третман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портфолио-инвестиции</w:t>
            </w:r>
            <w:proofErr w:type="spellEnd"/>
          </w:p>
        </w:tc>
        <w:tc>
          <w:tcPr>
            <w:tcW w:w="5294" w:type="dxa"/>
          </w:tcPr>
          <w:p w14:paraId="6A9268FB" w14:textId="77777777" w:rsidR="00712346" w:rsidRPr="009A7E6C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Резидентот доставува:</w:t>
            </w:r>
          </w:p>
          <w:p w14:paraId="2A08EA92" w14:textId="6356DE25" w:rsidR="00712346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документ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потврди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дека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трансакцијата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биде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склучена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преку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овластен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учесник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пазарот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преку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овластен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учесник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странска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берза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преку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организиран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пазар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</w:p>
        </w:tc>
      </w:tr>
      <w:tr w:rsidR="00712346" w:rsidRPr="009A7E6C" w14:paraId="131BD474" w14:textId="77777777" w:rsidTr="009B5025">
        <w:tc>
          <w:tcPr>
            <w:tcW w:w="851" w:type="dxa"/>
          </w:tcPr>
          <w:p w14:paraId="0FDE7127" w14:textId="00E017E0" w:rsidR="00712346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3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63A7AC7F" w14:textId="393B7D8F" w:rsidR="00712346" w:rsidRDefault="00B620E7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платежн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трансакци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по основ на  НЕДВИЖНОСТИ ВО </w:t>
            </w:r>
            <w:proofErr w:type="spellStart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Република</w:t>
            </w:r>
            <w:proofErr w:type="spellEnd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Северна</w:t>
            </w:r>
            <w:proofErr w:type="spellEnd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Македонија</w:t>
            </w:r>
            <w:proofErr w:type="spellEnd"/>
          </w:p>
        </w:tc>
        <w:tc>
          <w:tcPr>
            <w:tcW w:w="5294" w:type="dxa"/>
          </w:tcPr>
          <w:p w14:paraId="32918158" w14:textId="77777777" w:rsidR="00712346" w:rsidRPr="00B9521E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712346" w:rsidRPr="009A7E6C" w14:paraId="050C985A" w14:textId="77777777" w:rsidTr="009B5025">
        <w:tc>
          <w:tcPr>
            <w:tcW w:w="851" w:type="dxa"/>
          </w:tcPr>
          <w:p w14:paraId="5904AB66" w14:textId="77777777" w:rsidR="00712346" w:rsidRPr="009A7E6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2945EABB" w14:textId="589688FD" w:rsidR="00712346" w:rsidRDefault="00712346" w:rsidP="00712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098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 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лаќање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купување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недвижност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сопственост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нерезидент</w:t>
            </w:r>
            <w:proofErr w:type="spellEnd"/>
          </w:p>
          <w:p w14:paraId="2330421F" w14:textId="39F16307" w:rsidR="00712346" w:rsidRPr="009A7E6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30098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плаќање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доход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издавање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недвижноста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сопственост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нерезидент</w:t>
            </w:r>
            <w:proofErr w:type="spellEnd"/>
          </w:p>
        </w:tc>
        <w:tc>
          <w:tcPr>
            <w:tcW w:w="5294" w:type="dxa"/>
          </w:tcPr>
          <w:p w14:paraId="4A8451CD" w14:textId="77777777" w:rsidR="00712346" w:rsidRPr="0051712C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51712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Резидентот доставува:</w:t>
            </w:r>
          </w:p>
          <w:p w14:paraId="0D655F7B" w14:textId="06B39DAB" w:rsidR="00712346" w:rsidRPr="00B9521E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51712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доказ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извршен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упис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регистарот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вложување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недвижности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нерезиденти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при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Централниот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</w:p>
        </w:tc>
      </w:tr>
      <w:tr w:rsidR="000E1E6E" w:rsidRPr="009A7E6C" w14:paraId="5E7B8E57" w14:textId="77777777" w:rsidTr="009B5025">
        <w:trPr>
          <w:trHeight w:val="510"/>
        </w:trPr>
        <w:tc>
          <w:tcPr>
            <w:tcW w:w="851" w:type="dxa"/>
          </w:tcPr>
          <w:p w14:paraId="39B0C9FF" w14:textId="0A18495A" w:rsidR="000E1E6E" w:rsidRPr="001A378A" w:rsidRDefault="001A378A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1A378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4</w:t>
            </w:r>
            <w:r w:rsidR="000E1E6E" w:rsidRPr="001A378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4E420331" w14:textId="4D6000E9" w:rsidR="000E1E6E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Одливни платежни трансакции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по основ на извршни исправи</w:t>
            </w:r>
          </w:p>
        </w:tc>
        <w:tc>
          <w:tcPr>
            <w:tcW w:w="5294" w:type="dxa"/>
            <w:shd w:val="clear" w:color="auto" w:fill="auto"/>
          </w:tcPr>
          <w:p w14:paraId="55815A8C" w14:textId="77777777" w:rsidR="000E1E6E" w:rsidRPr="009A7E6C" w:rsidRDefault="000E1E6E" w:rsidP="00712346">
            <w:pPr>
              <w:ind w:left="-108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0E1E6E" w:rsidRPr="009A7E6C" w14:paraId="12551B7A" w14:textId="77777777" w:rsidTr="009B5025">
        <w:trPr>
          <w:trHeight w:val="510"/>
        </w:trPr>
        <w:tc>
          <w:tcPr>
            <w:tcW w:w="851" w:type="dxa"/>
          </w:tcPr>
          <w:p w14:paraId="45108582" w14:textId="77777777" w:rsidR="000E1E6E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25DEA744" w14:textId="1B8419AA" w:rsidR="000E1E6E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лаќања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капитални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трансакции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извршна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исправа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присилно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плаќање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извршна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исправа</w:t>
            </w:r>
            <w:proofErr w:type="spellEnd"/>
          </w:p>
        </w:tc>
        <w:tc>
          <w:tcPr>
            <w:tcW w:w="5294" w:type="dxa"/>
            <w:shd w:val="clear" w:color="auto" w:fill="auto"/>
          </w:tcPr>
          <w:p w14:paraId="69C3A9C7" w14:textId="6A9DEFFE" w:rsidR="000E1E6E" w:rsidRPr="009A7E6C" w:rsidRDefault="000E1E6E" w:rsidP="000E1E6E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P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доказ од надлежен орган дека се намирени законски пропишаните обврски врз основа на даноци и придонеси кон државата, ако за основната работа за која настанала обврската за плаќање е предвидено приложување на таков доказ</w:t>
            </w:r>
          </w:p>
        </w:tc>
      </w:tr>
      <w:tr w:rsidR="00712346" w:rsidRPr="009A7E6C" w14:paraId="77D7EE1E" w14:textId="77777777" w:rsidTr="009B5025">
        <w:trPr>
          <w:trHeight w:val="446"/>
        </w:trPr>
        <w:tc>
          <w:tcPr>
            <w:tcW w:w="851" w:type="dxa"/>
          </w:tcPr>
          <w:p w14:paraId="015C2135" w14:textId="74BF9086" w:rsidR="00712346" w:rsidRPr="009A7E6C" w:rsidRDefault="001A378A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5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1D8014A2" w14:textId="74137888" w:rsidR="00712346" w:rsidRPr="009A7E6C" w:rsidRDefault="00B620E7" w:rsidP="001A378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платежн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трансакци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во</w:t>
            </w:r>
            <w:r w:rsidR="007123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странство согласно износот</w:t>
            </w:r>
          </w:p>
        </w:tc>
        <w:tc>
          <w:tcPr>
            <w:tcW w:w="5294" w:type="dxa"/>
          </w:tcPr>
          <w:p w14:paraId="1CF18069" w14:textId="076FEF1B" w:rsidR="00712346" w:rsidRPr="009A7E6C" w:rsidRDefault="00712346" w:rsidP="007123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</w:tc>
      </w:tr>
      <w:tr w:rsidR="00712346" w:rsidRPr="009A7E6C" w14:paraId="4BABE9E0" w14:textId="77777777" w:rsidTr="009B5025">
        <w:tc>
          <w:tcPr>
            <w:tcW w:w="851" w:type="dxa"/>
          </w:tcPr>
          <w:p w14:paraId="31D6FB05" w14:textId="6C349654" w:rsidR="00712346" w:rsidRPr="009A7E6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1F68CE0D" w14:textId="76795741" w:rsidR="00712346" w:rsidRPr="00C57BB6" w:rsidRDefault="00712346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C57BB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B620E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Одливн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="00B620E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платежн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="00B620E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трансакци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Pr="00C57BB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за физички лица на износ 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еднаков и </w:t>
            </w:r>
            <w:r w:rsidRPr="00C57BB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поголем од 50,000 евра </w:t>
            </w:r>
          </w:p>
        </w:tc>
        <w:tc>
          <w:tcPr>
            <w:tcW w:w="5294" w:type="dxa"/>
          </w:tcPr>
          <w:p w14:paraId="7FEAF57A" w14:textId="71EEC581" w:rsidR="00712346" w:rsidRPr="009A7E6C" w:rsidRDefault="00712346" w:rsidP="00712346">
            <w:pPr>
              <w:rPr>
                <w:rFonts w:asciiTheme="minorHAnsi" w:hAnsiTheme="minorHAnsi" w:cstheme="minorHAnsi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Резидентот  доставува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дополнителни документи согласно барањето на Банката</w:t>
            </w:r>
          </w:p>
          <w:p w14:paraId="73D84A6B" w14:textId="77777777" w:rsidR="00712346" w:rsidRPr="009A7E6C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1A378A" w:rsidRPr="009A7E6C" w14:paraId="39C5F023" w14:textId="77777777" w:rsidTr="009B5025">
        <w:tc>
          <w:tcPr>
            <w:tcW w:w="851" w:type="dxa"/>
          </w:tcPr>
          <w:p w14:paraId="2689C3EE" w14:textId="64ACBD66" w:rsidR="001A378A" w:rsidRPr="009A7E6C" w:rsidRDefault="001A378A" w:rsidP="001A37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6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0E2E4E6A" w14:textId="71D68827" w:rsidR="001A378A" w:rsidRPr="00C57BB6" w:rsidRDefault="001A378A" w:rsidP="001A378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Одливни платежни трансакции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на сопствена сметка во странство</w:t>
            </w:r>
          </w:p>
        </w:tc>
        <w:tc>
          <w:tcPr>
            <w:tcW w:w="5294" w:type="dxa"/>
          </w:tcPr>
          <w:p w14:paraId="218300E4" w14:textId="77777777" w:rsidR="001A378A" w:rsidRPr="009A7E6C" w:rsidRDefault="001A378A" w:rsidP="001A378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B35302" w:rsidRPr="009A7E6C" w14:paraId="3AD0D8FA" w14:textId="77777777" w:rsidTr="009B5025">
        <w:tc>
          <w:tcPr>
            <w:tcW w:w="851" w:type="dxa"/>
          </w:tcPr>
          <w:p w14:paraId="757C239D" w14:textId="77777777" w:rsidR="00B35302" w:rsidRDefault="00B35302" w:rsidP="001A37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366F4701" w14:textId="59832DA5" w:rsidR="00B35302" w:rsidRPr="00B35302" w:rsidRDefault="00B35302" w:rsidP="001A378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B3530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Пренос на средства од платежна сметка на негова платежна сметка во странство документ</w:t>
            </w:r>
          </w:p>
        </w:tc>
        <w:tc>
          <w:tcPr>
            <w:tcW w:w="5294" w:type="dxa"/>
          </w:tcPr>
          <w:p w14:paraId="6603CCB3" w14:textId="2873DA55" w:rsidR="00B35302" w:rsidRPr="009A7E6C" w:rsidRDefault="00B35302" w:rsidP="001A378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B3530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 документ во согласност со Одлуката за начинот и условите под кои резидентите коишто не се овластени банки, можат да отвораат и да имаат сметки во странство.*</w:t>
            </w:r>
          </w:p>
        </w:tc>
      </w:tr>
      <w:tr w:rsidR="004D79FF" w:rsidRPr="009A7E6C" w14:paraId="0BF6811A" w14:textId="77777777" w:rsidTr="009B5025">
        <w:tc>
          <w:tcPr>
            <w:tcW w:w="851" w:type="dxa"/>
          </w:tcPr>
          <w:p w14:paraId="1B6607AA" w14:textId="77777777" w:rsidR="004D79FF" w:rsidRDefault="004D79F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3440C68C" w14:textId="5560BB85" w:rsidR="004D79FF" w:rsidRDefault="002B5256" w:rsidP="002B52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- </w:t>
            </w: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Физички лица со постојано место на живеење во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РСМ</w:t>
            </w: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 кои привремено престојуваат во странство 6 (шест) месеци или повеќе, за време на нивниот престој во странство</w:t>
            </w:r>
          </w:p>
        </w:tc>
        <w:tc>
          <w:tcPr>
            <w:tcW w:w="5294" w:type="dxa"/>
          </w:tcPr>
          <w:p w14:paraId="02E59E2C" w14:textId="373AF8EC" w:rsidR="002B5256" w:rsidRPr="002B5256" w:rsidRDefault="002B5256" w:rsidP="002B525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Привремениот престој во странство се докажува со важечки документ за престој во траење од 6 (шест) месеци или повеќе.</w:t>
            </w:r>
          </w:p>
          <w:p w14:paraId="7C48CC81" w14:textId="0FB1A90C" w:rsidR="002B5256" w:rsidRPr="002B5256" w:rsidRDefault="002B5256" w:rsidP="002B525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 важечки документ за престој во странство се смета документот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издаден од надлежен орган во државата со којшто се регулира престојот во таа земја.</w:t>
            </w:r>
          </w:p>
          <w:p w14:paraId="48A0DCD3" w14:textId="2DAEE6EF" w:rsidR="002B5256" w:rsidRPr="002B5256" w:rsidRDefault="002B5256" w:rsidP="002B525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Сметката кај странската банка врз оваа основа може да се отвори само во земјата од којашто е издаден важечкиот документ за престој и може да се користи </w:t>
            </w:r>
          </w:p>
          <w:p w14:paraId="340DAEC5" w14:textId="62DE460E" w:rsidR="004D79FF" w:rsidRPr="00CB5D92" w:rsidRDefault="002B5256" w:rsidP="002B525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 трансфер на средства во и од странство</w:t>
            </w:r>
            <w:r w:rsidR="00CB5D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4D79FF" w:rsidRPr="009A7E6C" w14:paraId="240B1B0F" w14:textId="77777777" w:rsidTr="009B5025">
        <w:tc>
          <w:tcPr>
            <w:tcW w:w="851" w:type="dxa"/>
          </w:tcPr>
          <w:p w14:paraId="461C352B" w14:textId="77777777" w:rsidR="004D79FF" w:rsidRDefault="004D79F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43309501" w14:textId="65F8CBFA" w:rsidR="004D79FF" w:rsidRPr="009A7E6C" w:rsidRDefault="002B5256" w:rsidP="002B525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Физички лица со постојано место на живеење во РСМ, а во исто време имаат и важечка странска патна исправа со податоци за адресата на живеење во странство.</w:t>
            </w:r>
          </w:p>
        </w:tc>
        <w:tc>
          <w:tcPr>
            <w:tcW w:w="5294" w:type="dxa"/>
          </w:tcPr>
          <w:p w14:paraId="4214924A" w14:textId="645ED938" w:rsidR="002B5256" w:rsidRPr="002B5256" w:rsidRDefault="002B5256" w:rsidP="002B525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Сметката кај странската банка врз оваа основа може да е отворена само во земјата каде што е издадена важечката патна исправа и може да се користи за </w:t>
            </w:r>
          </w:p>
          <w:p w14:paraId="39D10DCC" w14:textId="25C012CF" w:rsidR="004D79FF" w:rsidRPr="004D79FF" w:rsidRDefault="002B5256" w:rsidP="002B525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2B525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трансфер на средства во и од странство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</w:tc>
      </w:tr>
      <w:tr w:rsidR="004D79FF" w:rsidRPr="009A7E6C" w14:paraId="519B4812" w14:textId="77777777" w:rsidTr="00A05765">
        <w:tc>
          <w:tcPr>
            <w:tcW w:w="851" w:type="dxa"/>
          </w:tcPr>
          <w:p w14:paraId="799A493A" w14:textId="77777777" w:rsidR="004D79FF" w:rsidRPr="009A7E6C" w:rsidRDefault="004D79F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1371C03B" w14:textId="77777777" w:rsidR="006C5CC0" w:rsidRPr="006C5CC0" w:rsidRDefault="004D79FF" w:rsidP="006C5CC0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 </w:t>
            </w:r>
            <w:r w:rsidR="006C5CC0" w:rsidRP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Резиденти коишто имаат стекнато недвижен имот во странство, за </w:t>
            </w:r>
          </w:p>
          <w:p w14:paraId="2EF82018" w14:textId="0DE8496A" w:rsidR="004D79FF" w:rsidRPr="00C57BB6" w:rsidRDefault="006C5CC0" w:rsidP="006C5CC0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плаќање трошоци за недвижниот имот во странство</w:t>
            </w:r>
          </w:p>
        </w:tc>
        <w:tc>
          <w:tcPr>
            <w:tcW w:w="5294" w:type="dxa"/>
            <w:shd w:val="clear" w:color="auto" w:fill="auto"/>
          </w:tcPr>
          <w:p w14:paraId="6FB52123" w14:textId="12099CAD" w:rsidR="004D79FF" w:rsidRPr="004D79FF" w:rsidRDefault="006C5CC0" w:rsidP="004D79F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-П</w:t>
            </w:r>
            <w:r w:rsidR="004D79FF" w:rsidRP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отврд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 за</w:t>
            </w:r>
            <w:r w:rsidR="004D79FF" w:rsidRP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доказ за </w:t>
            </w:r>
            <w:r w:rsidR="004D79FF"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извршен упис во регистарот на вложувања во недвижности при Централниот </w:t>
            </w:r>
          </w:p>
          <w:p w14:paraId="24890CE8" w14:textId="430A4B17" w:rsidR="004D79FF" w:rsidRPr="004D79FF" w:rsidRDefault="004D79FF" w:rsidP="004D79F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регистар на Република Северна Македонија. Трошоците за недвижниот имот во странство се докажуваат со соодветен документ од кој произлегува обврската за нивно плаќање.</w:t>
            </w:r>
          </w:p>
          <w:p w14:paraId="591844AE" w14:textId="04326520" w:rsidR="004D79FF" w:rsidRPr="004D79FF" w:rsidRDefault="004D79FF" w:rsidP="004D79F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Сметката кај странската банка врз оваа основа може да се отвори само во земјата каде што се наоѓа недвижниот имот и може да се користи само за </w:t>
            </w:r>
          </w:p>
          <w:p w14:paraId="7FF41374" w14:textId="5C00EA11" w:rsidR="004D79FF" w:rsidRPr="009A7E6C" w:rsidRDefault="004D79FF" w:rsidP="00CB5D9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трансфер на средства во странство до висината на износот на трошоците.</w:t>
            </w:r>
          </w:p>
        </w:tc>
      </w:tr>
      <w:tr w:rsidR="00323BEB" w:rsidRPr="009A7E6C" w14:paraId="19451363" w14:textId="77777777" w:rsidTr="00A05765">
        <w:tc>
          <w:tcPr>
            <w:tcW w:w="851" w:type="dxa"/>
          </w:tcPr>
          <w:p w14:paraId="3453BF68" w14:textId="77777777" w:rsidR="00323BEB" w:rsidRPr="009A7E6C" w:rsidRDefault="00323BEB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6D004D68" w14:textId="2A208098" w:rsidR="00323BEB" w:rsidRPr="004D79FF" w:rsidRDefault="00CB5D92" w:rsidP="00323BE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323BEB"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Резиденти коишто имаат обврска за плаќање врз основа на купување </w:t>
            </w:r>
          </w:p>
          <w:p w14:paraId="0BE2CE0E" w14:textId="4F44D827" w:rsidR="00323BEB" w:rsidRPr="00A53683" w:rsidRDefault="00323BEB" w:rsidP="00CB5D9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хартии од вредност во странство </w:t>
            </w:r>
          </w:p>
        </w:tc>
        <w:tc>
          <w:tcPr>
            <w:tcW w:w="5294" w:type="dxa"/>
            <w:shd w:val="clear" w:color="auto" w:fill="auto"/>
          </w:tcPr>
          <w:p w14:paraId="17079753" w14:textId="327AEDE9" w:rsidR="00323BEB" w:rsidRPr="00CB5D92" w:rsidRDefault="00CB5D92" w:rsidP="004468E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Обврската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плаќање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при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купувањето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странство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докажуваат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налог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извршување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трансакцијата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извештај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извршена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трансакцијата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договор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друг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документ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потврди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трансакцијата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соодветен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документ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потврди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воспоставувањето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деловен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однос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меѓу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резидентот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овластениот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учесник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странска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берза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организиран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пазар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Сметката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кај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странската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банка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кај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овластениот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учесник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странска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берза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организиран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пазар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оваа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потточка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користи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само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трансфер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средства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кон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странство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коишто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поврзани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трансакциите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странство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21ED5" w:rsidRPr="009A7E6C" w14:paraId="79AE8C6B" w14:textId="77777777" w:rsidTr="00A05765">
        <w:tc>
          <w:tcPr>
            <w:tcW w:w="851" w:type="dxa"/>
          </w:tcPr>
          <w:p w14:paraId="4570D576" w14:textId="77777777" w:rsidR="00121ED5" w:rsidRPr="009A7E6C" w:rsidRDefault="00121ED5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27F677EF" w14:textId="3105E294" w:rsidR="00121ED5" w:rsidRPr="00121ED5" w:rsidRDefault="00CB5D92" w:rsidP="00121ED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121ED5" w:rsidRPr="00121E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Резидентите коишто имаат обврска/</w:t>
            </w:r>
            <w:r w:rsidR="004468E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121ED5" w:rsidRPr="00121E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задолжение за плаќање определена обврска кон надлежен орган/правно лице во странство (нотарска тарифа, судски такси, банкарски провизии или извршни трошоци).</w:t>
            </w:r>
          </w:p>
          <w:p w14:paraId="14B9E49D" w14:textId="77777777" w:rsidR="00121ED5" w:rsidRDefault="00121ED5" w:rsidP="00121ED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5294" w:type="dxa"/>
            <w:shd w:val="clear" w:color="auto" w:fill="auto"/>
          </w:tcPr>
          <w:p w14:paraId="3A841F38" w14:textId="7F8BAA85" w:rsidR="00121ED5" w:rsidRDefault="00CB5D92" w:rsidP="00CB5D9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4468E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</w:t>
            </w:r>
            <w:r w:rsidR="004468E3" w:rsidRPr="004468E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окумент во оригинал или фотокопија заверена од надлежен орган – нотар од којшто ќе може да се утврди обврската на резидентот да изврши плаќање кон надлежен орган/правно лице во странство.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E32821" w:rsidRPr="009A7E6C" w14:paraId="71D67436" w14:textId="77777777" w:rsidTr="00A05765">
        <w:tc>
          <w:tcPr>
            <w:tcW w:w="851" w:type="dxa"/>
          </w:tcPr>
          <w:p w14:paraId="324EB0E3" w14:textId="77777777" w:rsidR="00E32821" w:rsidRPr="009A7E6C" w:rsidRDefault="00E32821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18196C5D" w14:textId="1522ABED" w:rsidR="00121ED5" w:rsidRPr="00121ED5" w:rsidRDefault="00CB5D92" w:rsidP="00121ED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Физички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лица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постојано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место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живеење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</w:t>
            </w:r>
            <w:r w:rsidR="00121ED5" w:rsidRPr="00121E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а дозначување определен износ за целите на обезбедување </w:t>
            </w:r>
          </w:p>
          <w:p w14:paraId="0FE4D25A" w14:textId="225EDDB1" w:rsidR="00E32821" w:rsidRPr="009A7E6C" w:rsidRDefault="00121ED5" w:rsidP="00121ED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121E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lastRenderedPageBreak/>
              <w:t>документ за привремен престој во странство за потреби за образование</w:t>
            </w:r>
          </w:p>
        </w:tc>
        <w:tc>
          <w:tcPr>
            <w:tcW w:w="5294" w:type="dxa"/>
            <w:shd w:val="clear" w:color="auto" w:fill="auto"/>
          </w:tcPr>
          <w:p w14:paraId="58669106" w14:textId="3B7A9ADB" w:rsidR="00E32821" w:rsidRDefault="00121ED5" w:rsidP="00121ED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lastRenderedPageBreak/>
              <w:t>Д</w:t>
            </w:r>
            <w:r w:rsidRPr="00121E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окумент издаден од надлежнa странскa образовна институција, странски надлежен орган, дипломатско - конзуларно претставништво на странска земја во Република Северна Македонија со коj се потврдува дека за издавањето документ за регулиран престој </w:t>
            </w:r>
            <w:r w:rsidRPr="00121E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lastRenderedPageBreak/>
              <w:t>во таа држава заради образование, резидентот претходно треба да отвори сметка во странска банка и да дозначи точно наведен износ на средства на сметката.</w:t>
            </w:r>
            <w:r w:rsidR="00CB5D92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Сметката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отворена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оваа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отвори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само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земјата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којашто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издаден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документот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надлежнaта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странскa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образовна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институција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странскиот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надлежен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орган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дипломатско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конзуларното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претставништво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странската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земја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користи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трансфер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средства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странство</w:t>
            </w:r>
            <w:proofErr w:type="spellEnd"/>
            <w:r w:rsidR="00CB5D92" w:rsidRPr="00CB5D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53B1C" w:rsidRPr="009A7E6C" w14:paraId="3CB4CD1E" w14:textId="77777777" w:rsidTr="00A05765">
        <w:tc>
          <w:tcPr>
            <w:tcW w:w="851" w:type="dxa"/>
          </w:tcPr>
          <w:p w14:paraId="26628959" w14:textId="1C020F44" w:rsidR="00053B1C" w:rsidRPr="009A7E6C" w:rsidRDefault="00053B1C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lastRenderedPageBreak/>
              <w:t>7.</w:t>
            </w:r>
          </w:p>
        </w:tc>
        <w:tc>
          <w:tcPr>
            <w:tcW w:w="4133" w:type="dxa"/>
          </w:tcPr>
          <w:p w14:paraId="2D3BE85C" w14:textId="54F46A03" w:rsidR="00053B1C" w:rsidRPr="009A365A" w:rsidRDefault="00053B1C" w:rsidP="00CB5D9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9A36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Пренос на средства на сметки кај </w:t>
            </w:r>
            <w:r w:rsidRPr="009A365A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mk-MK"/>
              </w:rPr>
              <w:t>платежни институции</w:t>
            </w:r>
            <w:r w:rsidRPr="009A36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или </w:t>
            </w:r>
            <w:r w:rsidRPr="009A365A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  <w:lang w:val="mk-MK"/>
              </w:rPr>
              <w:t>институции за електронски пари</w:t>
            </w:r>
          </w:p>
        </w:tc>
        <w:tc>
          <w:tcPr>
            <w:tcW w:w="5294" w:type="dxa"/>
            <w:shd w:val="clear" w:color="auto" w:fill="auto"/>
          </w:tcPr>
          <w:p w14:paraId="6E4DE0C5" w14:textId="77777777" w:rsidR="00053B1C" w:rsidRPr="00E32821" w:rsidRDefault="00053B1C" w:rsidP="00E3282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E32821" w:rsidRPr="009A7E6C" w14:paraId="6259083F" w14:textId="77777777" w:rsidTr="00A05765">
        <w:tc>
          <w:tcPr>
            <w:tcW w:w="851" w:type="dxa"/>
          </w:tcPr>
          <w:p w14:paraId="4A3DE9FC" w14:textId="77777777" w:rsidR="00E32821" w:rsidRPr="009A7E6C" w:rsidRDefault="00E32821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4446460F" w14:textId="47474D2C" w:rsidR="00E32821" w:rsidRPr="009A7E6C" w:rsidRDefault="00CB5D92" w:rsidP="00CB5D9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Резидентите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физички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лица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можат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слободно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отвораат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имаат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с</w:t>
            </w:r>
            <w:r w:rsidR="00E32821"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метки кај платежни институции или институции за електронски пари во странство само заради комерцијални цели, односно за купување/продавање стоки и услуги по електронски пат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</w:tc>
        <w:tc>
          <w:tcPr>
            <w:tcW w:w="5294" w:type="dxa"/>
            <w:shd w:val="clear" w:color="auto" w:fill="auto"/>
          </w:tcPr>
          <w:p w14:paraId="14DAD77D" w14:textId="77777777" w:rsidR="00E32821" w:rsidRPr="00E32821" w:rsidRDefault="00E32821" w:rsidP="00E3282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Трансферите на средства кон сметки кај платежни </w:t>
            </w:r>
          </w:p>
          <w:p w14:paraId="7C6CB940" w14:textId="71436B31" w:rsidR="00E32821" w:rsidRPr="00E32821" w:rsidRDefault="00E32821" w:rsidP="00E3282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институции или институции за електронски пари во странство врз основа на купување стоки и услуги по електронски пат не смее да надминат 2.500 евра по </w:t>
            </w:r>
          </w:p>
          <w:p w14:paraId="4F61D120" w14:textId="7E6A3ED5" w:rsidR="00E32821" w:rsidRPr="00E32821" w:rsidRDefault="00E32821" w:rsidP="00E3282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лице на месечна основа. Доколку странските платежни институции или институции за електронски </w:t>
            </w:r>
          </w:p>
          <w:p w14:paraId="56FA7B4C" w14:textId="67B2E4E0" w:rsidR="00E32821" w:rsidRDefault="00E32821" w:rsidP="0050679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се и овластени учесници на странска берза или организиран пазар на хартии од вредност, во смисла на член 14 од Законот за девизното работење, резидентите, правни и физички лица, можат слободно да отвораат и да имаат сметки кај нив и за целите на купување/продавање хартии од вредност во странство</w:t>
            </w:r>
            <w:r w:rsidR="0050679A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</w:tc>
      </w:tr>
    </w:tbl>
    <w:p w14:paraId="701C42EE" w14:textId="77777777" w:rsidR="00F7793F" w:rsidRDefault="00F7793F" w:rsidP="009B5025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p w14:paraId="7E0339A3" w14:textId="5DC1F119" w:rsidR="0050679A" w:rsidRDefault="0050679A" w:rsidP="00E32821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50679A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*Повеќе инфо на следниот линк </w:t>
      </w:r>
      <w:hyperlink r:id="rId7" w:history="1">
        <w:r w:rsidRPr="00E851C1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mk-MK"/>
          </w:rPr>
          <w:t>https://www.nbrm.mk/ns-newsarticle-odluka-za-nacinot-i-uslovite-pod-koi-rezidentite-koisto-ne-se-ovlasteni-banki-mozat-da-otvoraat-i-da-imaat-smetki-vo-stranstvo.nspx</w:t>
        </w:r>
      </w:hyperlink>
    </w:p>
    <w:p w14:paraId="1240338C" w14:textId="77777777" w:rsidR="0050679A" w:rsidRDefault="0050679A" w:rsidP="00E32821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p w14:paraId="5CFF05F2" w14:textId="77777777" w:rsidR="0050679A" w:rsidRDefault="0050679A" w:rsidP="00E32821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p w14:paraId="0D9067DA" w14:textId="5CC71860" w:rsidR="00E32821" w:rsidRPr="00E32821" w:rsidRDefault="00E32821" w:rsidP="00E32821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>Напомена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>З</w:t>
      </w:r>
      <w:r w:rsidRPr="00E32821">
        <w:rPr>
          <w:rFonts w:asciiTheme="minorHAnsi" w:hAnsiTheme="minorHAnsi" w:cstheme="minorHAnsi"/>
          <w:b/>
          <w:bCs/>
          <w:sz w:val="22"/>
          <w:szCs w:val="22"/>
          <w:lang w:val="mk-MK"/>
        </w:rPr>
        <w:t>емјите коишто се дел од Единствената област за плаќања во евра (СЕПА), се сметаат како единствена земја.</w:t>
      </w:r>
    </w:p>
    <w:p w14:paraId="5FD719C7" w14:textId="77ECD9DA" w:rsidR="00E32821" w:rsidRDefault="00E32821" w:rsidP="009B5025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3317FE9" w14:textId="7F2334C2" w:rsidR="00626212" w:rsidRPr="00626212" w:rsidRDefault="00626212" w:rsidP="009B5025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>Банката го задржува правото да побара дополниителни доументи.</w:t>
      </w:r>
    </w:p>
    <w:sectPr w:rsidR="00626212" w:rsidRPr="00626212" w:rsidSect="00127074">
      <w:footerReference w:type="even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F8D6" w14:textId="77777777" w:rsidR="00F23846" w:rsidRDefault="00F23846">
      <w:r>
        <w:separator/>
      </w:r>
    </w:p>
  </w:endnote>
  <w:endnote w:type="continuationSeparator" w:id="0">
    <w:p w14:paraId="3E560F2A" w14:textId="77777777" w:rsidR="00F23846" w:rsidRDefault="00F2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38B7" w14:textId="77777777" w:rsidR="00DE2EAA" w:rsidRDefault="00DE2EAA" w:rsidP="00632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68B7F3" w14:textId="77777777" w:rsidR="00DE2EAA" w:rsidRDefault="00DE2EAA" w:rsidP="00CC25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BBBC" w14:textId="77777777" w:rsidR="00DE2EAA" w:rsidRDefault="00DE2EAA" w:rsidP="00632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7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B7F270" w14:textId="77777777" w:rsidR="00DE2EAA" w:rsidRDefault="00DE2EAA" w:rsidP="00CC25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077D" w14:textId="77777777" w:rsidR="00F23846" w:rsidRDefault="00F23846">
      <w:r>
        <w:separator/>
      </w:r>
    </w:p>
  </w:footnote>
  <w:footnote w:type="continuationSeparator" w:id="0">
    <w:p w14:paraId="635970D0" w14:textId="77777777" w:rsidR="00F23846" w:rsidRDefault="00F2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30F"/>
    <w:multiLevelType w:val="hybridMultilevel"/>
    <w:tmpl w:val="707825A6"/>
    <w:lvl w:ilvl="0" w:tplc="84A07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B00E92"/>
    <w:multiLevelType w:val="multilevel"/>
    <w:tmpl w:val="72221F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CD7809"/>
    <w:multiLevelType w:val="hybridMultilevel"/>
    <w:tmpl w:val="6EAA0E3A"/>
    <w:lvl w:ilvl="0" w:tplc="C8AAA63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F4F1B"/>
    <w:multiLevelType w:val="hybridMultilevel"/>
    <w:tmpl w:val="4A761B30"/>
    <w:lvl w:ilvl="0" w:tplc="7A7AFE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11A1F"/>
    <w:multiLevelType w:val="hybridMultilevel"/>
    <w:tmpl w:val="69821C1C"/>
    <w:lvl w:ilvl="0" w:tplc="CCA0C3F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E0E38FE"/>
    <w:multiLevelType w:val="multilevel"/>
    <w:tmpl w:val="6AC461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0475B"/>
    <w:multiLevelType w:val="hybridMultilevel"/>
    <w:tmpl w:val="5CD01DD4"/>
    <w:lvl w:ilvl="0" w:tplc="81D0A2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B4DF2"/>
    <w:multiLevelType w:val="hybridMultilevel"/>
    <w:tmpl w:val="A926ADF4"/>
    <w:lvl w:ilvl="0" w:tplc="F6EC5F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10662"/>
    <w:multiLevelType w:val="multilevel"/>
    <w:tmpl w:val="3490E34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MAC C Times" w:hAnsi="MAC C Times"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ascii="MAC C Times" w:hAnsi="MAC C Times"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ascii="MAC C Times" w:hAnsi="MAC C Times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ascii="MAC C Times" w:hAnsi="MAC C Times"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ascii="MAC C Times" w:hAnsi="MAC C Times"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ascii="MAC C Times" w:hAnsi="MAC C Times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ascii="MAC C Times" w:hAnsi="MAC C Times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ascii="MAC C Times" w:hAnsi="MAC C Times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ascii="MAC C Times" w:hAnsi="MAC C Times" w:hint="default"/>
      </w:rPr>
    </w:lvl>
  </w:abstractNum>
  <w:abstractNum w:abstractNumId="9" w15:restartNumberingAfterBreak="0">
    <w:nsid w:val="32DE3405"/>
    <w:multiLevelType w:val="hybridMultilevel"/>
    <w:tmpl w:val="B34AB6B0"/>
    <w:lvl w:ilvl="0" w:tplc="390CEB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167B2"/>
    <w:multiLevelType w:val="hybridMultilevel"/>
    <w:tmpl w:val="1CBEFA2A"/>
    <w:lvl w:ilvl="0" w:tplc="7A44EEBA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11A31"/>
    <w:multiLevelType w:val="hybridMultilevel"/>
    <w:tmpl w:val="6564464C"/>
    <w:lvl w:ilvl="0" w:tplc="6AF8288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0630"/>
    <w:multiLevelType w:val="hybridMultilevel"/>
    <w:tmpl w:val="77B6EB42"/>
    <w:lvl w:ilvl="0" w:tplc="0F885AF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06C24"/>
    <w:multiLevelType w:val="hybridMultilevel"/>
    <w:tmpl w:val="0AD4B4EE"/>
    <w:lvl w:ilvl="0" w:tplc="1F06AC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01DBD"/>
    <w:multiLevelType w:val="multilevel"/>
    <w:tmpl w:val="6AC461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BE458D0"/>
    <w:multiLevelType w:val="hybridMultilevel"/>
    <w:tmpl w:val="0E427824"/>
    <w:lvl w:ilvl="0" w:tplc="7D0226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B0DE4"/>
    <w:multiLevelType w:val="hybridMultilevel"/>
    <w:tmpl w:val="90302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F60A94"/>
    <w:multiLevelType w:val="hybridMultilevel"/>
    <w:tmpl w:val="27AC6F5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73C3505F"/>
    <w:multiLevelType w:val="hybridMultilevel"/>
    <w:tmpl w:val="C07CF5AC"/>
    <w:lvl w:ilvl="0" w:tplc="0430267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15" w:hanging="360"/>
      </w:pPr>
    </w:lvl>
    <w:lvl w:ilvl="2" w:tplc="042F001B" w:tentative="1">
      <w:start w:val="1"/>
      <w:numFmt w:val="lowerRoman"/>
      <w:lvlText w:val="%3."/>
      <w:lvlJc w:val="right"/>
      <w:pPr>
        <w:ind w:left="2235" w:hanging="180"/>
      </w:pPr>
    </w:lvl>
    <w:lvl w:ilvl="3" w:tplc="042F000F" w:tentative="1">
      <w:start w:val="1"/>
      <w:numFmt w:val="decimal"/>
      <w:lvlText w:val="%4."/>
      <w:lvlJc w:val="left"/>
      <w:pPr>
        <w:ind w:left="2955" w:hanging="360"/>
      </w:pPr>
    </w:lvl>
    <w:lvl w:ilvl="4" w:tplc="042F0019" w:tentative="1">
      <w:start w:val="1"/>
      <w:numFmt w:val="lowerLetter"/>
      <w:lvlText w:val="%5."/>
      <w:lvlJc w:val="left"/>
      <w:pPr>
        <w:ind w:left="3675" w:hanging="360"/>
      </w:pPr>
    </w:lvl>
    <w:lvl w:ilvl="5" w:tplc="042F001B" w:tentative="1">
      <w:start w:val="1"/>
      <w:numFmt w:val="lowerRoman"/>
      <w:lvlText w:val="%6."/>
      <w:lvlJc w:val="right"/>
      <w:pPr>
        <w:ind w:left="4395" w:hanging="180"/>
      </w:pPr>
    </w:lvl>
    <w:lvl w:ilvl="6" w:tplc="042F000F" w:tentative="1">
      <w:start w:val="1"/>
      <w:numFmt w:val="decimal"/>
      <w:lvlText w:val="%7."/>
      <w:lvlJc w:val="left"/>
      <w:pPr>
        <w:ind w:left="5115" w:hanging="360"/>
      </w:pPr>
    </w:lvl>
    <w:lvl w:ilvl="7" w:tplc="042F0019" w:tentative="1">
      <w:start w:val="1"/>
      <w:numFmt w:val="lowerLetter"/>
      <w:lvlText w:val="%8."/>
      <w:lvlJc w:val="left"/>
      <w:pPr>
        <w:ind w:left="5835" w:hanging="360"/>
      </w:pPr>
    </w:lvl>
    <w:lvl w:ilvl="8" w:tplc="042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CC008B"/>
    <w:multiLevelType w:val="hybridMultilevel"/>
    <w:tmpl w:val="69E628EC"/>
    <w:lvl w:ilvl="0" w:tplc="64DCD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64154">
    <w:abstractNumId w:val="8"/>
  </w:num>
  <w:num w:numId="2" w16cid:durableId="1830053628">
    <w:abstractNumId w:val="0"/>
  </w:num>
  <w:num w:numId="3" w16cid:durableId="871653049">
    <w:abstractNumId w:val="5"/>
  </w:num>
  <w:num w:numId="4" w16cid:durableId="1418669289">
    <w:abstractNumId w:val="7"/>
  </w:num>
  <w:num w:numId="5" w16cid:durableId="722796676">
    <w:abstractNumId w:val="1"/>
  </w:num>
  <w:num w:numId="6" w16cid:durableId="1530411024">
    <w:abstractNumId w:val="6"/>
  </w:num>
  <w:num w:numId="7" w16cid:durableId="1538588778">
    <w:abstractNumId w:val="4"/>
  </w:num>
  <w:num w:numId="8" w16cid:durableId="237985483">
    <w:abstractNumId w:val="14"/>
  </w:num>
  <w:num w:numId="9" w16cid:durableId="1977493027">
    <w:abstractNumId w:val="12"/>
  </w:num>
  <w:num w:numId="10" w16cid:durableId="1856654330">
    <w:abstractNumId w:val="10"/>
  </w:num>
  <w:num w:numId="11" w16cid:durableId="1934781256">
    <w:abstractNumId w:val="16"/>
  </w:num>
  <w:num w:numId="12" w16cid:durableId="894507608">
    <w:abstractNumId w:val="18"/>
  </w:num>
  <w:num w:numId="13" w16cid:durableId="2106922487">
    <w:abstractNumId w:val="17"/>
  </w:num>
  <w:num w:numId="14" w16cid:durableId="561253627">
    <w:abstractNumId w:val="3"/>
  </w:num>
  <w:num w:numId="15" w16cid:durableId="657075656">
    <w:abstractNumId w:val="9"/>
  </w:num>
  <w:num w:numId="16" w16cid:durableId="103574932">
    <w:abstractNumId w:val="13"/>
  </w:num>
  <w:num w:numId="17" w16cid:durableId="1669482228">
    <w:abstractNumId w:val="11"/>
  </w:num>
  <w:num w:numId="18" w16cid:durableId="917716327">
    <w:abstractNumId w:val="2"/>
  </w:num>
  <w:num w:numId="19" w16cid:durableId="1206217429">
    <w:abstractNumId w:val="19"/>
  </w:num>
  <w:num w:numId="20" w16cid:durableId="469329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24"/>
    <w:rsid w:val="000032E2"/>
    <w:rsid w:val="0001259B"/>
    <w:rsid w:val="00016C6D"/>
    <w:rsid w:val="0002693D"/>
    <w:rsid w:val="000320C5"/>
    <w:rsid w:val="00035664"/>
    <w:rsid w:val="00051DAB"/>
    <w:rsid w:val="00053B1C"/>
    <w:rsid w:val="00055CDC"/>
    <w:rsid w:val="00064419"/>
    <w:rsid w:val="00080578"/>
    <w:rsid w:val="0008565E"/>
    <w:rsid w:val="00090594"/>
    <w:rsid w:val="00090D34"/>
    <w:rsid w:val="0009311D"/>
    <w:rsid w:val="00095459"/>
    <w:rsid w:val="00095D68"/>
    <w:rsid w:val="000B0AFE"/>
    <w:rsid w:val="000B0B90"/>
    <w:rsid w:val="000B3805"/>
    <w:rsid w:val="000B5C90"/>
    <w:rsid w:val="000B5DE0"/>
    <w:rsid w:val="000C4BF8"/>
    <w:rsid w:val="000C64D6"/>
    <w:rsid w:val="000D52D1"/>
    <w:rsid w:val="000D60D9"/>
    <w:rsid w:val="000E1E6E"/>
    <w:rsid w:val="000E5D44"/>
    <w:rsid w:val="000F79C6"/>
    <w:rsid w:val="00101E93"/>
    <w:rsid w:val="00111823"/>
    <w:rsid w:val="00114E9F"/>
    <w:rsid w:val="001156CB"/>
    <w:rsid w:val="00117086"/>
    <w:rsid w:val="0012060B"/>
    <w:rsid w:val="00121ED5"/>
    <w:rsid w:val="00127074"/>
    <w:rsid w:val="001278A4"/>
    <w:rsid w:val="00144270"/>
    <w:rsid w:val="00145310"/>
    <w:rsid w:val="001532B1"/>
    <w:rsid w:val="00164CAF"/>
    <w:rsid w:val="00166847"/>
    <w:rsid w:val="00177438"/>
    <w:rsid w:val="0018115B"/>
    <w:rsid w:val="001825A3"/>
    <w:rsid w:val="00185A5F"/>
    <w:rsid w:val="001868B3"/>
    <w:rsid w:val="00186AFF"/>
    <w:rsid w:val="00192F39"/>
    <w:rsid w:val="00194768"/>
    <w:rsid w:val="001A378A"/>
    <w:rsid w:val="001A4179"/>
    <w:rsid w:val="001C1A00"/>
    <w:rsid w:val="001C587F"/>
    <w:rsid w:val="001D0548"/>
    <w:rsid w:val="001D0BC4"/>
    <w:rsid w:val="001D3696"/>
    <w:rsid w:val="001D6831"/>
    <w:rsid w:val="001D793C"/>
    <w:rsid w:val="001F3EDB"/>
    <w:rsid w:val="001F4992"/>
    <w:rsid w:val="001F5317"/>
    <w:rsid w:val="001F613D"/>
    <w:rsid w:val="001F7737"/>
    <w:rsid w:val="00200F6D"/>
    <w:rsid w:val="00203C7A"/>
    <w:rsid w:val="0020539A"/>
    <w:rsid w:val="0020661E"/>
    <w:rsid w:val="00207503"/>
    <w:rsid w:val="00207A95"/>
    <w:rsid w:val="00235A25"/>
    <w:rsid w:val="00251DF7"/>
    <w:rsid w:val="0025786C"/>
    <w:rsid w:val="0026007D"/>
    <w:rsid w:val="00276C18"/>
    <w:rsid w:val="002868D6"/>
    <w:rsid w:val="00294670"/>
    <w:rsid w:val="002A58FC"/>
    <w:rsid w:val="002A7AC9"/>
    <w:rsid w:val="002B5256"/>
    <w:rsid w:val="002C6CDF"/>
    <w:rsid w:val="002E2143"/>
    <w:rsid w:val="002E52FB"/>
    <w:rsid w:val="00300989"/>
    <w:rsid w:val="003158ED"/>
    <w:rsid w:val="00323BEB"/>
    <w:rsid w:val="0033069F"/>
    <w:rsid w:val="00341708"/>
    <w:rsid w:val="00356A68"/>
    <w:rsid w:val="00364341"/>
    <w:rsid w:val="0037539E"/>
    <w:rsid w:val="00387633"/>
    <w:rsid w:val="00394608"/>
    <w:rsid w:val="0039781E"/>
    <w:rsid w:val="003A13D2"/>
    <w:rsid w:val="003B147B"/>
    <w:rsid w:val="003D51F9"/>
    <w:rsid w:val="003E0361"/>
    <w:rsid w:val="003E05E6"/>
    <w:rsid w:val="003E4031"/>
    <w:rsid w:val="003F0D4F"/>
    <w:rsid w:val="003F238E"/>
    <w:rsid w:val="0040593A"/>
    <w:rsid w:val="00411D23"/>
    <w:rsid w:val="004136A0"/>
    <w:rsid w:val="0041681F"/>
    <w:rsid w:val="00421520"/>
    <w:rsid w:val="00430727"/>
    <w:rsid w:val="0043640C"/>
    <w:rsid w:val="004468E3"/>
    <w:rsid w:val="00447579"/>
    <w:rsid w:val="0045291B"/>
    <w:rsid w:val="00465DF0"/>
    <w:rsid w:val="0047196B"/>
    <w:rsid w:val="0047344A"/>
    <w:rsid w:val="004764BD"/>
    <w:rsid w:val="00481BAD"/>
    <w:rsid w:val="004B2501"/>
    <w:rsid w:val="004B3C04"/>
    <w:rsid w:val="004B59BB"/>
    <w:rsid w:val="004C5187"/>
    <w:rsid w:val="004D7178"/>
    <w:rsid w:val="004D79FF"/>
    <w:rsid w:val="004E019D"/>
    <w:rsid w:val="004E2E39"/>
    <w:rsid w:val="004E3204"/>
    <w:rsid w:val="004E4ABB"/>
    <w:rsid w:val="004E713A"/>
    <w:rsid w:val="004F4954"/>
    <w:rsid w:val="00501194"/>
    <w:rsid w:val="0050679A"/>
    <w:rsid w:val="005100EE"/>
    <w:rsid w:val="005126A0"/>
    <w:rsid w:val="00512CAE"/>
    <w:rsid w:val="0051712C"/>
    <w:rsid w:val="00520328"/>
    <w:rsid w:val="00524731"/>
    <w:rsid w:val="00527312"/>
    <w:rsid w:val="00527CFE"/>
    <w:rsid w:val="00531718"/>
    <w:rsid w:val="0053420E"/>
    <w:rsid w:val="00535D6C"/>
    <w:rsid w:val="00540F5A"/>
    <w:rsid w:val="00544508"/>
    <w:rsid w:val="00545B00"/>
    <w:rsid w:val="0055262F"/>
    <w:rsid w:val="005575A4"/>
    <w:rsid w:val="0056012E"/>
    <w:rsid w:val="00572834"/>
    <w:rsid w:val="005816D3"/>
    <w:rsid w:val="00585103"/>
    <w:rsid w:val="00587C88"/>
    <w:rsid w:val="005904E4"/>
    <w:rsid w:val="00593106"/>
    <w:rsid w:val="005948AD"/>
    <w:rsid w:val="005A1555"/>
    <w:rsid w:val="005A21FE"/>
    <w:rsid w:val="005C2FE7"/>
    <w:rsid w:val="005C4E89"/>
    <w:rsid w:val="005D3969"/>
    <w:rsid w:val="005E3457"/>
    <w:rsid w:val="005E747D"/>
    <w:rsid w:val="005F046B"/>
    <w:rsid w:val="005F4743"/>
    <w:rsid w:val="0060573E"/>
    <w:rsid w:val="006064E3"/>
    <w:rsid w:val="006112F6"/>
    <w:rsid w:val="006175D4"/>
    <w:rsid w:val="00626212"/>
    <w:rsid w:val="006323A0"/>
    <w:rsid w:val="006328ED"/>
    <w:rsid w:val="00634BD1"/>
    <w:rsid w:val="00642432"/>
    <w:rsid w:val="00642789"/>
    <w:rsid w:val="006502F1"/>
    <w:rsid w:val="00653608"/>
    <w:rsid w:val="0066117D"/>
    <w:rsid w:val="006650D7"/>
    <w:rsid w:val="006819A8"/>
    <w:rsid w:val="00691945"/>
    <w:rsid w:val="00696148"/>
    <w:rsid w:val="006A723A"/>
    <w:rsid w:val="006B1AA3"/>
    <w:rsid w:val="006C0F20"/>
    <w:rsid w:val="006C146F"/>
    <w:rsid w:val="006C365A"/>
    <w:rsid w:val="006C5CC0"/>
    <w:rsid w:val="006D01F4"/>
    <w:rsid w:val="006D7EF3"/>
    <w:rsid w:val="006E237C"/>
    <w:rsid w:val="00704A19"/>
    <w:rsid w:val="00704FD0"/>
    <w:rsid w:val="007058A1"/>
    <w:rsid w:val="0070730D"/>
    <w:rsid w:val="00710E1B"/>
    <w:rsid w:val="00712346"/>
    <w:rsid w:val="00727061"/>
    <w:rsid w:val="007340EF"/>
    <w:rsid w:val="007348CA"/>
    <w:rsid w:val="0073528E"/>
    <w:rsid w:val="007364A9"/>
    <w:rsid w:val="00737AAD"/>
    <w:rsid w:val="00737F99"/>
    <w:rsid w:val="00747587"/>
    <w:rsid w:val="00750D7D"/>
    <w:rsid w:val="007550DF"/>
    <w:rsid w:val="00771436"/>
    <w:rsid w:val="00772927"/>
    <w:rsid w:val="00772D11"/>
    <w:rsid w:val="00775FFB"/>
    <w:rsid w:val="00794F98"/>
    <w:rsid w:val="007C6360"/>
    <w:rsid w:val="007C6712"/>
    <w:rsid w:val="007E596E"/>
    <w:rsid w:val="007F12A7"/>
    <w:rsid w:val="007F2413"/>
    <w:rsid w:val="007F3557"/>
    <w:rsid w:val="00800A23"/>
    <w:rsid w:val="00804A56"/>
    <w:rsid w:val="008165FA"/>
    <w:rsid w:val="008211AC"/>
    <w:rsid w:val="00821CF4"/>
    <w:rsid w:val="00835A30"/>
    <w:rsid w:val="00852583"/>
    <w:rsid w:val="00855690"/>
    <w:rsid w:val="008654E7"/>
    <w:rsid w:val="008835B1"/>
    <w:rsid w:val="00893F93"/>
    <w:rsid w:val="00895516"/>
    <w:rsid w:val="0089552C"/>
    <w:rsid w:val="008B0521"/>
    <w:rsid w:val="008B6447"/>
    <w:rsid w:val="008B6FC7"/>
    <w:rsid w:val="008B7B66"/>
    <w:rsid w:val="008B7EC5"/>
    <w:rsid w:val="008C0501"/>
    <w:rsid w:val="008C5FDC"/>
    <w:rsid w:val="008C6DD6"/>
    <w:rsid w:val="008D068B"/>
    <w:rsid w:val="008D11AE"/>
    <w:rsid w:val="008D1A27"/>
    <w:rsid w:val="008D1FE6"/>
    <w:rsid w:val="008E04B2"/>
    <w:rsid w:val="008E18F6"/>
    <w:rsid w:val="008E2E81"/>
    <w:rsid w:val="008F12B9"/>
    <w:rsid w:val="008F2CBC"/>
    <w:rsid w:val="00904780"/>
    <w:rsid w:val="00917C2F"/>
    <w:rsid w:val="00927B81"/>
    <w:rsid w:val="00927F65"/>
    <w:rsid w:val="009327DD"/>
    <w:rsid w:val="0093508D"/>
    <w:rsid w:val="009360D9"/>
    <w:rsid w:val="009417FC"/>
    <w:rsid w:val="00953126"/>
    <w:rsid w:val="009572C1"/>
    <w:rsid w:val="00961BB4"/>
    <w:rsid w:val="00974C1B"/>
    <w:rsid w:val="0098055B"/>
    <w:rsid w:val="00980F28"/>
    <w:rsid w:val="009A26FA"/>
    <w:rsid w:val="009A291A"/>
    <w:rsid w:val="009A365A"/>
    <w:rsid w:val="009A3A10"/>
    <w:rsid w:val="009A7E6C"/>
    <w:rsid w:val="009B5025"/>
    <w:rsid w:val="009C6576"/>
    <w:rsid w:val="009D232A"/>
    <w:rsid w:val="009D4A34"/>
    <w:rsid w:val="009E0150"/>
    <w:rsid w:val="009E0343"/>
    <w:rsid w:val="009E2BC8"/>
    <w:rsid w:val="009E6A24"/>
    <w:rsid w:val="00A05A72"/>
    <w:rsid w:val="00A137F6"/>
    <w:rsid w:val="00A2581A"/>
    <w:rsid w:val="00A33F95"/>
    <w:rsid w:val="00A34226"/>
    <w:rsid w:val="00A37F92"/>
    <w:rsid w:val="00A41917"/>
    <w:rsid w:val="00A45FDD"/>
    <w:rsid w:val="00A530A1"/>
    <w:rsid w:val="00A53683"/>
    <w:rsid w:val="00A54EE1"/>
    <w:rsid w:val="00A64E9C"/>
    <w:rsid w:val="00A6676F"/>
    <w:rsid w:val="00A66D81"/>
    <w:rsid w:val="00A717C3"/>
    <w:rsid w:val="00A74EE7"/>
    <w:rsid w:val="00A86503"/>
    <w:rsid w:val="00A978CB"/>
    <w:rsid w:val="00AA37A7"/>
    <w:rsid w:val="00AA42E8"/>
    <w:rsid w:val="00AA43CB"/>
    <w:rsid w:val="00AA7EA3"/>
    <w:rsid w:val="00AB5971"/>
    <w:rsid w:val="00AB61E7"/>
    <w:rsid w:val="00AB72D7"/>
    <w:rsid w:val="00AC25CA"/>
    <w:rsid w:val="00AD30D0"/>
    <w:rsid w:val="00AD74B8"/>
    <w:rsid w:val="00AE564B"/>
    <w:rsid w:val="00AF7C2E"/>
    <w:rsid w:val="00B14004"/>
    <w:rsid w:val="00B21096"/>
    <w:rsid w:val="00B214F8"/>
    <w:rsid w:val="00B35302"/>
    <w:rsid w:val="00B61FCD"/>
    <w:rsid w:val="00B620E7"/>
    <w:rsid w:val="00B63642"/>
    <w:rsid w:val="00B661C8"/>
    <w:rsid w:val="00B75775"/>
    <w:rsid w:val="00B814AB"/>
    <w:rsid w:val="00B9521E"/>
    <w:rsid w:val="00BA0978"/>
    <w:rsid w:val="00BA19DE"/>
    <w:rsid w:val="00BB02E0"/>
    <w:rsid w:val="00BB43AC"/>
    <w:rsid w:val="00BC4C59"/>
    <w:rsid w:val="00BD5D00"/>
    <w:rsid w:val="00BF617B"/>
    <w:rsid w:val="00BF7FDB"/>
    <w:rsid w:val="00C03055"/>
    <w:rsid w:val="00C12231"/>
    <w:rsid w:val="00C13624"/>
    <w:rsid w:val="00C25124"/>
    <w:rsid w:val="00C34549"/>
    <w:rsid w:val="00C3600F"/>
    <w:rsid w:val="00C4474C"/>
    <w:rsid w:val="00C5664E"/>
    <w:rsid w:val="00C56EEC"/>
    <w:rsid w:val="00C57BB6"/>
    <w:rsid w:val="00C62708"/>
    <w:rsid w:val="00C654C7"/>
    <w:rsid w:val="00C709F1"/>
    <w:rsid w:val="00C73A55"/>
    <w:rsid w:val="00C91A31"/>
    <w:rsid w:val="00CA593F"/>
    <w:rsid w:val="00CA7B8C"/>
    <w:rsid w:val="00CB0A1E"/>
    <w:rsid w:val="00CB5D92"/>
    <w:rsid w:val="00CC25A0"/>
    <w:rsid w:val="00CD5196"/>
    <w:rsid w:val="00CD5CA7"/>
    <w:rsid w:val="00CE0B1D"/>
    <w:rsid w:val="00CE51CF"/>
    <w:rsid w:val="00CE5933"/>
    <w:rsid w:val="00CE594E"/>
    <w:rsid w:val="00CF06D5"/>
    <w:rsid w:val="00D06C36"/>
    <w:rsid w:val="00D11650"/>
    <w:rsid w:val="00D123AE"/>
    <w:rsid w:val="00D1401B"/>
    <w:rsid w:val="00D162D8"/>
    <w:rsid w:val="00D22762"/>
    <w:rsid w:val="00D23883"/>
    <w:rsid w:val="00D241C0"/>
    <w:rsid w:val="00D420AB"/>
    <w:rsid w:val="00D536EB"/>
    <w:rsid w:val="00D53D49"/>
    <w:rsid w:val="00D56B8D"/>
    <w:rsid w:val="00D623AF"/>
    <w:rsid w:val="00D66366"/>
    <w:rsid w:val="00D66DC7"/>
    <w:rsid w:val="00D76ABF"/>
    <w:rsid w:val="00D803C5"/>
    <w:rsid w:val="00D80955"/>
    <w:rsid w:val="00D83554"/>
    <w:rsid w:val="00D86254"/>
    <w:rsid w:val="00D8754D"/>
    <w:rsid w:val="00DA7F3C"/>
    <w:rsid w:val="00DB25AF"/>
    <w:rsid w:val="00DD2F78"/>
    <w:rsid w:val="00DE0F67"/>
    <w:rsid w:val="00DE2EAA"/>
    <w:rsid w:val="00DE4725"/>
    <w:rsid w:val="00DE4C12"/>
    <w:rsid w:val="00DF7408"/>
    <w:rsid w:val="00E03D54"/>
    <w:rsid w:val="00E1348A"/>
    <w:rsid w:val="00E203C9"/>
    <w:rsid w:val="00E21049"/>
    <w:rsid w:val="00E2339C"/>
    <w:rsid w:val="00E30407"/>
    <w:rsid w:val="00E30FE3"/>
    <w:rsid w:val="00E32821"/>
    <w:rsid w:val="00E36A59"/>
    <w:rsid w:val="00E37469"/>
    <w:rsid w:val="00E40187"/>
    <w:rsid w:val="00E4370C"/>
    <w:rsid w:val="00E456FF"/>
    <w:rsid w:val="00E5525E"/>
    <w:rsid w:val="00E750E9"/>
    <w:rsid w:val="00E76513"/>
    <w:rsid w:val="00E83113"/>
    <w:rsid w:val="00E90C00"/>
    <w:rsid w:val="00EA2474"/>
    <w:rsid w:val="00EC6C41"/>
    <w:rsid w:val="00EC7CE7"/>
    <w:rsid w:val="00ED1AB4"/>
    <w:rsid w:val="00EE013C"/>
    <w:rsid w:val="00EE478E"/>
    <w:rsid w:val="00EF3062"/>
    <w:rsid w:val="00EF41D0"/>
    <w:rsid w:val="00EF5F53"/>
    <w:rsid w:val="00EF600D"/>
    <w:rsid w:val="00F0385C"/>
    <w:rsid w:val="00F04471"/>
    <w:rsid w:val="00F10202"/>
    <w:rsid w:val="00F219C0"/>
    <w:rsid w:val="00F23846"/>
    <w:rsid w:val="00F244DB"/>
    <w:rsid w:val="00F253C6"/>
    <w:rsid w:val="00F2612F"/>
    <w:rsid w:val="00F324DD"/>
    <w:rsid w:val="00F3569B"/>
    <w:rsid w:val="00F369C2"/>
    <w:rsid w:val="00F513C9"/>
    <w:rsid w:val="00F566C6"/>
    <w:rsid w:val="00F60093"/>
    <w:rsid w:val="00F72610"/>
    <w:rsid w:val="00F7793F"/>
    <w:rsid w:val="00F823C7"/>
    <w:rsid w:val="00F8565D"/>
    <w:rsid w:val="00FA518E"/>
    <w:rsid w:val="00FA7370"/>
    <w:rsid w:val="00FB20EA"/>
    <w:rsid w:val="00FB3000"/>
    <w:rsid w:val="00FB559E"/>
    <w:rsid w:val="00FC0EC8"/>
    <w:rsid w:val="00FC4A22"/>
    <w:rsid w:val="00FC5857"/>
    <w:rsid w:val="00FE2175"/>
    <w:rsid w:val="00FE6692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63BFD"/>
  <w15:chartTrackingRefBased/>
  <w15:docId w15:val="{6FB57BFE-C9FF-43A3-8A14-EB91D3BE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91945"/>
    <w:pPr>
      <w:keepNext/>
      <w:outlineLvl w:val="0"/>
    </w:pPr>
    <w:rPr>
      <w:rFonts w:ascii="MAC C Times" w:hAnsi="MAC C Times"/>
      <w:lang w:eastAsia="en-US"/>
    </w:rPr>
  </w:style>
  <w:style w:type="paragraph" w:styleId="Heading2">
    <w:name w:val="heading 2"/>
    <w:basedOn w:val="Normal"/>
    <w:next w:val="Normal"/>
    <w:qFormat/>
    <w:rsid w:val="00AA42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C25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25A0"/>
  </w:style>
  <w:style w:type="paragraph" w:styleId="Header">
    <w:name w:val="header"/>
    <w:basedOn w:val="Normal"/>
    <w:rsid w:val="00691945"/>
    <w:pPr>
      <w:tabs>
        <w:tab w:val="center" w:pos="4320"/>
        <w:tab w:val="right" w:pos="8640"/>
      </w:tabs>
      <w:jc w:val="both"/>
    </w:pPr>
    <w:rPr>
      <w:rFonts w:ascii="Macedonian Tms" w:hAnsi="Macedonian Tms"/>
      <w:szCs w:val="20"/>
      <w:lang w:val="en-US" w:eastAsia="en-US"/>
    </w:rPr>
  </w:style>
  <w:style w:type="paragraph" w:styleId="BalloonText">
    <w:name w:val="Balloon Text"/>
    <w:basedOn w:val="Normal"/>
    <w:semiHidden/>
    <w:rsid w:val="00D420A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C1A00"/>
    <w:pPr>
      <w:tabs>
        <w:tab w:val="left" w:pos="1134"/>
      </w:tabs>
      <w:jc w:val="center"/>
    </w:pPr>
    <w:rPr>
      <w:rFonts w:ascii="Macedonian Tms" w:hAnsi="Macedonian Tms"/>
      <w:b/>
      <w:szCs w:val="20"/>
      <w:lang w:val="en-US" w:eastAsia="en-US"/>
    </w:rPr>
  </w:style>
  <w:style w:type="paragraph" w:customStyle="1" w:styleId="Default">
    <w:name w:val="Default"/>
    <w:rsid w:val="00A05A7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mk-MK" w:eastAsia="mk-MK"/>
    </w:rPr>
  </w:style>
  <w:style w:type="paragraph" w:styleId="ListParagraph">
    <w:name w:val="List Paragraph"/>
    <w:basedOn w:val="Normal"/>
    <w:uiPriority w:val="34"/>
    <w:qFormat/>
    <w:rsid w:val="00B9521E"/>
    <w:pPr>
      <w:ind w:left="720"/>
      <w:contextualSpacing/>
    </w:pPr>
  </w:style>
  <w:style w:type="character" w:styleId="Hyperlink">
    <w:name w:val="Hyperlink"/>
    <w:basedOn w:val="DefaultParagraphFont"/>
    <w:rsid w:val="00506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brm.mk/ns-newsarticle-odluka-za-nacinot-i-uslovite-pod-koi-rezidentite-koisto-ne-se-ovlasteni-banki-mozat-da-otvoraat-i-da-imaat-smetki-vo-stranstvo.n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1109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Vrz o snova na ~len 46 od Statutot na Stopanska banka AD Skopje (S</vt:lpstr>
    </vt:vector>
  </TitlesOfParts>
  <Company>Stopanska Banka AD Skopje</Company>
  <LinksUpToDate>false</LinksUpToDate>
  <CharactersWithSpaces>7677</CharactersWithSpaces>
  <SharedDoc>false</SharedDoc>
  <HLinks>
    <vt:vector size="6" baseType="variant">
      <vt:variant>
        <vt:i4>3276812</vt:i4>
      </vt:variant>
      <vt:variant>
        <vt:i4>33158</vt:i4>
      </vt:variant>
      <vt:variant>
        <vt:i4>1025</vt:i4>
      </vt:variant>
      <vt:variant>
        <vt:i4>1</vt:i4>
      </vt:variant>
      <vt:variant>
        <vt:lpwstr>cid:image001.png@01D65B7B.97EF5D80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Vrz o snova na ~len 46 od Statutot na Stopanska banka AD Skopje (S</dc:title>
  <dc:subject/>
  <dc:creator>danicab</dc:creator>
  <cp:keywords/>
  <dc:description/>
  <cp:lastModifiedBy>Daniela Naumoska</cp:lastModifiedBy>
  <cp:revision>9</cp:revision>
  <cp:lastPrinted>2020-07-17T13:47:00Z</cp:lastPrinted>
  <dcterms:created xsi:type="dcterms:W3CDTF">2025-10-01T10:56:00Z</dcterms:created>
  <dcterms:modified xsi:type="dcterms:W3CDTF">2025-10-07T06:59:00Z</dcterms:modified>
</cp:coreProperties>
</file>