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14DD3" w14:textId="495CF9FC" w:rsidR="001A378A" w:rsidRDefault="00B63642" w:rsidP="009B5025">
      <w:pPr>
        <w:ind w:right="-424"/>
        <w:jc w:val="center"/>
        <w:rPr>
          <w:rFonts w:asciiTheme="minorHAnsi" w:hAnsiTheme="minorHAnsi" w:cstheme="minorHAnsi"/>
          <w:b/>
          <w:bCs/>
          <w:sz w:val="28"/>
          <w:szCs w:val="28"/>
          <w:lang w:val="mk-MK"/>
        </w:rPr>
      </w:pP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Потребна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документација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за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одливни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платежни трансакции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во</w:t>
      </w:r>
      <w:r w:rsidR="0051712C" w:rsidRP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странство 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за</w:t>
      </w:r>
      <w:r w:rsidR="0051712C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ко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и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20E7">
        <w:rPr>
          <w:rFonts w:asciiTheme="minorHAnsi" w:hAnsiTheme="minorHAnsi" w:cstheme="minorHAnsi"/>
          <w:b/>
          <w:bCs/>
          <w:sz w:val="28"/>
          <w:szCs w:val="28"/>
          <w:lang w:val="mk-MK"/>
        </w:rPr>
        <w:t>плаќачот</w:t>
      </w:r>
      <w:r w:rsidR="00B9521E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20E7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 xml:space="preserve">резидент </w:t>
      </w:r>
      <w:r w:rsidR="00CD3046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правно</w:t>
      </w:r>
      <w:r w:rsidR="00B9521E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 xml:space="preserve"> </w:t>
      </w:r>
      <w:r w:rsidR="00300989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л</w:t>
      </w:r>
      <w:r w:rsidR="00B9521E" w:rsidRPr="00B620E7">
        <w:rPr>
          <w:rFonts w:asciiTheme="minorHAnsi" w:hAnsiTheme="minorHAnsi" w:cstheme="minorHAnsi"/>
          <w:b/>
          <w:bCs/>
          <w:sz w:val="28"/>
          <w:szCs w:val="28"/>
          <w:u w:val="single"/>
          <w:lang w:val="mk-MK"/>
        </w:rPr>
        <w:t>ице</w:t>
      </w:r>
      <w:r w:rsid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</w:p>
    <w:p w14:paraId="7F300880" w14:textId="78A7A8BD" w:rsidR="00AA42E8" w:rsidRPr="00300989" w:rsidRDefault="00B620E7" w:rsidP="009B5025">
      <w:pPr>
        <w:ind w:right="-424"/>
        <w:jc w:val="center"/>
        <w:rPr>
          <w:rFonts w:asciiTheme="minorHAnsi" w:hAnsiTheme="minorHAnsi" w:cstheme="minorHAnsi"/>
          <w:b/>
          <w:bCs/>
          <w:sz w:val="28"/>
          <w:szCs w:val="28"/>
          <w:lang w:val="mk-MK"/>
        </w:rPr>
      </w:pPr>
      <w:r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         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е потребно да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ја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достав</w:t>
      </w:r>
      <w:r w:rsidR="00C57BB6">
        <w:rPr>
          <w:rFonts w:asciiTheme="minorHAnsi" w:hAnsiTheme="minorHAnsi" w:cstheme="minorHAnsi"/>
          <w:b/>
          <w:bCs/>
          <w:sz w:val="28"/>
          <w:szCs w:val="28"/>
          <w:lang w:val="mk-MK"/>
        </w:rPr>
        <w:t>и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до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 xml:space="preserve"> </w:t>
      </w:r>
      <w:r w:rsidR="00B63642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банката</w:t>
      </w:r>
      <w:r w:rsidR="009A7E6C" w:rsidRPr="00300989">
        <w:rPr>
          <w:rFonts w:asciiTheme="minorHAnsi" w:hAnsiTheme="minorHAnsi" w:cstheme="minorHAnsi"/>
          <w:b/>
          <w:bCs/>
          <w:sz w:val="28"/>
          <w:szCs w:val="28"/>
          <w:lang w:val="mk-MK"/>
        </w:rPr>
        <w:t>:</w:t>
      </w:r>
    </w:p>
    <w:tbl>
      <w:tblPr>
        <w:tblW w:w="1027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1"/>
        <w:gridCol w:w="4133"/>
        <w:gridCol w:w="5294"/>
      </w:tblGrid>
      <w:tr w:rsidR="00AA42E8" w:rsidRPr="009A7E6C" w14:paraId="12F468B5" w14:textId="77777777" w:rsidTr="009B5025">
        <w:tc>
          <w:tcPr>
            <w:tcW w:w="851" w:type="dxa"/>
          </w:tcPr>
          <w:p w14:paraId="70C310B5" w14:textId="77777777" w:rsidR="00AA42E8" w:rsidRPr="009A7E6C" w:rsidRDefault="00B63642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Ред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бр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0664D37D" w14:textId="77777777" w:rsidR="00AA42E8" w:rsidRPr="009A7E6C" w:rsidRDefault="009A7E6C" w:rsidP="008C0501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             </w:t>
            </w:r>
          </w:p>
          <w:p w14:paraId="65120CE4" w14:textId="77777777" w:rsidR="00AA42E8" w:rsidRPr="009A7E6C" w:rsidRDefault="009A7E6C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               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Вид</w:t>
            </w: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на</w:t>
            </w: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трансакција</w:t>
            </w:r>
          </w:p>
        </w:tc>
        <w:tc>
          <w:tcPr>
            <w:tcW w:w="5294" w:type="dxa"/>
          </w:tcPr>
          <w:p w14:paraId="008586A9" w14:textId="77777777" w:rsidR="00AA42E8" w:rsidRPr="009A7E6C" w:rsidRDefault="00AA42E8" w:rsidP="008C0501">
            <w:pPr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</w:pPr>
          </w:p>
          <w:p w14:paraId="1D8BB03A" w14:textId="612F5EB4" w:rsidR="00AA42E8" w:rsidRPr="009A7E6C" w:rsidRDefault="00B63642" w:rsidP="00712346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Cs/>
                <w:sz w:val="22"/>
                <w:szCs w:val="22"/>
                <w:lang w:val="mk-MK"/>
              </w:rPr>
              <w:t>Документ</w:t>
            </w:r>
          </w:p>
        </w:tc>
      </w:tr>
      <w:tr w:rsidR="00AA42E8" w:rsidRPr="009A7E6C" w14:paraId="10949E72" w14:textId="77777777" w:rsidTr="009B5025">
        <w:tc>
          <w:tcPr>
            <w:tcW w:w="851" w:type="dxa"/>
          </w:tcPr>
          <w:p w14:paraId="4561993E" w14:textId="77777777" w:rsidR="00AA42E8" w:rsidRPr="009A7E6C" w:rsidRDefault="009A7E6C" w:rsidP="008C0501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1.</w:t>
            </w:r>
          </w:p>
        </w:tc>
        <w:tc>
          <w:tcPr>
            <w:tcW w:w="4133" w:type="dxa"/>
          </w:tcPr>
          <w:p w14:paraId="4C40CB88" w14:textId="3B672427" w:rsidR="00AA42E8" w:rsidRPr="009A7E6C" w:rsidRDefault="009A7E6C" w:rsidP="0026007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20E7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по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основ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на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ДИРЕКТНИ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B63642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ИНВЕСТИЦИИ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</w:p>
        </w:tc>
        <w:tc>
          <w:tcPr>
            <w:tcW w:w="5294" w:type="dxa"/>
          </w:tcPr>
          <w:p w14:paraId="6CCD070E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AA42E8" w:rsidRPr="009A7E6C" w14:paraId="65B3992F" w14:textId="77777777" w:rsidTr="009B5025">
        <w:tc>
          <w:tcPr>
            <w:tcW w:w="851" w:type="dxa"/>
          </w:tcPr>
          <w:p w14:paraId="4B62DA2E" w14:textId="77777777" w:rsidR="00AA42E8" w:rsidRPr="009A7E6C" w:rsidRDefault="00AA42E8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F8D802B" w14:textId="77777777" w:rsidR="00CD3046" w:rsidRDefault="009A7E6C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CD304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лаќање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дивиденди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други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добивки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вложувања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530B253" w14:textId="77777777" w:rsidR="00CD3046" w:rsidRDefault="00CD3046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-П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лаќање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продажба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вложувањето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коешто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смета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директна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инвестиција</w:t>
            </w:r>
            <w:proofErr w:type="spellEnd"/>
          </w:p>
          <w:p w14:paraId="30228DA1" w14:textId="63E2ED01" w:rsidR="00B9521E" w:rsidRPr="009A7E6C" w:rsidRDefault="00CD3046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-П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ренос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остатокот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ликвидациската</w:t>
            </w:r>
            <w:proofErr w:type="spellEnd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D3046">
              <w:rPr>
                <w:rFonts w:asciiTheme="minorHAnsi" w:hAnsiTheme="minorHAnsi" w:cstheme="minorHAnsi"/>
                <w:sz w:val="22"/>
                <w:szCs w:val="22"/>
              </w:rPr>
              <w:t>маса</w:t>
            </w:r>
            <w:proofErr w:type="spellEnd"/>
          </w:p>
        </w:tc>
        <w:tc>
          <w:tcPr>
            <w:tcW w:w="5294" w:type="dxa"/>
          </w:tcPr>
          <w:p w14:paraId="38A02FA8" w14:textId="77777777" w:rsidR="00D11650" w:rsidRPr="009A7E6C" w:rsidRDefault="00B63642" w:rsidP="008C050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доставува</w:t>
            </w:r>
            <w:r w:rsidR="009A7E6C"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:</w:t>
            </w:r>
          </w:p>
          <w:p w14:paraId="2DBDBA66" w14:textId="77777777" w:rsidR="00B620E7" w:rsidRDefault="009A7E6C" w:rsidP="009E015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извршен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упис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регистарот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директни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инвестиции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нерезиденти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Централниот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  <w:p w14:paraId="74511586" w14:textId="7C9049D4" w:rsidR="00AA42E8" w:rsidRPr="00B9521E" w:rsidRDefault="00B620E7" w:rsidP="009E015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намирување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законските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обврски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даноци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придонеси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B620E7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</w:tc>
      </w:tr>
      <w:tr w:rsidR="00712346" w:rsidRPr="009A7E6C" w14:paraId="24ED3D92" w14:textId="77777777" w:rsidTr="009B5025">
        <w:tc>
          <w:tcPr>
            <w:tcW w:w="851" w:type="dxa"/>
          </w:tcPr>
          <w:p w14:paraId="5E40A335" w14:textId="1B28770D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2</w:t>
            </w:r>
            <w:r w:rsidRPr="009A7E6C">
              <w:rPr>
                <w:rFonts w:asciiTheme="minorHAnsi" w:hAnsiTheme="minorHAnsi" w:cstheme="minorHAnsi"/>
                <w:b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70C21AF7" w14:textId="6B6C6CF2" w:rsidR="00712346" w:rsidRPr="0051712C" w:rsidRDefault="00B620E7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по основ на ПОРТФОЛИО ИНВЕСТИЦИИ</w:t>
            </w:r>
          </w:p>
        </w:tc>
        <w:tc>
          <w:tcPr>
            <w:tcW w:w="5294" w:type="dxa"/>
          </w:tcPr>
          <w:p w14:paraId="61917974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712346" w:rsidRPr="009A7E6C" w14:paraId="331B9E9C" w14:textId="77777777" w:rsidTr="009B5025">
        <w:tc>
          <w:tcPr>
            <w:tcW w:w="851" w:type="dxa"/>
          </w:tcPr>
          <w:p w14:paraId="3C5FC921" w14:textId="77777777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1B3CE94" w14:textId="40BCC777" w:rsidR="00712346" w:rsidRPr="0051712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51712C"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вложување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страна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резиденти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коишто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третман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B620E7" w:rsidRPr="00B620E7">
              <w:rPr>
                <w:rFonts w:asciiTheme="minorHAnsi" w:hAnsiTheme="minorHAnsi" w:cstheme="minorHAnsi"/>
                <w:sz w:val="22"/>
                <w:szCs w:val="22"/>
              </w:rPr>
              <w:t>портфолио-инвестиции</w:t>
            </w:r>
            <w:proofErr w:type="spellEnd"/>
          </w:p>
        </w:tc>
        <w:tc>
          <w:tcPr>
            <w:tcW w:w="5294" w:type="dxa"/>
          </w:tcPr>
          <w:p w14:paraId="6A9268FB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доставува:</w:t>
            </w:r>
          </w:p>
          <w:p w14:paraId="2A08EA92" w14:textId="6356DE25" w:rsidR="00712346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дека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ќе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биде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склучена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овластен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пазарот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овластен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странска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берза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преку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организиран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пазар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</w:p>
        </w:tc>
      </w:tr>
      <w:tr w:rsidR="00712346" w:rsidRPr="009A7E6C" w14:paraId="131BD474" w14:textId="77777777" w:rsidTr="009B5025">
        <w:tc>
          <w:tcPr>
            <w:tcW w:w="851" w:type="dxa"/>
          </w:tcPr>
          <w:p w14:paraId="0FDE7127" w14:textId="00E017E0" w:rsidR="00712346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3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63A7AC7F" w14:textId="393B7D8F" w:rsidR="00712346" w:rsidRDefault="00B620E7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по основ на  НЕДВИЖНОСТИ ВО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Македонија</w:t>
            </w:r>
            <w:proofErr w:type="spellEnd"/>
          </w:p>
        </w:tc>
        <w:tc>
          <w:tcPr>
            <w:tcW w:w="5294" w:type="dxa"/>
          </w:tcPr>
          <w:p w14:paraId="32918158" w14:textId="77777777" w:rsidR="00712346" w:rsidRPr="00B9521E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712346" w:rsidRPr="009A7E6C" w14:paraId="050C985A" w14:textId="77777777" w:rsidTr="009B5025">
        <w:tc>
          <w:tcPr>
            <w:tcW w:w="851" w:type="dxa"/>
          </w:tcPr>
          <w:p w14:paraId="5904AB66" w14:textId="77777777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945EABB" w14:textId="589688FD" w:rsidR="00712346" w:rsidRDefault="00712346" w:rsidP="0071234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0098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лаќање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купување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сопственост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</w:t>
            </w:r>
            <w:proofErr w:type="spellEnd"/>
          </w:p>
          <w:p w14:paraId="2330421F" w14:textId="39F16307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300989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доход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издавање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сопственост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</w:t>
            </w:r>
            <w:proofErr w:type="spellEnd"/>
          </w:p>
        </w:tc>
        <w:tc>
          <w:tcPr>
            <w:tcW w:w="5294" w:type="dxa"/>
          </w:tcPr>
          <w:p w14:paraId="4A8451CD" w14:textId="77777777" w:rsidR="00712346" w:rsidRPr="0051712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5171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доставува:</w:t>
            </w:r>
          </w:p>
          <w:p w14:paraId="0D655F7B" w14:textId="06B39DAB" w:rsidR="00712346" w:rsidRPr="00B9521E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51712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доказ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извршен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упис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регистарот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вложување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недвижности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нерезиденти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при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Централниот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регистар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Република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Северна</w:t>
            </w:r>
            <w:proofErr w:type="spellEnd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0E1E6E" w:rsidRPr="000E1E6E">
              <w:rPr>
                <w:rFonts w:asciiTheme="minorHAnsi" w:hAnsiTheme="minorHAnsi" w:cstheme="minorHAnsi"/>
                <w:sz w:val="22"/>
                <w:szCs w:val="22"/>
              </w:rPr>
              <w:t>Македонија</w:t>
            </w:r>
            <w:proofErr w:type="spellEnd"/>
          </w:p>
        </w:tc>
      </w:tr>
      <w:tr w:rsidR="000E1E6E" w:rsidRPr="009A7E6C" w14:paraId="5E7B8E57" w14:textId="77777777" w:rsidTr="009B5025">
        <w:trPr>
          <w:trHeight w:val="510"/>
        </w:trPr>
        <w:tc>
          <w:tcPr>
            <w:tcW w:w="851" w:type="dxa"/>
          </w:tcPr>
          <w:p w14:paraId="39B0C9FF" w14:textId="0A18495A" w:rsidR="000E1E6E" w:rsidRPr="001A378A" w:rsidRDefault="001A378A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1A37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4</w:t>
            </w:r>
            <w:r w:rsidR="000E1E6E" w:rsidRPr="001A378A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4E420331" w14:textId="4D6000E9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Одливни платежни трансакции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по основ на извршни исправи</w:t>
            </w:r>
          </w:p>
        </w:tc>
        <w:tc>
          <w:tcPr>
            <w:tcW w:w="5294" w:type="dxa"/>
            <w:shd w:val="clear" w:color="auto" w:fill="auto"/>
          </w:tcPr>
          <w:p w14:paraId="55815A8C" w14:textId="77777777" w:rsidR="000E1E6E" w:rsidRPr="009A7E6C" w:rsidRDefault="000E1E6E" w:rsidP="00712346">
            <w:pPr>
              <w:ind w:left="-108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0E1E6E" w:rsidRPr="009A7E6C" w14:paraId="12551B7A" w14:textId="77777777" w:rsidTr="009B5025">
        <w:trPr>
          <w:trHeight w:val="510"/>
        </w:trPr>
        <w:tc>
          <w:tcPr>
            <w:tcW w:w="851" w:type="dxa"/>
          </w:tcPr>
          <w:p w14:paraId="45108582" w14:textId="77777777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5DEA744" w14:textId="1B8419AA" w:rsidR="000E1E6E" w:rsidRPr="009A7E6C" w:rsidRDefault="000E1E6E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 w:rsid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лаќања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капитални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трансакции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извршна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исправа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присилно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врз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основа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извршна</w:t>
            </w:r>
            <w:proofErr w:type="spellEnd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0E1E6E">
              <w:rPr>
                <w:rFonts w:asciiTheme="minorHAnsi" w:hAnsiTheme="minorHAnsi" w:cstheme="minorHAnsi"/>
                <w:sz w:val="22"/>
                <w:szCs w:val="22"/>
              </w:rPr>
              <w:t>исправа</w:t>
            </w:r>
            <w:proofErr w:type="spellEnd"/>
          </w:p>
        </w:tc>
        <w:tc>
          <w:tcPr>
            <w:tcW w:w="5294" w:type="dxa"/>
            <w:shd w:val="clear" w:color="auto" w:fill="auto"/>
          </w:tcPr>
          <w:p w14:paraId="69C3A9C7" w14:textId="6A9DEFFE" w:rsidR="000E1E6E" w:rsidRPr="009A7E6C" w:rsidRDefault="000E1E6E" w:rsidP="000E1E6E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доказ од надлежен орган дека се намирени законски пропишаните обврски врз основа на даноци и придонеси кон државата, ако за основната работа за која настанала обврската за плаќање е предвидено приложување на таков доказ</w:t>
            </w:r>
          </w:p>
        </w:tc>
      </w:tr>
      <w:tr w:rsidR="00712346" w:rsidRPr="009A7E6C" w14:paraId="77D7EE1E" w14:textId="77777777" w:rsidTr="009B5025">
        <w:trPr>
          <w:trHeight w:val="446"/>
        </w:trPr>
        <w:tc>
          <w:tcPr>
            <w:tcW w:w="851" w:type="dxa"/>
          </w:tcPr>
          <w:p w14:paraId="015C2135" w14:textId="74BF9086" w:rsidR="00712346" w:rsidRPr="009A7E6C" w:rsidRDefault="001A378A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5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1D8014A2" w14:textId="74137888" w:rsidR="00712346" w:rsidRPr="009A7E6C" w:rsidRDefault="00B620E7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</w:t>
            </w:r>
            <w:r w:rsidR="00712346"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 w:rsidR="000E1E6E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во</w:t>
            </w:r>
            <w:r w:rsidR="007123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странство согласно износот</w:t>
            </w:r>
          </w:p>
        </w:tc>
        <w:tc>
          <w:tcPr>
            <w:tcW w:w="5294" w:type="dxa"/>
          </w:tcPr>
          <w:p w14:paraId="1CF18069" w14:textId="076FEF1B" w:rsidR="00712346" w:rsidRPr="009A7E6C" w:rsidRDefault="00712346" w:rsidP="00712346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</w:p>
        </w:tc>
      </w:tr>
      <w:tr w:rsidR="00712346" w:rsidRPr="009A7E6C" w14:paraId="4BABE9E0" w14:textId="77777777" w:rsidTr="009B5025">
        <w:tc>
          <w:tcPr>
            <w:tcW w:w="851" w:type="dxa"/>
          </w:tcPr>
          <w:p w14:paraId="31D6FB05" w14:textId="6C349654" w:rsidR="00712346" w:rsidRPr="009A7E6C" w:rsidRDefault="00712346" w:rsidP="007123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F68CE0D" w14:textId="482CA6CC" w:rsidR="00712346" w:rsidRPr="00C57BB6" w:rsidRDefault="00712346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Одливн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платежн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="00B620E7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трансакци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и</w:t>
            </w: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за физички лица на износ </w:t>
            </w:r>
            <w:r w:rsidR="000E1E6E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еднаков и </w:t>
            </w: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поголем од </w:t>
            </w:r>
            <w:r w:rsidR="00CD304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10</w:t>
            </w:r>
            <w:r w:rsidRPr="00C57BB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0,000 евра </w:t>
            </w:r>
          </w:p>
        </w:tc>
        <w:tc>
          <w:tcPr>
            <w:tcW w:w="5294" w:type="dxa"/>
          </w:tcPr>
          <w:p w14:paraId="7FEAF57A" w14:textId="71EEC581" w:rsidR="00712346" w:rsidRPr="009A7E6C" w:rsidRDefault="00712346" w:rsidP="00712346">
            <w:pPr>
              <w:rPr>
                <w:rFonts w:asciiTheme="minorHAnsi" w:hAnsiTheme="minorHAnsi" w:cstheme="minorHAnsi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Резидентот  доставува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дополнителни документи согласно барањето на Банката</w:t>
            </w:r>
          </w:p>
          <w:p w14:paraId="73D84A6B" w14:textId="77777777" w:rsidR="00712346" w:rsidRPr="009A7E6C" w:rsidRDefault="00712346" w:rsidP="0071234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1A378A" w:rsidRPr="009A7E6C" w14:paraId="39C5F023" w14:textId="77777777" w:rsidTr="009B5025">
        <w:tc>
          <w:tcPr>
            <w:tcW w:w="851" w:type="dxa"/>
          </w:tcPr>
          <w:p w14:paraId="2689C3EE" w14:textId="64ACBD66" w:rsidR="001A378A" w:rsidRPr="009A7E6C" w:rsidRDefault="001A378A" w:rsidP="001A378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6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.</w:t>
            </w:r>
          </w:p>
        </w:tc>
        <w:tc>
          <w:tcPr>
            <w:tcW w:w="4133" w:type="dxa"/>
          </w:tcPr>
          <w:p w14:paraId="0E2E4E6A" w14:textId="71D68827" w:rsidR="001A378A" w:rsidRPr="00C57BB6" w:rsidRDefault="001A378A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Одливни платежни трансакции</w:t>
            </w:r>
            <w:r w:rsidRPr="009A7E6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на сопствена сметка во странство</w:t>
            </w:r>
          </w:p>
        </w:tc>
        <w:tc>
          <w:tcPr>
            <w:tcW w:w="5294" w:type="dxa"/>
          </w:tcPr>
          <w:p w14:paraId="218300E4" w14:textId="77777777" w:rsidR="001A378A" w:rsidRPr="009A7E6C" w:rsidRDefault="001A378A" w:rsidP="001A378A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4D79FF" w:rsidRPr="009A7E6C" w14:paraId="0BF6811A" w14:textId="77777777" w:rsidTr="009B5025">
        <w:tc>
          <w:tcPr>
            <w:tcW w:w="851" w:type="dxa"/>
          </w:tcPr>
          <w:p w14:paraId="1B6607AA" w14:textId="77777777" w:rsidR="004D79FF" w:rsidRDefault="004D79F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3440C68C" w14:textId="19311BF7" w:rsidR="004D79FF" w:rsidRDefault="002B5256" w:rsidP="002B525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- </w:t>
            </w:r>
            <w:r w:rsidR="00CD3046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П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ренос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средства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платежна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сметка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негова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платежна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сметка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94" w:type="dxa"/>
          </w:tcPr>
          <w:p w14:paraId="7C48CC81" w14:textId="4A82DBA5" w:rsidR="002B5256" w:rsidRPr="002B5256" w:rsidRDefault="002B5256" w:rsidP="002B5256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согласност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Одлуката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начинот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условите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под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кои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резидентите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коишто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не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овластени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банки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можат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отвораат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сметки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CD3046" w:rsidRPr="00CD3046">
              <w:rPr>
                <w:rFonts w:asciiTheme="minorHAnsi" w:hAnsiTheme="minorHAnsi" w:cstheme="minorHAnsi"/>
                <w:sz w:val="22"/>
                <w:szCs w:val="22"/>
              </w:rPr>
              <w:t>странств</w:t>
            </w:r>
            <w:proofErr w:type="spellEnd"/>
            <w:r w:rsidR="00CD304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о.</w:t>
            </w:r>
            <w:r w:rsidR="00FB331D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*</w:t>
            </w:r>
          </w:p>
          <w:p w14:paraId="340DAEC5" w14:textId="6A673E76" w:rsidR="004D79FF" w:rsidRPr="00CB5D92" w:rsidRDefault="004D79FF" w:rsidP="002B5256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</w:tr>
      <w:tr w:rsidR="004D79FF" w:rsidRPr="009A7E6C" w14:paraId="519B4812" w14:textId="77777777" w:rsidTr="00A05765">
        <w:tc>
          <w:tcPr>
            <w:tcW w:w="851" w:type="dxa"/>
          </w:tcPr>
          <w:p w14:paraId="799A493A" w14:textId="77777777" w:rsidR="004D79FF" w:rsidRPr="009A7E6C" w:rsidRDefault="004D79F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1371C03B" w14:textId="77777777" w:rsidR="006C5CC0" w:rsidRPr="006C5CC0" w:rsidRDefault="004D79FF" w:rsidP="006C5CC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7E6C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 </w:t>
            </w:r>
            <w:r w:rsidR="006C5CC0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Резиденти коишто имаат стекнато недвижен имот во странство, за </w:t>
            </w:r>
          </w:p>
          <w:p w14:paraId="2EF82018" w14:textId="0DE8496A" w:rsidR="004D79FF" w:rsidRPr="00C57BB6" w:rsidRDefault="006C5CC0" w:rsidP="006C5CC0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плаќање трошоци за недвижниот имот во странство</w:t>
            </w:r>
          </w:p>
        </w:tc>
        <w:tc>
          <w:tcPr>
            <w:tcW w:w="5294" w:type="dxa"/>
            <w:shd w:val="clear" w:color="auto" w:fill="auto"/>
          </w:tcPr>
          <w:p w14:paraId="6FB52123" w14:textId="12099CAD" w:rsidR="004D79FF" w:rsidRPr="004D79FF" w:rsidRDefault="006C5CC0" w:rsidP="004D79F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-П</w:t>
            </w:r>
            <w:r w:rsidR="004D79FF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отврд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а за</w:t>
            </w:r>
            <w:r w:rsidR="004D79FF" w:rsidRPr="006C5CC0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доказ за </w:t>
            </w:r>
            <w:r w:rsidR="004D79FF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извршен упис во регистарот на вложувања во недвижности при Централниот </w:t>
            </w:r>
          </w:p>
          <w:p w14:paraId="7104CE0B" w14:textId="77777777" w:rsidR="00402048" w:rsidRDefault="004D79FF" w:rsidP="004D79F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регистар на Република Северна Македонија. </w:t>
            </w:r>
          </w:p>
          <w:p w14:paraId="7FF41374" w14:textId="7AE5FEA6" w:rsidR="004D79FF" w:rsidRPr="009A7E6C" w:rsidRDefault="00402048" w:rsidP="00402048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-С</w:t>
            </w:r>
            <w:r w:rsidR="004D79FF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оодветен документ од кој произлегува обврската за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трошоците</w:t>
            </w:r>
            <w:r w:rsidR="004D79FF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</w:tr>
      <w:tr w:rsidR="00323BEB" w:rsidRPr="009A7E6C" w14:paraId="19451363" w14:textId="77777777" w:rsidTr="00A05765">
        <w:tc>
          <w:tcPr>
            <w:tcW w:w="851" w:type="dxa"/>
          </w:tcPr>
          <w:p w14:paraId="3453BF68" w14:textId="77777777" w:rsidR="00323BEB" w:rsidRPr="009A7E6C" w:rsidRDefault="00323BEB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6D004D68" w14:textId="2A208098" w:rsidR="00323BEB" w:rsidRPr="004D79FF" w:rsidRDefault="00CB5D92" w:rsidP="00323BEB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323BEB"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Резиденти коишто имаат обврска за плаќање врз основа на купување </w:t>
            </w:r>
          </w:p>
          <w:p w14:paraId="0BE2CE0E" w14:textId="4F44D827" w:rsidR="00323BEB" w:rsidRPr="00A53683" w:rsidRDefault="00323BEB" w:rsidP="00CB5D92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4D79F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хартии од вредност во странство </w:t>
            </w:r>
          </w:p>
        </w:tc>
        <w:tc>
          <w:tcPr>
            <w:tcW w:w="5294" w:type="dxa"/>
            <w:shd w:val="clear" w:color="auto" w:fill="auto"/>
          </w:tcPr>
          <w:p w14:paraId="332CFD67" w14:textId="60021662" w:rsidR="009C094E" w:rsidRDefault="009C094E" w:rsidP="004468E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Налог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извршување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</w:p>
          <w:p w14:paraId="26FD3B76" w14:textId="77777777" w:rsidR="009C094E" w:rsidRDefault="009C094E" w:rsidP="004468E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Извештај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извршена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трансакција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28FBAEA" w14:textId="77777777" w:rsidR="009C094E" w:rsidRDefault="009C094E" w:rsidP="004468E3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Договор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друг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трансакцијата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7079753" w14:textId="5BDEEF50" w:rsidR="00323BEB" w:rsidRPr="00CB5D92" w:rsidRDefault="009C094E" w:rsidP="004468E3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Соодветен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документ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со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кој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потврди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воспоставувањето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деловен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однос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меѓу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резидентот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овластениот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учесник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странска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берза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или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организиран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пазар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хартии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од</w:t>
            </w:r>
            <w:proofErr w:type="spellEnd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9C094E">
              <w:rPr>
                <w:rFonts w:asciiTheme="minorHAnsi" w:hAnsiTheme="minorHAnsi" w:cstheme="minorHAnsi"/>
                <w:sz w:val="22"/>
                <w:szCs w:val="22"/>
              </w:rPr>
              <w:t>вредност</w:t>
            </w:r>
            <w:proofErr w:type="spellEnd"/>
          </w:p>
        </w:tc>
      </w:tr>
      <w:tr w:rsidR="00121ED5" w:rsidRPr="009A7E6C" w14:paraId="79AE8C6B" w14:textId="77777777" w:rsidTr="00A05765">
        <w:tc>
          <w:tcPr>
            <w:tcW w:w="851" w:type="dxa"/>
          </w:tcPr>
          <w:p w14:paraId="4570D576" w14:textId="77777777" w:rsidR="00121ED5" w:rsidRPr="009A7E6C" w:rsidRDefault="00121ED5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7F677EF" w14:textId="3105E294" w:rsidR="00121ED5" w:rsidRPr="00121ED5" w:rsidRDefault="00CB5D92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121ED5"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Резидентите коишто имаат обврска/</w:t>
            </w:r>
            <w:r w:rsid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</w:t>
            </w:r>
            <w:r w:rsidR="00121ED5" w:rsidRPr="00121ED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задолжение за плаќање определена обврска кон надлежен орган/правно лице во странство (нотарска тарифа, судски такси, банкарски провизии или извршни трошоци).</w:t>
            </w:r>
          </w:p>
          <w:p w14:paraId="14B9E49D" w14:textId="77777777" w:rsidR="00121ED5" w:rsidRDefault="00121ED5" w:rsidP="00121ED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  <w:tc>
          <w:tcPr>
            <w:tcW w:w="5294" w:type="dxa"/>
            <w:shd w:val="clear" w:color="auto" w:fill="auto"/>
          </w:tcPr>
          <w:p w14:paraId="3A841F38" w14:textId="1032A40E" w:rsidR="00121ED5" w:rsidRDefault="00CB5D92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-</w:t>
            </w:r>
            <w:r w:rsid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Д</w:t>
            </w:r>
            <w:r w:rsidR="004468E3" w:rsidRPr="004468E3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окумент во оригинал или фотокопија заверена од надлежен орган – нотар од којшто ќе може да се утврди обврската на резидентот да изврши плаќање кон надлежен орган/правно лице во странство.</w:t>
            </w:r>
            <w:r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Сметката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кај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банка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отворена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обврските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користи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само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трансфер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средства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странство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висината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износот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обврската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за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плаќање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кон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надлежниот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орган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правното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лице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FB331D" w:rsidRPr="009A7E6C" w14:paraId="02C74EE2" w14:textId="77777777" w:rsidTr="00A05765">
        <w:tc>
          <w:tcPr>
            <w:tcW w:w="851" w:type="dxa"/>
          </w:tcPr>
          <w:p w14:paraId="68F98CF9" w14:textId="77777777" w:rsidR="00FB331D" w:rsidRPr="009A7E6C" w:rsidRDefault="00FB331D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8A20FA9" w14:textId="2DB8864B" w:rsidR="00FB331D" w:rsidRDefault="00FB331D" w:rsidP="00FB33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Резидентите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коишто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имаат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задолжение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обврска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плаќање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врз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основа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промет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стоки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или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услуги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кон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правно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лице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од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Руската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Федерација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кој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прописите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оваа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земја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го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обврзуваат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резидентот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да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отвори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сметка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кај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странска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банка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плаќањето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овие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стоки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или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услуги</w:t>
            </w:r>
            <w:proofErr w:type="spellEnd"/>
          </w:p>
        </w:tc>
        <w:tc>
          <w:tcPr>
            <w:tcW w:w="5294" w:type="dxa"/>
            <w:shd w:val="clear" w:color="auto" w:fill="auto"/>
          </w:tcPr>
          <w:p w14:paraId="3BB92EA8" w14:textId="1B13A770" w:rsidR="00FB331D" w:rsidRPr="00FB331D" w:rsidRDefault="00FB331D" w:rsidP="00FB33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-Д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окумент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во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оригинал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или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фотокопија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заверена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од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надлежен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орган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нотар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од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којшто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ќе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може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да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се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утврди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задолжението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обврската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на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резидентот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за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</w:p>
          <w:p w14:paraId="0C3FB31E" w14:textId="4A3FBC32" w:rsidR="00FB331D" w:rsidRDefault="00FB331D" w:rsidP="00FB331D">
            <w:p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извршување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плаќање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кон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правно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лице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во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Руската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Федерација</w:t>
            </w:r>
            <w:proofErr w:type="spellEnd"/>
            <w:r w:rsidRPr="00FB331D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.</w:t>
            </w:r>
          </w:p>
        </w:tc>
      </w:tr>
      <w:tr w:rsidR="00E32821" w:rsidRPr="009A7E6C" w14:paraId="6259083F" w14:textId="77777777" w:rsidTr="00A05765">
        <w:tc>
          <w:tcPr>
            <w:tcW w:w="851" w:type="dxa"/>
          </w:tcPr>
          <w:p w14:paraId="4A3DE9FC" w14:textId="77777777" w:rsidR="00E32821" w:rsidRPr="009A7E6C" w:rsidRDefault="00E32821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4446460F" w14:textId="34430B5C" w:rsidR="00E32821" w:rsidRPr="009A7E6C" w:rsidRDefault="00CB5D92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Резидентите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CD3046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правни</w:t>
            </w:r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лица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можат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слободно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отвораат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и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да</w:t>
            </w:r>
            <w:proofErr w:type="spellEnd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CB5D92">
              <w:rPr>
                <w:rFonts w:asciiTheme="minorHAnsi" w:hAnsiTheme="minorHAnsi" w:cstheme="minorHAnsi"/>
                <w:sz w:val="22"/>
                <w:szCs w:val="22"/>
              </w:rPr>
              <w:t>имаат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 с</w:t>
            </w:r>
            <w:r w:rsidR="00E32821"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метки кај платежни институции или институции за електронски пари во странство само заради комерцијални цели, односно за купување/продавање стоки и услуги по електронски пат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.</w:t>
            </w:r>
          </w:p>
        </w:tc>
        <w:tc>
          <w:tcPr>
            <w:tcW w:w="5294" w:type="dxa"/>
            <w:shd w:val="clear" w:color="auto" w:fill="auto"/>
          </w:tcPr>
          <w:p w14:paraId="14DAD77D" w14:textId="356EA632" w:rsidR="00E32821" w:rsidRPr="00E32821" w:rsidRDefault="00402048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="00E32821"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Трансферите на средства кон сметки кај платежни </w:t>
            </w:r>
          </w:p>
          <w:p w14:paraId="7C6CB940" w14:textId="71436B31" w:rsidR="00E32821" w:rsidRPr="00E32821" w:rsidRDefault="00E32821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институции или институции за електронски пари во странство врз основа на купување стоки и услуги по електронски пат не смее да надминат 2.500 евра по </w:t>
            </w:r>
          </w:p>
          <w:p w14:paraId="4F61D120" w14:textId="7E6A3ED5" w:rsidR="00E32821" w:rsidRPr="00E32821" w:rsidRDefault="00E32821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лице на месечна основа. Доколку странските платежни институции или институции за електронски </w:t>
            </w:r>
          </w:p>
          <w:p w14:paraId="56FA7B4C" w14:textId="06C53CEA" w:rsidR="00E32821" w:rsidRDefault="00E32821" w:rsidP="00FB331D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E32821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пари се и овластени учесници на странска берза или организиран пазар на хартии од вредност, во смисла на член 14 од Законот за девизното работење, резидентите, правни и физички лица, можат слободно да отвораат и да имаат сметки кај нив и за целите на купување/продавање хартии од вредност во странство</w:t>
            </w:r>
          </w:p>
        </w:tc>
      </w:tr>
      <w:tr w:rsidR="009A568F" w:rsidRPr="009A7E6C" w14:paraId="07CDB273" w14:textId="77777777" w:rsidTr="00A05765">
        <w:tc>
          <w:tcPr>
            <w:tcW w:w="851" w:type="dxa"/>
          </w:tcPr>
          <w:p w14:paraId="6DA7C77E" w14:textId="7B077E85" w:rsidR="009A568F" w:rsidRPr="009A7E6C" w:rsidRDefault="009A568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7. </w:t>
            </w:r>
          </w:p>
        </w:tc>
        <w:tc>
          <w:tcPr>
            <w:tcW w:w="4133" w:type="dxa"/>
          </w:tcPr>
          <w:p w14:paraId="589D1E37" w14:textId="4295A11E" w:rsidR="009A568F" w:rsidRPr="009A568F" w:rsidRDefault="009A568F" w:rsidP="009A5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  <w:r w:rsidRPr="009A56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Резидент има </w:t>
            </w:r>
            <w:r w:rsidRPr="009A56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 xml:space="preserve">одобрение за отворање и имање сметки кај странски банки </w:t>
            </w:r>
            <w:r w:rsidRPr="009A568F"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издаден од НБРСМ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  <w:t>**</w:t>
            </w:r>
          </w:p>
        </w:tc>
        <w:tc>
          <w:tcPr>
            <w:tcW w:w="5294" w:type="dxa"/>
            <w:shd w:val="clear" w:color="auto" w:fill="auto"/>
          </w:tcPr>
          <w:p w14:paraId="1E9CFE1F" w14:textId="77777777" w:rsidR="009A568F" w:rsidRDefault="009A568F" w:rsidP="00E32821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</w:p>
        </w:tc>
      </w:tr>
      <w:tr w:rsidR="009A568F" w:rsidRPr="009A7E6C" w14:paraId="32680C8F" w14:textId="77777777" w:rsidTr="00A05765">
        <w:tc>
          <w:tcPr>
            <w:tcW w:w="851" w:type="dxa"/>
          </w:tcPr>
          <w:p w14:paraId="776E340B" w14:textId="77777777" w:rsidR="009A568F" w:rsidRPr="009A7E6C" w:rsidRDefault="009A568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2166E0FB" w14:textId="37429EFF" w:rsidR="009A568F" w:rsidRP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- </w:t>
            </w: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К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ојшто има склучено договор за изведување инвестициски работи во </w:t>
            </w:r>
          </w:p>
          <w:p w14:paraId="59CF725F" w14:textId="02D1BB3A" w:rsid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странство;</w:t>
            </w:r>
          </w:p>
        </w:tc>
        <w:tc>
          <w:tcPr>
            <w:tcW w:w="5294" w:type="dxa"/>
            <w:shd w:val="clear" w:color="auto" w:fill="auto"/>
          </w:tcPr>
          <w:p w14:paraId="06638167" w14:textId="23680012" w:rsid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-Д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 20% од вредноста на склучениот договор</w:t>
            </w:r>
          </w:p>
        </w:tc>
      </w:tr>
      <w:tr w:rsidR="009A568F" w:rsidRPr="009A7E6C" w14:paraId="4148FE32" w14:textId="77777777" w:rsidTr="00A05765">
        <w:tc>
          <w:tcPr>
            <w:tcW w:w="851" w:type="dxa"/>
          </w:tcPr>
          <w:p w14:paraId="667F8903" w14:textId="77777777" w:rsidR="009A568F" w:rsidRPr="009A7E6C" w:rsidRDefault="009A568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7F54CCE8" w14:textId="02F6F417" w:rsidR="009A568F" w:rsidRP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-К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ојшто ќе отвори претставништво во странство што е составен дел на </w:t>
            </w:r>
          </w:p>
          <w:p w14:paraId="45B83332" w14:textId="7345D564" w:rsid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трговското друштво;</w:t>
            </w:r>
          </w:p>
        </w:tc>
        <w:tc>
          <w:tcPr>
            <w:tcW w:w="5294" w:type="dxa"/>
            <w:shd w:val="clear" w:color="auto" w:fill="auto"/>
          </w:tcPr>
          <w:p w14:paraId="4690EFB6" w14:textId="2B9E5CF4" w:rsidR="009A568F" w:rsidRDefault="009A568F" w:rsidP="009A568F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-Д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 висината на планираните месечни трошоци за период од една година.</w:t>
            </w:r>
          </w:p>
        </w:tc>
      </w:tr>
      <w:tr w:rsidR="009A568F" w:rsidRPr="009A7E6C" w14:paraId="5C482898" w14:textId="77777777" w:rsidTr="00A05765">
        <w:tc>
          <w:tcPr>
            <w:tcW w:w="851" w:type="dxa"/>
          </w:tcPr>
          <w:p w14:paraId="1AA66D2C" w14:textId="77777777" w:rsidR="009A568F" w:rsidRPr="009A7E6C" w:rsidRDefault="009A568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7DB7008E" w14:textId="0CA2C76E" w:rsidR="009A568F" w:rsidRDefault="009A568F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-К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ојшто врши работи во областа на научната дејност</w:t>
            </w:r>
          </w:p>
        </w:tc>
        <w:tc>
          <w:tcPr>
            <w:tcW w:w="5294" w:type="dxa"/>
            <w:shd w:val="clear" w:color="auto" w:fill="auto"/>
          </w:tcPr>
          <w:p w14:paraId="3726690E" w14:textId="0296EC36" w:rsidR="00C07895" w:rsidRPr="00C07895" w:rsidRDefault="00C07895" w:rsidP="00C0789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-Д</w:t>
            </w:r>
            <w:r w:rsidRPr="00C078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о висината на планираните месечни трошоци за </w:t>
            </w:r>
          </w:p>
          <w:p w14:paraId="709D440A" w14:textId="57990C76" w:rsidR="009A568F" w:rsidRDefault="00C07895" w:rsidP="00C0789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78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период од една година</w:t>
            </w:r>
          </w:p>
        </w:tc>
      </w:tr>
      <w:tr w:rsidR="009A568F" w:rsidRPr="009A7E6C" w14:paraId="54473021" w14:textId="77777777" w:rsidTr="00A05765">
        <w:tc>
          <w:tcPr>
            <w:tcW w:w="851" w:type="dxa"/>
          </w:tcPr>
          <w:p w14:paraId="1ABD7E8E" w14:textId="77777777" w:rsidR="009A568F" w:rsidRPr="009A7E6C" w:rsidRDefault="009A568F" w:rsidP="004D79F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mk-MK"/>
              </w:rPr>
            </w:pPr>
          </w:p>
        </w:tc>
        <w:tc>
          <w:tcPr>
            <w:tcW w:w="4133" w:type="dxa"/>
          </w:tcPr>
          <w:p w14:paraId="72ACD1C5" w14:textId="6B7F4067" w:rsidR="009A568F" w:rsidRDefault="009A568F" w:rsidP="00CB5D92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-К</w:t>
            </w:r>
            <w:r w:rsidRPr="009A568F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ојшто врши енергетска дејност</w:t>
            </w:r>
          </w:p>
        </w:tc>
        <w:tc>
          <w:tcPr>
            <w:tcW w:w="5294" w:type="dxa"/>
            <w:shd w:val="clear" w:color="auto" w:fill="auto"/>
          </w:tcPr>
          <w:p w14:paraId="2AFC3348" w14:textId="10316561" w:rsidR="00C07895" w:rsidRPr="00C07895" w:rsidRDefault="00C07895" w:rsidP="00C0789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-</w:t>
            </w:r>
            <w:r w:rsidRPr="00C078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За учество на меѓународни и регионални пазари на енергија, заради тргување со енергија или </w:t>
            </w:r>
          </w:p>
          <w:p w14:paraId="10B53F82" w14:textId="0A763E53" w:rsidR="00C07895" w:rsidRPr="00C07895" w:rsidRDefault="00C07895" w:rsidP="00C0789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78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 xml:space="preserve">заради обезбедување балансна одговорност, во согласност со законот со кој се уредува енергетиката, доколку со пропис на земјата во која се наоѓа пазарот на енергија е предвидена обврска за отворање сметка кај странска банка заради </w:t>
            </w:r>
          </w:p>
          <w:p w14:paraId="6AF857A4" w14:textId="14521DFE" w:rsidR="009A568F" w:rsidRDefault="00C07895" w:rsidP="00C07895">
            <w:pPr>
              <w:rPr>
                <w:rFonts w:asciiTheme="minorHAnsi" w:hAnsiTheme="minorHAnsi" w:cstheme="minorHAnsi"/>
                <w:sz w:val="22"/>
                <w:szCs w:val="22"/>
                <w:lang w:val="mk-MK"/>
              </w:rPr>
            </w:pPr>
            <w:r w:rsidRPr="00C07895">
              <w:rPr>
                <w:rFonts w:asciiTheme="minorHAnsi" w:hAnsiTheme="minorHAnsi" w:cstheme="minorHAnsi"/>
                <w:sz w:val="22"/>
                <w:szCs w:val="22"/>
                <w:lang w:val="mk-MK"/>
              </w:rPr>
              <w:t>учество на тој пазар</w:t>
            </w:r>
          </w:p>
        </w:tc>
      </w:tr>
    </w:tbl>
    <w:p w14:paraId="701C42EE" w14:textId="77777777" w:rsidR="00F7793F" w:rsidRDefault="00F7793F" w:rsidP="009B5025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254D8D9B" w14:textId="35D81084" w:rsidR="00FB331D" w:rsidRDefault="00FB331D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 xml:space="preserve">*Повеќе инфо на следниот линк </w:t>
      </w:r>
      <w:hyperlink r:id="rId7" w:history="1">
        <w:r w:rsidRPr="00E851C1">
          <w:rPr>
            <w:rStyle w:val="Hyperlink"/>
            <w:rFonts w:asciiTheme="minorHAnsi" w:hAnsiTheme="minorHAnsi" w:cstheme="minorHAnsi"/>
            <w:b/>
            <w:bCs/>
            <w:sz w:val="22"/>
            <w:szCs w:val="22"/>
            <w:lang w:val="en-US"/>
          </w:rPr>
          <w:t>https://www.nbrm.mk/ns-newsarticle-odluka-za-nacinot-i-uslovite-pod-koi-rezidentite-koisto-ne-se-ovlasteni-banki-mozat-da-otvoraat-i-da-imaat-smetki-vo-stranstvo.nspx</w:t>
        </w:r>
      </w:hyperlink>
    </w:p>
    <w:p w14:paraId="614BEBED" w14:textId="21BFAA8F" w:rsidR="009A568F" w:rsidRPr="009A568F" w:rsidRDefault="009A568F" w:rsidP="009A568F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**</w:t>
      </w:r>
      <w:r w:rsidRPr="009A568F">
        <w:rPr>
          <w:rFonts w:asciiTheme="minorHAnsi" w:hAnsiTheme="minorHAnsi" w:cstheme="minorHAnsi"/>
          <w:b/>
          <w:bCs/>
          <w:sz w:val="22"/>
          <w:szCs w:val="22"/>
          <w:lang w:val="mk-MK"/>
        </w:rPr>
        <w:t>Одобрението од точка 5 став 1 на оваа одлука се издава најдолго за една година, а кај договорите за изведување инвестициски работи, до времетраењето на договорот</w:t>
      </w:r>
    </w:p>
    <w:p w14:paraId="35A1E8A2" w14:textId="77777777" w:rsidR="00FB331D" w:rsidRPr="00FB331D" w:rsidRDefault="00FB331D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0D9067DA" w14:textId="78D1D7B7" w:rsidR="00E32821" w:rsidRDefault="00E32821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Напомена</w:t>
      </w:r>
      <w:r>
        <w:rPr>
          <w:rFonts w:asciiTheme="minorHAnsi" w:hAnsiTheme="minorHAnsi" w:cstheme="minorHAnsi"/>
          <w:b/>
          <w:bCs/>
          <w:sz w:val="22"/>
          <w:szCs w:val="22"/>
          <w:lang w:val="en-US"/>
        </w:rPr>
        <w:t xml:space="preserve">: </w:t>
      </w: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З</w:t>
      </w:r>
      <w:r w:rsidRPr="00E32821">
        <w:rPr>
          <w:rFonts w:asciiTheme="minorHAnsi" w:hAnsiTheme="minorHAnsi" w:cstheme="minorHAnsi"/>
          <w:b/>
          <w:bCs/>
          <w:sz w:val="22"/>
          <w:szCs w:val="22"/>
          <w:lang w:val="mk-MK"/>
        </w:rPr>
        <w:t>емјите коишто се дел од Единствената област за плаќања во евра (СЕПА), се сметаат како единствена земја.</w:t>
      </w:r>
    </w:p>
    <w:p w14:paraId="23A50891" w14:textId="77777777" w:rsidR="00F225C4" w:rsidRDefault="00F225C4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</w:p>
    <w:p w14:paraId="6129E7E5" w14:textId="1E8342A3" w:rsidR="00F225C4" w:rsidRPr="00E32821" w:rsidRDefault="00F225C4" w:rsidP="00E32821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mk-MK"/>
        </w:rPr>
      </w:pPr>
      <w:r>
        <w:rPr>
          <w:rFonts w:asciiTheme="minorHAnsi" w:hAnsiTheme="minorHAnsi" w:cstheme="minorHAnsi"/>
          <w:b/>
          <w:bCs/>
          <w:sz w:val="22"/>
          <w:szCs w:val="22"/>
          <w:lang w:val="mk-MK"/>
        </w:rPr>
        <w:t>Банката го задржува правото да побара допониителни документи.</w:t>
      </w:r>
    </w:p>
    <w:p w14:paraId="5FD719C7" w14:textId="77ECD9DA" w:rsidR="00E32821" w:rsidRPr="00E32821" w:rsidRDefault="00E32821" w:rsidP="009B5025">
      <w:pPr>
        <w:ind w:right="-908"/>
        <w:jc w:val="both"/>
        <w:rPr>
          <w:rFonts w:asciiTheme="minorHAnsi" w:hAnsiTheme="minorHAnsi" w:cstheme="minorHAnsi"/>
          <w:b/>
          <w:bCs/>
          <w:sz w:val="22"/>
          <w:szCs w:val="22"/>
          <w:lang w:val="en-US"/>
        </w:rPr>
      </w:pPr>
    </w:p>
    <w:sectPr w:rsidR="00E32821" w:rsidRPr="00E32821" w:rsidSect="00127074">
      <w:footerReference w:type="even" r:id="rId8"/>
      <w:footerReference w:type="default" r:id="rId9"/>
      <w:pgSz w:w="11906" w:h="16838"/>
      <w:pgMar w:top="993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5F8D6" w14:textId="77777777" w:rsidR="00F23846" w:rsidRDefault="00F23846">
      <w:r>
        <w:separator/>
      </w:r>
    </w:p>
  </w:endnote>
  <w:endnote w:type="continuationSeparator" w:id="0">
    <w:p w14:paraId="3E560F2A" w14:textId="77777777" w:rsidR="00F23846" w:rsidRDefault="00F23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edonian Tms">
    <w:altName w:val="Cambria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C38B7" w14:textId="77777777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F68B7F3" w14:textId="77777777" w:rsidR="00DE2EAA" w:rsidRDefault="00DE2EAA" w:rsidP="00CC25A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DBBBC" w14:textId="77777777" w:rsidR="00DE2EAA" w:rsidRDefault="00DE2EAA" w:rsidP="006328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17C3">
      <w:rPr>
        <w:rStyle w:val="PageNumber"/>
        <w:noProof/>
      </w:rPr>
      <w:t>1</w:t>
    </w:r>
    <w:r>
      <w:rPr>
        <w:rStyle w:val="PageNumber"/>
      </w:rPr>
      <w:fldChar w:fldCharType="end"/>
    </w:r>
  </w:p>
  <w:p w14:paraId="5AB7F270" w14:textId="77777777" w:rsidR="00DE2EAA" w:rsidRDefault="00DE2EAA" w:rsidP="00CC25A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1077D" w14:textId="77777777" w:rsidR="00F23846" w:rsidRDefault="00F23846">
      <w:r>
        <w:separator/>
      </w:r>
    </w:p>
  </w:footnote>
  <w:footnote w:type="continuationSeparator" w:id="0">
    <w:p w14:paraId="635970D0" w14:textId="77777777" w:rsidR="00F23846" w:rsidRDefault="00F238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030F"/>
    <w:multiLevelType w:val="hybridMultilevel"/>
    <w:tmpl w:val="707825A6"/>
    <w:lvl w:ilvl="0" w:tplc="84A073C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B00E92"/>
    <w:multiLevelType w:val="multilevel"/>
    <w:tmpl w:val="72221FD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6CD7809"/>
    <w:multiLevelType w:val="hybridMultilevel"/>
    <w:tmpl w:val="6EAA0E3A"/>
    <w:lvl w:ilvl="0" w:tplc="C8AAA63A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FF4F1B"/>
    <w:multiLevelType w:val="hybridMultilevel"/>
    <w:tmpl w:val="4A761B30"/>
    <w:lvl w:ilvl="0" w:tplc="7A7AFED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011A1F"/>
    <w:multiLevelType w:val="hybridMultilevel"/>
    <w:tmpl w:val="69821C1C"/>
    <w:lvl w:ilvl="0" w:tplc="CCA0C3F0">
      <w:start w:val="1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5" w15:restartNumberingAfterBreak="0">
    <w:nsid w:val="1E0E38FE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2400475B"/>
    <w:multiLevelType w:val="hybridMultilevel"/>
    <w:tmpl w:val="5CD01DD4"/>
    <w:lvl w:ilvl="0" w:tplc="81D0A22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MAC C Times" w:eastAsia="Times New Roman" w:hAnsi="MAC C Time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50B4DF2"/>
    <w:multiLevelType w:val="hybridMultilevel"/>
    <w:tmpl w:val="A926ADF4"/>
    <w:lvl w:ilvl="0" w:tplc="F6EC5FE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A10662"/>
    <w:multiLevelType w:val="multilevel"/>
    <w:tmpl w:val="3490E34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ascii="MAC C Times" w:hAnsi="MAC C Times" w:hint="default"/>
      </w:rPr>
    </w:lvl>
    <w:lvl w:ilvl="1">
      <w:start w:val="1"/>
      <w:numFmt w:val="decimal"/>
      <w:lvlText w:val="%1.%2)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ascii="MAC C Times" w:hAnsi="MAC C Times"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ascii="MAC C Times" w:hAnsi="MAC C Times"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ascii="MAC C Times" w:hAnsi="MAC C Times"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ascii="MAC C Times" w:hAnsi="MAC C Times" w:hint="default"/>
      </w:rPr>
    </w:lvl>
  </w:abstractNum>
  <w:abstractNum w:abstractNumId="9" w15:restartNumberingAfterBreak="0">
    <w:nsid w:val="32DE3405"/>
    <w:multiLevelType w:val="hybridMultilevel"/>
    <w:tmpl w:val="B34AB6B0"/>
    <w:lvl w:ilvl="0" w:tplc="390CEBC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B167B2"/>
    <w:multiLevelType w:val="hybridMultilevel"/>
    <w:tmpl w:val="1CBEFA2A"/>
    <w:lvl w:ilvl="0" w:tplc="7A44EEBA">
      <w:start w:val="1"/>
      <w:numFmt w:val="decimal"/>
      <w:lvlText w:val="%1."/>
      <w:lvlJc w:val="left"/>
      <w:pPr>
        <w:ind w:left="765" w:hanging="405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11A31"/>
    <w:multiLevelType w:val="hybridMultilevel"/>
    <w:tmpl w:val="6564464C"/>
    <w:lvl w:ilvl="0" w:tplc="6AF82882">
      <w:start w:val="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EF0630"/>
    <w:multiLevelType w:val="hybridMultilevel"/>
    <w:tmpl w:val="77B6EB42"/>
    <w:lvl w:ilvl="0" w:tplc="0F885AF8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06C24"/>
    <w:multiLevelType w:val="hybridMultilevel"/>
    <w:tmpl w:val="0AD4B4EE"/>
    <w:lvl w:ilvl="0" w:tplc="1F06A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01DBD"/>
    <w:multiLevelType w:val="multilevel"/>
    <w:tmpl w:val="6AC461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8"/>
      <w:numFmt w:val="decimal"/>
      <w:lvlText w:val="%1.%2)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6BE458D0"/>
    <w:multiLevelType w:val="hybridMultilevel"/>
    <w:tmpl w:val="0E427824"/>
    <w:lvl w:ilvl="0" w:tplc="7D0226E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B0DE4"/>
    <w:multiLevelType w:val="hybridMultilevel"/>
    <w:tmpl w:val="90302ED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F60A94"/>
    <w:multiLevelType w:val="hybridMultilevel"/>
    <w:tmpl w:val="27AC6F50"/>
    <w:lvl w:ilvl="0" w:tplc="040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8" w15:restartNumberingAfterBreak="0">
    <w:nsid w:val="73C3505F"/>
    <w:multiLevelType w:val="hybridMultilevel"/>
    <w:tmpl w:val="C07CF5AC"/>
    <w:lvl w:ilvl="0" w:tplc="04302676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515" w:hanging="360"/>
      </w:pPr>
    </w:lvl>
    <w:lvl w:ilvl="2" w:tplc="042F001B" w:tentative="1">
      <w:start w:val="1"/>
      <w:numFmt w:val="lowerRoman"/>
      <w:lvlText w:val="%3."/>
      <w:lvlJc w:val="right"/>
      <w:pPr>
        <w:ind w:left="2235" w:hanging="180"/>
      </w:pPr>
    </w:lvl>
    <w:lvl w:ilvl="3" w:tplc="042F000F" w:tentative="1">
      <w:start w:val="1"/>
      <w:numFmt w:val="decimal"/>
      <w:lvlText w:val="%4."/>
      <w:lvlJc w:val="left"/>
      <w:pPr>
        <w:ind w:left="2955" w:hanging="360"/>
      </w:pPr>
    </w:lvl>
    <w:lvl w:ilvl="4" w:tplc="042F0019" w:tentative="1">
      <w:start w:val="1"/>
      <w:numFmt w:val="lowerLetter"/>
      <w:lvlText w:val="%5."/>
      <w:lvlJc w:val="left"/>
      <w:pPr>
        <w:ind w:left="3675" w:hanging="360"/>
      </w:pPr>
    </w:lvl>
    <w:lvl w:ilvl="5" w:tplc="042F001B" w:tentative="1">
      <w:start w:val="1"/>
      <w:numFmt w:val="lowerRoman"/>
      <w:lvlText w:val="%6."/>
      <w:lvlJc w:val="right"/>
      <w:pPr>
        <w:ind w:left="4395" w:hanging="180"/>
      </w:pPr>
    </w:lvl>
    <w:lvl w:ilvl="6" w:tplc="042F000F" w:tentative="1">
      <w:start w:val="1"/>
      <w:numFmt w:val="decimal"/>
      <w:lvlText w:val="%7."/>
      <w:lvlJc w:val="left"/>
      <w:pPr>
        <w:ind w:left="5115" w:hanging="360"/>
      </w:pPr>
    </w:lvl>
    <w:lvl w:ilvl="7" w:tplc="042F0019" w:tentative="1">
      <w:start w:val="1"/>
      <w:numFmt w:val="lowerLetter"/>
      <w:lvlText w:val="%8."/>
      <w:lvlJc w:val="left"/>
      <w:pPr>
        <w:ind w:left="5835" w:hanging="360"/>
      </w:pPr>
    </w:lvl>
    <w:lvl w:ilvl="8" w:tplc="042F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9" w15:restartNumberingAfterBreak="0">
    <w:nsid w:val="7FCC008B"/>
    <w:multiLevelType w:val="hybridMultilevel"/>
    <w:tmpl w:val="69E628EC"/>
    <w:lvl w:ilvl="0" w:tplc="64DCD88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6264154">
    <w:abstractNumId w:val="8"/>
  </w:num>
  <w:num w:numId="2" w16cid:durableId="1830053628">
    <w:abstractNumId w:val="0"/>
  </w:num>
  <w:num w:numId="3" w16cid:durableId="871653049">
    <w:abstractNumId w:val="5"/>
  </w:num>
  <w:num w:numId="4" w16cid:durableId="1418669289">
    <w:abstractNumId w:val="7"/>
  </w:num>
  <w:num w:numId="5" w16cid:durableId="722796676">
    <w:abstractNumId w:val="1"/>
  </w:num>
  <w:num w:numId="6" w16cid:durableId="1530411024">
    <w:abstractNumId w:val="6"/>
  </w:num>
  <w:num w:numId="7" w16cid:durableId="1538588778">
    <w:abstractNumId w:val="4"/>
  </w:num>
  <w:num w:numId="8" w16cid:durableId="237985483">
    <w:abstractNumId w:val="14"/>
  </w:num>
  <w:num w:numId="9" w16cid:durableId="1977493027">
    <w:abstractNumId w:val="12"/>
  </w:num>
  <w:num w:numId="10" w16cid:durableId="1856654330">
    <w:abstractNumId w:val="10"/>
  </w:num>
  <w:num w:numId="11" w16cid:durableId="1934781256">
    <w:abstractNumId w:val="16"/>
  </w:num>
  <w:num w:numId="12" w16cid:durableId="894507608">
    <w:abstractNumId w:val="18"/>
  </w:num>
  <w:num w:numId="13" w16cid:durableId="2106922487">
    <w:abstractNumId w:val="17"/>
  </w:num>
  <w:num w:numId="14" w16cid:durableId="561253627">
    <w:abstractNumId w:val="3"/>
  </w:num>
  <w:num w:numId="15" w16cid:durableId="657075656">
    <w:abstractNumId w:val="9"/>
  </w:num>
  <w:num w:numId="16" w16cid:durableId="103574932">
    <w:abstractNumId w:val="13"/>
  </w:num>
  <w:num w:numId="17" w16cid:durableId="1669482228">
    <w:abstractNumId w:val="11"/>
  </w:num>
  <w:num w:numId="18" w16cid:durableId="917716327">
    <w:abstractNumId w:val="2"/>
  </w:num>
  <w:num w:numId="19" w16cid:durableId="1206217429">
    <w:abstractNumId w:val="19"/>
  </w:num>
  <w:num w:numId="20" w16cid:durableId="46932960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A24"/>
    <w:rsid w:val="000032E2"/>
    <w:rsid w:val="0001259B"/>
    <w:rsid w:val="00016C6D"/>
    <w:rsid w:val="0002693D"/>
    <w:rsid w:val="000320C5"/>
    <w:rsid w:val="00035664"/>
    <w:rsid w:val="00051DAB"/>
    <w:rsid w:val="00055CDC"/>
    <w:rsid w:val="00064419"/>
    <w:rsid w:val="00080578"/>
    <w:rsid w:val="0008565E"/>
    <w:rsid w:val="00090594"/>
    <w:rsid w:val="00090D34"/>
    <w:rsid w:val="0009311D"/>
    <w:rsid w:val="00095459"/>
    <w:rsid w:val="00095D68"/>
    <w:rsid w:val="000B0AFE"/>
    <w:rsid w:val="000B0B90"/>
    <w:rsid w:val="000B3805"/>
    <w:rsid w:val="000B5C90"/>
    <w:rsid w:val="000B5DE0"/>
    <w:rsid w:val="000C4BF8"/>
    <w:rsid w:val="000C64D6"/>
    <w:rsid w:val="000D52D1"/>
    <w:rsid w:val="000D60D9"/>
    <w:rsid w:val="000E1E6E"/>
    <w:rsid w:val="000E5D44"/>
    <w:rsid w:val="000F79C6"/>
    <w:rsid w:val="00101E93"/>
    <w:rsid w:val="00111823"/>
    <w:rsid w:val="00114E9F"/>
    <w:rsid w:val="001156CB"/>
    <w:rsid w:val="00117086"/>
    <w:rsid w:val="0012060B"/>
    <w:rsid w:val="00121ED5"/>
    <w:rsid w:val="00127074"/>
    <w:rsid w:val="001278A4"/>
    <w:rsid w:val="00144270"/>
    <w:rsid w:val="00145310"/>
    <w:rsid w:val="001532B1"/>
    <w:rsid w:val="00164CAF"/>
    <w:rsid w:val="00166847"/>
    <w:rsid w:val="00177438"/>
    <w:rsid w:val="0018115B"/>
    <w:rsid w:val="001825A3"/>
    <w:rsid w:val="00185A5F"/>
    <w:rsid w:val="001868B3"/>
    <w:rsid w:val="00186AFF"/>
    <w:rsid w:val="00192F39"/>
    <w:rsid w:val="00194768"/>
    <w:rsid w:val="001A378A"/>
    <w:rsid w:val="001A4179"/>
    <w:rsid w:val="001C1A00"/>
    <w:rsid w:val="001C587F"/>
    <w:rsid w:val="001D0548"/>
    <w:rsid w:val="001D0BC4"/>
    <w:rsid w:val="001D3696"/>
    <w:rsid w:val="001D6831"/>
    <w:rsid w:val="001D793C"/>
    <w:rsid w:val="001F3EDB"/>
    <w:rsid w:val="001F4992"/>
    <w:rsid w:val="001F5317"/>
    <w:rsid w:val="001F613D"/>
    <w:rsid w:val="001F7737"/>
    <w:rsid w:val="00200F6D"/>
    <w:rsid w:val="00203C7A"/>
    <w:rsid w:val="0020539A"/>
    <w:rsid w:val="0020661E"/>
    <w:rsid w:val="00207503"/>
    <w:rsid w:val="00207A95"/>
    <w:rsid w:val="00235A25"/>
    <w:rsid w:val="00251DF7"/>
    <w:rsid w:val="0025786C"/>
    <w:rsid w:val="0026007D"/>
    <w:rsid w:val="00276C18"/>
    <w:rsid w:val="002868D6"/>
    <w:rsid w:val="00294670"/>
    <w:rsid w:val="002A58FC"/>
    <w:rsid w:val="002A7AC9"/>
    <w:rsid w:val="002B5256"/>
    <w:rsid w:val="002C6CDF"/>
    <w:rsid w:val="002E2143"/>
    <w:rsid w:val="002E52FB"/>
    <w:rsid w:val="00300989"/>
    <w:rsid w:val="003158ED"/>
    <w:rsid w:val="00323BEB"/>
    <w:rsid w:val="0033069F"/>
    <w:rsid w:val="00341708"/>
    <w:rsid w:val="00356A68"/>
    <w:rsid w:val="00364341"/>
    <w:rsid w:val="0037539E"/>
    <w:rsid w:val="00387633"/>
    <w:rsid w:val="00394608"/>
    <w:rsid w:val="0039781E"/>
    <w:rsid w:val="003A13D2"/>
    <w:rsid w:val="003B147B"/>
    <w:rsid w:val="003D51F9"/>
    <w:rsid w:val="003E0361"/>
    <w:rsid w:val="003E05E6"/>
    <w:rsid w:val="003E4031"/>
    <w:rsid w:val="003F0D4F"/>
    <w:rsid w:val="003F238E"/>
    <w:rsid w:val="00402048"/>
    <w:rsid w:val="0040593A"/>
    <w:rsid w:val="00411D23"/>
    <w:rsid w:val="004136A0"/>
    <w:rsid w:val="0041681F"/>
    <w:rsid w:val="00421520"/>
    <w:rsid w:val="00430727"/>
    <w:rsid w:val="0043640C"/>
    <w:rsid w:val="004468E3"/>
    <w:rsid w:val="00447579"/>
    <w:rsid w:val="0045291B"/>
    <w:rsid w:val="00465DF0"/>
    <w:rsid w:val="0047196B"/>
    <w:rsid w:val="0047344A"/>
    <w:rsid w:val="004764BD"/>
    <w:rsid w:val="00481BAD"/>
    <w:rsid w:val="004B2501"/>
    <w:rsid w:val="004B3C04"/>
    <w:rsid w:val="004B59BB"/>
    <w:rsid w:val="004C5187"/>
    <w:rsid w:val="004D7178"/>
    <w:rsid w:val="004D79FF"/>
    <w:rsid w:val="004E019D"/>
    <w:rsid w:val="004E2E39"/>
    <w:rsid w:val="004E3204"/>
    <w:rsid w:val="004E4ABB"/>
    <w:rsid w:val="004E713A"/>
    <w:rsid w:val="004F4954"/>
    <w:rsid w:val="00501194"/>
    <w:rsid w:val="005100EE"/>
    <w:rsid w:val="005126A0"/>
    <w:rsid w:val="00512CAE"/>
    <w:rsid w:val="0051712C"/>
    <w:rsid w:val="00520328"/>
    <w:rsid w:val="00524731"/>
    <w:rsid w:val="00527312"/>
    <w:rsid w:val="00527CFE"/>
    <w:rsid w:val="00531718"/>
    <w:rsid w:val="0053420E"/>
    <w:rsid w:val="00535D6C"/>
    <w:rsid w:val="00540F5A"/>
    <w:rsid w:val="00544508"/>
    <w:rsid w:val="00545B00"/>
    <w:rsid w:val="0055262F"/>
    <w:rsid w:val="005575A4"/>
    <w:rsid w:val="0056012E"/>
    <w:rsid w:val="00572834"/>
    <w:rsid w:val="005816D3"/>
    <w:rsid w:val="00585103"/>
    <w:rsid w:val="00587C88"/>
    <w:rsid w:val="005904E4"/>
    <w:rsid w:val="00593106"/>
    <w:rsid w:val="005948AD"/>
    <w:rsid w:val="005A1555"/>
    <w:rsid w:val="005A21FE"/>
    <w:rsid w:val="005C2FE7"/>
    <w:rsid w:val="005C4E89"/>
    <w:rsid w:val="005D3969"/>
    <w:rsid w:val="005E3457"/>
    <w:rsid w:val="005F046B"/>
    <w:rsid w:val="005F4743"/>
    <w:rsid w:val="0060573E"/>
    <w:rsid w:val="006064E3"/>
    <w:rsid w:val="006112F6"/>
    <w:rsid w:val="006175D4"/>
    <w:rsid w:val="006323A0"/>
    <w:rsid w:val="006328ED"/>
    <w:rsid w:val="00634BD1"/>
    <w:rsid w:val="00642432"/>
    <w:rsid w:val="00642789"/>
    <w:rsid w:val="006502F1"/>
    <w:rsid w:val="00653608"/>
    <w:rsid w:val="0066117D"/>
    <w:rsid w:val="006650D7"/>
    <w:rsid w:val="006819A8"/>
    <w:rsid w:val="00691945"/>
    <w:rsid w:val="00696148"/>
    <w:rsid w:val="006A723A"/>
    <w:rsid w:val="006B1AA3"/>
    <w:rsid w:val="006C0F20"/>
    <w:rsid w:val="006C146F"/>
    <w:rsid w:val="006C365A"/>
    <w:rsid w:val="006C5CC0"/>
    <w:rsid w:val="006D01F4"/>
    <w:rsid w:val="006D7EF3"/>
    <w:rsid w:val="006E237C"/>
    <w:rsid w:val="00704A19"/>
    <w:rsid w:val="00704FD0"/>
    <w:rsid w:val="007058A1"/>
    <w:rsid w:val="0070730D"/>
    <w:rsid w:val="00710E1B"/>
    <w:rsid w:val="00712346"/>
    <w:rsid w:val="007340EF"/>
    <w:rsid w:val="007348CA"/>
    <w:rsid w:val="0073528E"/>
    <w:rsid w:val="007364A9"/>
    <w:rsid w:val="00737AAD"/>
    <w:rsid w:val="00737F99"/>
    <w:rsid w:val="00747587"/>
    <w:rsid w:val="00750D7D"/>
    <w:rsid w:val="007550DF"/>
    <w:rsid w:val="00771436"/>
    <w:rsid w:val="00772927"/>
    <w:rsid w:val="00772D11"/>
    <w:rsid w:val="00775FFB"/>
    <w:rsid w:val="00794F98"/>
    <w:rsid w:val="007C6360"/>
    <w:rsid w:val="007C6712"/>
    <w:rsid w:val="007E596E"/>
    <w:rsid w:val="007F12A7"/>
    <w:rsid w:val="007F3557"/>
    <w:rsid w:val="00800A23"/>
    <w:rsid w:val="00804A56"/>
    <w:rsid w:val="008165FA"/>
    <w:rsid w:val="008211AC"/>
    <w:rsid w:val="00821CF4"/>
    <w:rsid w:val="00835A30"/>
    <w:rsid w:val="00852583"/>
    <w:rsid w:val="00855690"/>
    <w:rsid w:val="008654E7"/>
    <w:rsid w:val="008835B1"/>
    <w:rsid w:val="00893F93"/>
    <w:rsid w:val="00895516"/>
    <w:rsid w:val="0089552C"/>
    <w:rsid w:val="008B0521"/>
    <w:rsid w:val="008B6447"/>
    <w:rsid w:val="008B6FC7"/>
    <w:rsid w:val="008B7B66"/>
    <w:rsid w:val="008B7EC5"/>
    <w:rsid w:val="008C0501"/>
    <w:rsid w:val="008C5FDC"/>
    <w:rsid w:val="008C6DD6"/>
    <w:rsid w:val="008D068B"/>
    <w:rsid w:val="008D11AE"/>
    <w:rsid w:val="008D1A27"/>
    <w:rsid w:val="008D1FE6"/>
    <w:rsid w:val="008E04B2"/>
    <w:rsid w:val="008E18F6"/>
    <w:rsid w:val="008E2E81"/>
    <w:rsid w:val="008F12B9"/>
    <w:rsid w:val="008F2CBC"/>
    <w:rsid w:val="00904780"/>
    <w:rsid w:val="00917C2F"/>
    <w:rsid w:val="00927B81"/>
    <w:rsid w:val="00927F65"/>
    <w:rsid w:val="009327DD"/>
    <w:rsid w:val="0093508D"/>
    <w:rsid w:val="009360D9"/>
    <w:rsid w:val="009417FC"/>
    <w:rsid w:val="00953126"/>
    <w:rsid w:val="009572C1"/>
    <w:rsid w:val="00961BB4"/>
    <w:rsid w:val="00974C1B"/>
    <w:rsid w:val="0098055B"/>
    <w:rsid w:val="00980F28"/>
    <w:rsid w:val="009A26FA"/>
    <w:rsid w:val="009A291A"/>
    <w:rsid w:val="009A3A10"/>
    <w:rsid w:val="009A568F"/>
    <w:rsid w:val="009A7E6C"/>
    <w:rsid w:val="009B5025"/>
    <w:rsid w:val="009C094E"/>
    <w:rsid w:val="009C6576"/>
    <w:rsid w:val="009D232A"/>
    <w:rsid w:val="009D4A34"/>
    <w:rsid w:val="009E0150"/>
    <w:rsid w:val="009E0343"/>
    <w:rsid w:val="009E2BC8"/>
    <w:rsid w:val="009E6A24"/>
    <w:rsid w:val="00A05A72"/>
    <w:rsid w:val="00A137F6"/>
    <w:rsid w:val="00A2581A"/>
    <w:rsid w:val="00A33F95"/>
    <w:rsid w:val="00A34226"/>
    <w:rsid w:val="00A37F92"/>
    <w:rsid w:val="00A41917"/>
    <w:rsid w:val="00A45FDD"/>
    <w:rsid w:val="00A530A1"/>
    <w:rsid w:val="00A53683"/>
    <w:rsid w:val="00A54EE1"/>
    <w:rsid w:val="00A64E9C"/>
    <w:rsid w:val="00A6676F"/>
    <w:rsid w:val="00A66D81"/>
    <w:rsid w:val="00A717C3"/>
    <w:rsid w:val="00A74EE7"/>
    <w:rsid w:val="00A86503"/>
    <w:rsid w:val="00A978CB"/>
    <w:rsid w:val="00AA37A7"/>
    <w:rsid w:val="00AA42E8"/>
    <w:rsid w:val="00AA43CB"/>
    <w:rsid w:val="00AA7EA3"/>
    <w:rsid w:val="00AB5971"/>
    <w:rsid w:val="00AB61E7"/>
    <w:rsid w:val="00AB72D7"/>
    <w:rsid w:val="00AC25CA"/>
    <w:rsid w:val="00AD30D0"/>
    <w:rsid w:val="00AD74B8"/>
    <w:rsid w:val="00AE564B"/>
    <w:rsid w:val="00AF7C2E"/>
    <w:rsid w:val="00B14004"/>
    <w:rsid w:val="00B21096"/>
    <w:rsid w:val="00B214F8"/>
    <w:rsid w:val="00B61FCD"/>
    <w:rsid w:val="00B620E7"/>
    <w:rsid w:val="00B63642"/>
    <w:rsid w:val="00B661C8"/>
    <w:rsid w:val="00B75775"/>
    <w:rsid w:val="00B814AB"/>
    <w:rsid w:val="00B9521E"/>
    <w:rsid w:val="00BA0978"/>
    <w:rsid w:val="00BA19DE"/>
    <w:rsid w:val="00BB02E0"/>
    <w:rsid w:val="00BB43AC"/>
    <w:rsid w:val="00BC4C59"/>
    <w:rsid w:val="00BD5D00"/>
    <w:rsid w:val="00BF617B"/>
    <w:rsid w:val="00BF7FDB"/>
    <w:rsid w:val="00C03055"/>
    <w:rsid w:val="00C07895"/>
    <w:rsid w:val="00C12231"/>
    <w:rsid w:val="00C13624"/>
    <w:rsid w:val="00C25124"/>
    <w:rsid w:val="00C34549"/>
    <w:rsid w:val="00C3600F"/>
    <w:rsid w:val="00C4474C"/>
    <w:rsid w:val="00C5664E"/>
    <w:rsid w:val="00C56EEC"/>
    <w:rsid w:val="00C57BB6"/>
    <w:rsid w:val="00C62708"/>
    <w:rsid w:val="00C654C7"/>
    <w:rsid w:val="00C709F1"/>
    <w:rsid w:val="00C73A55"/>
    <w:rsid w:val="00C91A31"/>
    <w:rsid w:val="00CA593F"/>
    <w:rsid w:val="00CA7B8C"/>
    <w:rsid w:val="00CB0A1E"/>
    <w:rsid w:val="00CB5D92"/>
    <w:rsid w:val="00CC25A0"/>
    <w:rsid w:val="00CD3046"/>
    <w:rsid w:val="00CD5196"/>
    <w:rsid w:val="00CD5CA7"/>
    <w:rsid w:val="00CE0B1D"/>
    <w:rsid w:val="00CE51CF"/>
    <w:rsid w:val="00CE5933"/>
    <w:rsid w:val="00CE594E"/>
    <w:rsid w:val="00CF06D5"/>
    <w:rsid w:val="00D06C36"/>
    <w:rsid w:val="00D11650"/>
    <w:rsid w:val="00D123AE"/>
    <w:rsid w:val="00D1401B"/>
    <w:rsid w:val="00D162D8"/>
    <w:rsid w:val="00D22762"/>
    <w:rsid w:val="00D23883"/>
    <w:rsid w:val="00D241C0"/>
    <w:rsid w:val="00D420AB"/>
    <w:rsid w:val="00D536EB"/>
    <w:rsid w:val="00D53D49"/>
    <w:rsid w:val="00D56B8D"/>
    <w:rsid w:val="00D623AF"/>
    <w:rsid w:val="00D66366"/>
    <w:rsid w:val="00D66DC7"/>
    <w:rsid w:val="00D76ABF"/>
    <w:rsid w:val="00D803C5"/>
    <w:rsid w:val="00D80955"/>
    <w:rsid w:val="00D83554"/>
    <w:rsid w:val="00D86254"/>
    <w:rsid w:val="00D8754D"/>
    <w:rsid w:val="00DA7F3C"/>
    <w:rsid w:val="00DB25AF"/>
    <w:rsid w:val="00DD2F78"/>
    <w:rsid w:val="00DE0F67"/>
    <w:rsid w:val="00DE2EAA"/>
    <w:rsid w:val="00DE4725"/>
    <w:rsid w:val="00DE4C12"/>
    <w:rsid w:val="00DF7408"/>
    <w:rsid w:val="00E03D54"/>
    <w:rsid w:val="00E1348A"/>
    <w:rsid w:val="00E203C9"/>
    <w:rsid w:val="00E21049"/>
    <w:rsid w:val="00E2339C"/>
    <w:rsid w:val="00E30407"/>
    <w:rsid w:val="00E30FE3"/>
    <w:rsid w:val="00E32821"/>
    <w:rsid w:val="00E36A59"/>
    <w:rsid w:val="00E37469"/>
    <w:rsid w:val="00E40187"/>
    <w:rsid w:val="00E4370C"/>
    <w:rsid w:val="00E456FF"/>
    <w:rsid w:val="00E5525E"/>
    <w:rsid w:val="00E750E9"/>
    <w:rsid w:val="00E76513"/>
    <w:rsid w:val="00E83113"/>
    <w:rsid w:val="00E90C00"/>
    <w:rsid w:val="00EA2474"/>
    <w:rsid w:val="00EC6C41"/>
    <w:rsid w:val="00EC7CE7"/>
    <w:rsid w:val="00ED1AB4"/>
    <w:rsid w:val="00EE013C"/>
    <w:rsid w:val="00EE478E"/>
    <w:rsid w:val="00EF3062"/>
    <w:rsid w:val="00EF41D0"/>
    <w:rsid w:val="00EF5F53"/>
    <w:rsid w:val="00EF600D"/>
    <w:rsid w:val="00F0385C"/>
    <w:rsid w:val="00F04471"/>
    <w:rsid w:val="00F10202"/>
    <w:rsid w:val="00F219C0"/>
    <w:rsid w:val="00F225C4"/>
    <w:rsid w:val="00F23846"/>
    <w:rsid w:val="00F244DB"/>
    <w:rsid w:val="00F253C6"/>
    <w:rsid w:val="00F2612F"/>
    <w:rsid w:val="00F324DD"/>
    <w:rsid w:val="00F3569B"/>
    <w:rsid w:val="00F369C2"/>
    <w:rsid w:val="00F513C9"/>
    <w:rsid w:val="00F566C6"/>
    <w:rsid w:val="00F60093"/>
    <w:rsid w:val="00F72610"/>
    <w:rsid w:val="00F7793F"/>
    <w:rsid w:val="00F823C7"/>
    <w:rsid w:val="00F8565D"/>
    <w:rsid w:val="00FA518E"/>
    <w:rsid w:val="00FA7370"/>
    <w:rsid w:val="00FB20EA"/>
    <w:rsid w:val="00FB3000"/>
    <w:rsid w:val="00FB331D"/>
    <w:rsid w:val="00FB559E"/>
    <w:rsid w:val="00FC0EC8"/>
    <w:rsid w:val="00FC4A22"/>
    <w:rsid w:val="00FC5857"/>
    <w:rsid w:val="00FE2175"/>
    <w:rsid w:val="00FE6692"/>
    <w:rsid w:val="00FF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663BFD"/>
  <w15:chartTrackingRefBased/>
  <w15:docId w15:val="{6FB57BFE-C9FF-43A3-8A14-EB91D3BE8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qFormat/>
    <w:rsid w:val="00691945"/>
    <w:pPr>
      <w:keepNext/>
      <w:outlineLvl w:val="0"/>
    </w:pPr>
    <w:rPr>
      <w:rFonts w:ascii="MAC C Times" w:hAnsi="MAC C Times"/>
      <w:lang w:eastAsia="en-US"/>
    </w:rPr>
  </w:style>
  <w:style w:type="paragraph" w:styleId="Heading2">
    <w:name w:val="heading 2"/>
    <w:basedOn w:val="Normal"/>
    <w:next w:val="Normal"/>
    <w:qFormat/>
    <w:rsid w:val="00AA42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CC25A0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CC25A0"/>
  </w:style>
  <w:style w:type="paragraph" w:styleId="Header">
    <w:name w:val="header"/>
    <w:basedOn w:val="Normal"/>
    <w:rsid w:val="00691945"/>
    <w:pPr>
      <w:tabs>
        <w:tab w:val="center" w:pos="4320"/>
        <w:tab w:val="right" w:pos="8640"/>
      </w:tabs>
      <w:jc w:val="both"/>
    </w:pPr>
    <w:rPr>
      <w:rFonts w:ascii="Macedonian Tms" w:hAnsi="Macedonian Tms"/>
      <w:szCs w:val="20"/>
      <w:lang w:val="en-US" w:eastAsia="en-US"/>
    </w:rPr>
  </w:style>
  <w:style w:type="paragraph" w:styleId="BalloonText">
    <w:name w:val="Balloon Text"/>
    <w:basedOn w:val="Normal"/>
    <w:semiHidden/>
    <w:rsid w:val="00D420AB"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rsid w:val="001C1A00"/>
    <w:pPr>
      <w:tabs>
        <w:tab w:val="left" w:pos="1134"/>
      </w:tabs>
      <w:jc w:val="center"/>
    </w:pPr>
    <w:rPr>
      <w:rFonts w:ascii="Macedonian Tms" w:hAnsi="Macedonian Tms"/>
      <w:b/>
      <w:szCs w:val="20"/>
      <w:lang w:val="en-US" w:eastAsia="en-US"/>
    </w:rPr>
  </w:style>
  <w:style w:type="paragraph" w:customStyle="1" w:styleId="Default">
    <w:name w:val="Default"/>
    <w:rsid w:val="00A05A72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val="mk-MK" w:eastAsia="mk-MK"/>
    </w:rPr>
  </w:style>
  <w:style w:type="paragraph" w:styleId="ListParagraph">
    <w:name w:val="List Paragraph"/>
    <w:basedOn w:val="Normal"/>
    <w:uiPriority w:val="34"/>
    <w:qFormat/>
    <w:rsid w:val="00B9521E"/>
    <w:pPr>
      <w:ind w:left="720"/>
      <w:contextualSpacing/>
    </w:pPr>
  </w:style>
  <w:style w:type="character" w:styleId="Hyperlink">
    <w:name w:val="Hyperlink"/>
    <w:basedOn w:val="DefaultParagraphFont"/>
    <w:rsid w:val="00FB33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33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01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brm.mk/ns-newsarticle-odluka-za-nacinot-i-uslovite-pod-koi-rezidentite-koisto-ne-se-ovlasteni-banki-mozat-da-otvoraat-i-da-imaat-smetki-vo-stranstvo.n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966</Words>
  <Characters>5897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Vrz o snova na ~len 46 od Statutot na Stopanska banka AD Skopje (S</vt:lpstr>
    </vt:vector>
  </TitlesOfParts>
  <Company>Stopanska Banka AD Skopje</Company>
  <LinksUpToDate>false</LinksUpToDate>
  <CharactersWithSpaces>6850</CharactersWithSpaces>
  <SharedDoc>false</SharedDoc>
  <HLinks>
    <vt:vector size="6" baseType="variant">
      <vt:variant>
        <vt:i4>3276812</vt:i4>
      </vt:variant>
      <vt:variant>
        <vt:i4>33158</vt:i4>
      </vt:variant>
      <vt:variant>
        <vt:i4>1025</vt:i4>
      </vt:variant>
      <vt:variant>
        <vt:i4>1</vt:i4>
      </vt:variant>
      <vt:variant>
        <vt:lpwstr>cid:image001.png@01D65B7B.97EF5D80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Vrz o snova na ~len 46 od Statutot na Stopanska banka AD Skopje (S</dc:title>
  <dc:subject/>
  <dc:creator>danicab</dc:creator>
  <cp:keywords/>
  <dc:description/>
  <cp:lastModifiedBy>Daniela Naumoska</cp:lastModifiedBy>
  <cp:revision>5</cp:revision>
  <cp:lastPrinted>2020-07-17T13:47:00Z</cp:lastPrinted>
  <dcterms:created xsi:type="dcterms:W3CDTF">2025-10-02T17:56:00Z</dcterms:created>
  <dcterms:modified xsi:type="dcterms:W3CDTF">2025-10-06T19:57:00Z</dcterms:modified>
</cp:coreProperties>
</file>