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AE9AF" w14:textId="77777777" w:rsidR="00770F32" w:rsidRPr="00031D22" w:rsidRDefault="00031D22" w:rsidP="000A5B89">
      <w:pPr>
        <w:pStyle w:val="Heading1"/>
        <w:pBdr>
          <w:bottom w:val="single" w:sz="12" w:space="1" w:color="auto"/>
        </w:pBdr>
        <w:spacing w:before="240" w:line="276" w:lineRule="auto"/>
        <w:jc w:val="center"/>
        <w:rPr>
          <w:b/>
          <w:sz w:val="28"/>
          <w:lang w:val="mk-MK"/>
        </w:rPr>
      </w:pPr>
      <w:bookmarkStart w:id="0" w:name="_Toc132974465"/>
      <w:bookmarkStart w:id="1" w:name="_Toc132974641"/>
      <w:bookmarkStart w:id="2" w:name="_Toc132978825"/>
      <w:r>
        <w:rPr>
          <w:b/>
          <w:sz w:val="28"/>
          <w:lang w:val="mk-MK"/>
        </w:rPr>
        <w:t>Стопанска Банка АД - Скопје</w:t>
      </w:r>
      <w:bookmarkEnd w:id="0"/>
      <w:bookmarkEnd w:id="1"/>
      <w:bookmarkEnd w:id="2"/>
    </w:p>
    <w:p w14:paraId="6C239771" w14:textId="77777777" w:rsidR="00770F32" w:rsidRPr="00B76236" w:rsidRDefault="00770F32" w:rsidP="000A5B89">
      <w:pPr>
        <w:spacing w:before="240"/>
        <w:jc w:val="both"/>
        <w:rPr>
          <w:lang w:val="mk-MK"/>
        </w:rPr>
      </w:pPr>
    </w:p>
    <w:p w14:paraId="2C75C516" w14:textId="77777777" w:rsidR="00770F32" w:rsidRDefault="00770F32" w:rsidP="000A5B89">
      <w:pPr>
        <w:spacing w:before="240"/>
        <w:jc w:val="both"/>
        <w:rPr>
          <w:lang w:val="pt-BR"/>
        </w:rPr>
      </w:pPr>
    </w:p>
    <w:p w14:paraId="3D169A5C" w14:textId="77777777" w:rsidR="00770F32" w:rsidRDefault="00770F32" w:rsidP="000A5B89">
      <w:pPr>
        <w:spacing w:before="240"/>
        <w:jc w:val="both"/>
        <w:rPr>
          <w:lang w:val="pt-BR"/>
        </w:rPr>
      </w:pPr>
    </w:p>
    <w:p w14:paraId="272C8C32" w14:textId="77777777" w:rsidR="00770F32" w:rsidRDefault="00770F32" w:rsidP="000A5B89">
      <w:pPr>
        <w:spacing w:before="240"/>
        <w:jc w:val="both"/>
        <w:rPr>
          <w:lang w:val="pt-BR"/>
        </w:rPr>
      </w:pPr>
    </w:p>
    <w:p w14:paraId="730B2CA8" w14:textId="77777777" w:rsidR="00770F32" w:rsidRDefault="00770F32" w:rsidP="000A5B89">
      <w:pPr>
        <w:pStyle w:val="Heading5"/>
        <w:tabs>
          <w:tab w:val="center" w:pos="8080"/>
        </w:tabs>
        <w:spacing w:before="240"/>
        <w:jc w:val="both"/>
        <w:rPr>
          <w:lang w:val="pt-BR"/>
        </w:rPr>
      </w:pPr>
    </w:p>
    <w:p w14:paraId="0EBD28B6" w14:textId="77777777" w:rsidR="00770F32" w:rsidRDefault="00770F32" w:rsidP="000A5B89">
      <w:pPr>
        <w:spacing w:before="240"/>
        <w:jc w:val="both"/>
        <w:rPr>
          <w:lang w:val="pt-BR"/>
        </w:rPr>
      </w:pPr>
    </w:p>
    <w:p w14:paraId="09CF9561" w14:textId="77777777" w:rsidR="00770F32" w:rsidRDefault="00770F32" w:rsidP="000A5B89">
      <w:pPr>
        <w:spacing w:before="240"/>
        <w:jc w:val="both"/>
        <w:rPr>
          <w:lang w:val="pt-BR"/>
        </w:rPr>
      </w:pPr>
    </w:p>
    <w:p w14:paraId="7BA253BF" w14:textId="77777777" w:rsidR="00770F32" w:rsidRDefault="00770F32" w:rsidP="000A5B89">
      <w:pPr>
        <w:spacing w:before="240"/>
        <w:jc w:val="both"/>
        <w:rPr>
          <w:lang w:val="pt-BR"/>
        </w:rPr>
      </w:pPr>
    </w:p>
    <w:p w14:paraId="1D73B85B" w14:textId="77777777" w:rsidR="00770F32" w:rsidRDefault="00770F32" w:rsidP="000A5B89">
      <w:pPr>
        <w:spacing w:before="240"/>
        <w:jc w:val="both"/>
        <w:rPr>
          <w:lang w:val="pt-BR"/>
        </w:rPr>
      </w:pPr>
    </w:p>
    <w:p w14:paraId="7B74392C" w14:textId="77777777" w:rsidR="00770F32" w:rsidRPr="00031D22" w:rsidRDefault="00031D22" w:rsidP="000A5B89">
      <w:pPr>
        <w:pStyle w:val="Heading4"/>
        <w:spacing w:before="240"/>
        <w:jc w:val="center"/>
        <w:rPr>
          <w:rFonts w:ascii="Times New Roman" w:hAnsi="Times New Roman" w:cs="Times New Roman"/>
          <w:i w:val="0"/>
          <w:color w:val="auto"/>
          <w:sz w:val="32"/>
          <w:lang w:val="mk-MK"/>
        </w:rPr>
      </w:pPr>
      <w:r>
        <w:rPr>
          <w:rFonts w:ascii="Times New Roman" w:hAnsi="Times New Roman" w:cs="Times New Roman"/>
          <w:i w:val="0"/>
          <w:color w:val="auto"/>
          <w:sz w:val="32"/>
          <w:lang w:val="mk-MK"/>
        </w:rPr>
        <w:t>Годишен извештај</w:t>
      </w:r>
    </w:p>
    <w:p w14:paraId="34C23D14" w14:textId="77777777" w:rsidR="00770F32" w:rsidRPr="00031D22" w:rsidRDefault="00031D22" w:rsidP="000A5B89">
      <w:pPr>
        <w:pStyle w:val="Heading4"/>
        <w:spacing w:before="240"/>
        <w:jc w:val="center"/>
        <w:rPr>
          <w:rFonts w:ascii="Times New Roman" w:hAnsi="Times New Roman" w:cs="Times New Roman"/>
          <w:i w:val="0"/>
          <w:color w:val="auto"/>
          <w:sz w:val="32"/>
          <w:lang w:val="mk-MK"/>
        </w:rPr>
      </w:pPr>
      <w:r>
        <w:rPr>
          <w:rFonts w:ascii="Times New Roman" w:hAnsi="Times New Roman" w:cs="Times New Roman"/>
          <w:i w:val="0"/>
          <w:color w:val="auto"/>
          <w:sz w:val="32"/>
          <w:lang w:val="mk-MK"/>
        </w:rPr>
        <w:t xml:space="preserve">за </w:t>
      </w:r>
      <w:r w:rsidR="00770F32" w:rsidRPr="001C5B17">
        <w:rPr>
          <w:rFonts w:ascii="Times New Roman" w:hAnsi="Times New Roman" w:cs="Times New Roman"/>
          <w:i w:val="0"/>
          <w:color w:val="auto"/>
          <w:sz w:val="32"/>
          <w:lang w:val="mk-MK"/>
        </w:rPr>
        <w:t>20</w:t>
      </w:r>
      <w:r w:rsidR="00B7401E" w:rsidRPr="001C5B17">
        <w:rPr>
          <w:rFonts w:ascii="Times New Roman" w:hAnsi="Times New Roman" w:cs="Times New Roman"/>
          <w:i w:val="0"/>
          <w:color w:val="auto"/>
          <w:sz w:val="32"/>
          <w:lang w:val="mk-MK"/>
        </w:rPr>
        <w:t>2</w:t>
      </w:r>
      <w:r w:rsidR="0037507A">
        <w:rPr>
          <w:rFonts w:ascii="Times New Roman" w:hAnsi="Times New Roman" w:cs="Times New Roman"/>
          <w:i w:val="0"/>
          <w:color w:val="auto"/>
          <w:sz w:val="32"/>
          <w:lang w:val="mk-MK"/>
        </w:rPr>
        <w:t>2</w:t>
      </w:r>
      <w:r>
        <w:rPr>
          <w:rFonts w:ascii="Times New Roman" w:hAnsi="Times New Roman" w:cs="Times New Roman"/>
          <w:i w:val="0"/>
          <w:color w:val="auto"/>
          <w:sz w:val="32"/>
          <w:lang w:val="mk-MK"/>
        </w:rPr>
        <w:t xml:space="preserve"> година</w:t>
      </w:r>
    </w:p>
    <w:p w14:paraId="1AADF7EB" w14:textId="77777777" w:rsidR="00770F32" w:rsidRPr="001C5B17" w:rsidRDefault="00770F32" w:rsidP="000A5B89">
      <w:pPr>
        <w:spacing w:before="240"/>
        <w:jc w:val="both"/>
        <w:rPr>
          <w:rFonts w:ascii="Times New Roman" w:hAnsi="Times New Roman"/>
          <w:sz w:val="24"/>
          <w:szCs w:val="24"/>
          <w:lang w:val="mk-MK"/>
        </w:rPr>
      </w:pPr>
    </w:p>
    <w:p w14:paraId="1F0CA912" w14:textId="77777777" w:rsidR="00770F32" w:rsidRPr="001C5B17" w:rsidRDefault="00770F32" w:rsidP="000A5B89">
      <w:pPr>
        <w:spacing w:before="240"/>
        <w:jc w:val="both"/>
        <w:rPr>
          <w:sz w:val="24"/>
          <w:szCs w:val="24"/>
          <w:lang w:val="mk-MK"/>
        </w:rPr>
      </w:pPr>
    </w:p>
    <w:p w14:paraId="43BEE1F1" w14:textId="77777777" w:rsidR="00770F32" w:rsidRPr="001C5B17" w:rsidRDefault="00770F32" w:rsidP="000A5B89">
      <w:pPr>
        <w:spacing w:before="240"/>
        <w:jc w:val="both"/>
        <w:rPr>
          <w:sz w:val="24"/>
          <w:szCs w:val="24"/>
          <w:lang w:val="mk-MK"/>
        </w:rPr>
      </w:pPr>
    </w:p>
    <w:p w14:paraId="0CEEC28E" w14:textId="77777777" w:rsidR="00770F32" w:rsidRPr="001C5B17" w:rsidRDefault="00770F32" w:rsidP="000A5B89">
      <w:pPr>
        <w:spacing w:before="240"/>
        <w:jc w:val="both"/>
        <w:rPr>
          <w:sz w:val="24"/>
          <w:szCs w:val="24"/>
          <w:lang w:val="mk-MK"/>
        </w:rPr>
      </w:pPr>
    </w:p>
    <w:p w14:paraId="3EAA798F" w14:textId="77777777" w:rsidR="004A7A39" w:rsidRPr="001C5B17" w:rsidRDefault="004A7A39" w:rsidP="000A5B89">
      <w:pPr>
        <w:spacing w:before="240"/>
        <w:jc w:val="both"/>
        <w:rPr>
          <w:sz w:val="24"/>
          <w:szCs w:val="24"/>
          <w:lang w:val="mk-MK"/>
        </w:rPr>
      </w:pPr>
    </w:p>
    <w:p w14:paraId="2D0630BA" w14:textId="77777777" w:rsidR="004A7A39" w:rsidRPr="001C5B17" w:rsidRDefault="004A7A39" w:rsidP="000A5B89">
      <w:pPr>
        <w:spacing w:before="240"/>
        <w:jc w:val="both"/>
        <w:rPr>
          <w:sz w:val="24"/>
          <w:szCs w:val="24"/>
          <w:lang w:val="mk-MK"/>
        </w:rPr>
      </w:pPr>
    </w:p>
    <w:p w14:paraId="618817E0" w14:textId="77777777" w:rsidR="00672EB3" w:rsidRPr="001C5B17" w:rsidRDefault="00672EB3" w:rsidP="000A5B89">
      <w:pPr>
        <w:spacing w:before="240"/>
        <w:jc w:val="both"/>
        <w:rPr>
          <w:sz w:val="24"/>
          <w:szCs w:val="24"/>
          <w:lang w:val="mk-MK"/>
        </w:rPr>
      </w:pPr>
    </w:p>
    <w:p w14:paraId="3D08D114" w14:textId="77777777" w:rsidR="00702F05" w:rsidRPr="001C5B17" w:rsidRDefault="00702F05" w:rsidP="000A5B89">
      <w:pPr>
        <w:pBdr>
          <w:bottom w:val="single" w:sz="12" w:space="1" w:color="auto"/>
        </w:pBdr>
        <w:spacing w:before="240"/>
        <w:jc w:val="both"/>
        <w:rPr>
          <w:sz w:val="24"/>
          <w:szCs w:val="24"/>
          <w:lang w:val="mk-MK"/>
        </w:rPr>
      </w:pPr>
    </w:p>
    <w:p w14:paraId="1649CAE7" w14:textId="77777777" w:rsidR="00770F32" w:rsidRPr="00031D22" w:rsidRDefault="00031D22" w:rsidP="000A5B89">
      <w:pPr>
        <w:pStyle w:val="Heading4"/>
        <w:spacing w:before="240"/>
        <w:jc w:val="center"/>
        <w:rPr>
          <w:rFonts w:ascii="Times New Roman" w:hAnsi="Times New Roman" w:cs="Times New Roman"/>
          <w:i w:val="0"/>
          <w:color w:val="auto"/>
          <w:sz w:val="24"/>
          <w:szCs w:val="24"/>
          <w:lang w:val="mk-MK"/>
        </w:rPr>
      </w:pPr>
      <w:r w:rsidRPr="00616494">
        <w:rPr>
          <w:rFonts w:ascii="Times New Roman" w:hAnsi="Times New Roman" w:cs="Times New Roman"/>
          <w:i w:val="0"/>
          <w:color w:val="auto"/>
          <w:sz w:val="24"/>
          <w:szCs w:val="24"/>
          <w:lang w:val="mk-MK"/>
        </w:rPr>
        <w:t>Скопје</w:t>
      </w:r>
      <w:r w:rsidR="00770F32" w:rsidRPr="001C5B17">
        <w:rPr>
          <w:rFonts w:ascii="Times New Roman" w:hAnsi="Times New Roman" w:cs="Times New Roman"/>
          <w:i w:val="0"/>
          <w:color w:val="auto"/>
          <w:sz w:val="24"/>
          <w:szCs w:val="24"/>
          <w:lang w:val="mk-MK"/>
        </w:rPr>
        <w:t xml:space="preserve">, </w:t>
      </w:r>
      <w:r w:rsidR="005811AF" w:rsidRPr="00A44CFA">
        <w:rPr>
          <w:rFonts w:ascii="Times New Roman" w:hAnsi="Times New Roman" w:cs="Times New Roman"/>
          <w:i w:val="0"/>
          <w:color w:val="auto"/>
          <w:sz w:val="24"/>
          <w:szCs w:val="24"/>
          <w:lang w:val="mk-MK"/>
        </w:rPr>
        <w:t>април</w:t>
      </w:r>
      <w:r w:rsidR="005811AF" w:rsidRPr="001C5B17">
        <w:rPr>
          <w:rFonts w:ascii="Times New Roman" w:hAnsi="Times New Roman" w:cs="Times New Roman"/>
          <w:i w:val="0"/>
          <w:color w:val="auto"/>
          <w:sz w:val="24"/>
          <w:szCs w:val="24"/>
          <w:lang w:val="mk-MK"/>
        </w:rPr>
        <w:t xml:space="preserve"> </w:t>
      </w:r>
      <w:r w:rsidR="007D5F5B" w:rsidRPr="001C5B17">
        <w:rPr>
          <w:rFonts w:ascii="Times New Roman" w:hAnsi="Times New Roman" w:cs="Times New Roman"/>
          <w:i w:val="0"/>
          <w:color w:val="auto"/>
          <w:sz w:val="24"/>
          <w:szCs w:val="24"/>
          <w:lang w:val="mk-MK"/>
        </w:rPr>
        <w:t>202</w:t>
      </w:r>
      <w:r w:rsidR="005811AF" w:rsidRPr="00D25A28">
        <w:rPr>
          <w:rFonts w:ascii="Times New Roman" w:hAnsi="Times New Roman" w:cs="Times New Roman"/>
          <w:i w:val="0"/>
          <w:color w:val="auto"/>
          <w:sz w:val="24"/>
          <w:szCs w:val="24"/>
          <w:lang w:val="mk-MK"/>
        </w:rPr>
        <w:t>3</w:t>
      </w:r>
      <w:r w:rsidRPr="002968D8">
        <w:rPr>
          <w:rFonts w:ascii="Times New Roman" w:hAnsi="Times New Roman" w:cs="Times New Roman"/>
          <w:i w:val="0"/>
          <w:color w:val="auto"/>
          <w:sz w:val="24"/>
          <w:szCs w:val="24"/>
          <w:lang w:val="mk-MK"/>
        </w:rPr>
        <w:t xml:space="preserve"> година</w:t>
      </w:r>
    </w:p>
    <w:p w14:paraId="27F9C335" w14:textId="77777777" w:rsidR="006F64B1" w:rsidRPr="001C5B17" w:rsidRDefault="006F64B1" w:rsidP="005D7358">
      <w:pPr>
        <w:pStyle w:val="BodyText"/>
        <w:rPr>
          <w:rFonts w:asciiTheme="minorHAnsi" w:hAnsiTheme="minorHAnsi" w:cstheme="minorHAnsi"/>
          <w:b/>
          <w:sz w:val="28"/>
          <w:lang w:val="mk-MK"/>
        </w:rPr>
        <w:sectPr w:rsidR="006F64B1" w:rsidRPr="001C5B17" w:rsidSect="0024475B">
          <w:footerReference w:type="default" r:id="rId8"/>
          <w:footerReference w:type="first" r:id="rId9"/>
          <w:pgSz w:w="12240" w:h="15840" w:code="1"/>
          <w:pgMar w:top="1440" w:right="1440" w:bottom="1440" w:left="1531" w:header="720" w:footer="720" w:gutter="0"/>
          <w:pgNumType w:start="1"/>
          <w:cols w:space="720"/>
          <w:titlePg/>
          <w:docGrid w:linePitch="360"/>
        </w:sectPr>
      </w:pPr>
    </w:p>
    <w:p w14:paraId="33C28014" w14:textId="77777777" w:rsidR="008C7935" w:rsidRPr="001C5B17" w:rsidRDefault="008C7935" w:rsidP="008C7935">
      <w:pPr>
        <w:rPr>
          <w:rFonts w:ascii="Times New Roman" w:hAnsi="Times New Roman"/>
          <w:b/>
          <w:sz w:val="28"/>
          <w:szCs w:val="28"/>
          <w:lang w:val="mk-MK"/>
        </w:rPr>
      </w:pPr>
      <w:r w:rsidRPr="008C7935">
        <w:rPr>
          <w:rFonts w:ascii="Times New Roman" w:hAnsi="Times New Roman"/>
          <w:b/>
          <w:sz w:val="28"/>
          <w:szCs w:val="28"/>
          <w:lang w:val="mk-MK"/>
        </w:rPr>
        <w:lastRenderedPageBreak/>
        <w:t>Содржина</w:t>
      </w:r>
      <w:r w:rsidRPr="001C5B17">
        <w:rPr>
          <w:rFonts w:ascii="Times New Roman" w:hAnsi="Times New Roman"/>
          <w:b/>
          <w:sz w:val="28"/>
          <w:szCs w:val="28"/>
          <w:lang w:val="mk-MK"/>
        </w:rPr>
        <w:t>:</w:t>
      </w:r>
    </w:p>
    <w:sdt>
      <w:sdtPr>
        <w:rPr>
          <w:rFonts w:ascii="Calibri" w:eastAsia="Calibri" w:hAnsi="Calibri"/>
          <w:b w:val="0"/>
          <w:bCs w:val="0"/>
          <w:iCs w:val="0"/>
          <w:noProof w:val="0"/>
          <w:sz w:val="22"/>
          <w:szCs w:val="22"/>
          <w:lang w:val="en-US"/>
        </w:rPr>
        <w:id w:val="804430524"/>
        <w:docPartObj>
          <w:docPartGallery w:val="Table of Contents"/>
          <w:docPartUnique/>
        </w:docPartObj>
      </w:sdtPr>
      <w:sdtEndPr>
        <w:rPr>
          <w:rFonts w:ascii="Times New Roman" w:eastAsiaTheme="minorEastAsia" w:hAnsi="Times New Roman"/>
          <w:b/>
          <w:bCs/>
          <w:iCs/>
          <w:noProof/>
          <w:sz w:val="24"/>
          <w:szCs w:val="24"/>
          <w:lang w:val="pt-BR"/>
        </w:rPr>
      </w:sdtEndPr>
      <w:sdtContent>
        <w:p w14:paraId="47B83F1B" w14:textId="77777777" w:rsidR="00FD6F0B" w:rsidRDefault="008C7935" w:rsidP="0018682A">
          <w:pPr>
            <w:pStyle w:val="TOC1"/>
            <w:rPr>
              <w:rFonts w:asciiTheme="minorHAnsi" w:hAnsiTheme="minorHAnsi" w:cstheme="minorBidi"/>
              <w:sz w:val="22"/>
              <w:szCs w:val="22"/>
              <w:lang w:val="en-US"/>
            </w:rPr>
          </w:pPr>
          <w:r>
            <w:rPr>
              <w:rFonts w:cstheme="majorBidi"/>
              <w:noProof w:val="0"/>
              <w:color w:val="365F91" w:themeColor="accent1" w:themeShade="BF"/>
            </w:rPr>
            <w:fldChar w:fldCharType="begin"/>
          </w:r>
          <w:r>
            <w:instrText xml:space="preserve"> TOC \o "1-3" \h \z \u </w:instrText>
          </w:r>
          <w:r>
            <w:rPr>
              <w:rFonts w:cstheme="majorBidi"/>
              <w:noProof w:val="0"/>
              <w:color w:val="365F91" w:themeColor="accent1" w:themeShade="BF"/>
            </w:rPr>
            <w:fldChar w:fldCharType="separate"/>
          </w:r>
        </w:p>
        <w:p w14:paraId="0259BF5C" w14:textId="7B6CC504" w:rsidR="00FD6F0B" w:rsidRDefault="002577EC" w:rsidP="0018682A">
          <w:pPr>
            <w:pStyle w:val="TOC1"/>
            <w:rPr>
              <w:rFonts w:asciiTheme="minorHAnsi" w:hAnsiTheme="minorHAnsi" w:cstheme="minorBidi"/>
              <w:sz w:val="22"/>
              <w:szCs w:val="22"/>
              <w:lang w:val="en-US"/>
            </w:rPr>
          </w:pPr>
          <w:hyperlink w:anchor="_Toc132978826" w:history="1">
            <w:r w:rsidR="00FD6F0B" w:rsidRPr="00D37EEE">
              <w:rPr>
                <w:rStyle w:val="Hyperlink"/>
                <w:lang w:val="mk-MK"/>
              </w:rPr>
              <w:t>Преглед на активностите во 2022 година</w:t>
            </w:r>
            <w:r w:rsidR="00FD6F0B">
              <w:rPr>
                <w:webHidden/>
              </w:rPr>
              <w:tab/>
            </w:r>
            <w:r w:rsidR="00FD6F0B">
              <w:rPr>
                <w:webHidden/>
              </w:rPr>
              <w:fldChar w:fldCharType="begin"/>
            </w:r>
            <w:r w:rsidR="00FD6F0B">
              <w:rPr>
                <w:webHidden/>
              </w:rPr>
              <w:instrText xml:space="preserve"> PAGEREF _Toc132978826 \h </w:instrText>
            </w:r>
            <w:r w:rsidR="00FD6F0B">
              <w:rPr>
                <w:webHidden/>
              </w:rPr>
            </w:r>
            <w:r w:rsidR="00FD6F0B">
              <w:rPr>
                <w:webHidden/>
              </w:rPr>
              <w:fldChar w:fldCharType="separate"/>
            </w:r>
            <w:r w:rsidR="00BC0647">
              <w:rPr>
                <w:webHidden/>
              </w:rPr>
              <w:t>1</w:t>
            </w:r>
            <w:r w:rsidR="00FD6F0B">
              <w:rPr>
                <w:webHidden/>
              </w:rPr>
              <w:fldChar w:fldCharType="end"/>
            </w:r>
          </w:hyperlink>
        </w:p>
        <w:p w14:paraId="480EEA03" w14:textId="54C2871A" w:rsidR="00FD6F0B" w:rsidRDefault="002577EC" w:rsidP="0018682A">
          <w:pPr>
            <w:pStyle w:val="TOC1"/>
            <w:rPr>
              <w:rFonts w:asciiTheme="minorHAnsi" w:hAnsiTheme="minorHAnsi" w:cstheme="minorBidi"/>
              <w:sz w:val="22"/>
              <w:szCs w:val="22"/>
              <w:lang w:val="en-US"/>
            </w:rPr>
          </w:pPr>
          <w:hyperlink w:anchor="_Toc132978831" w:history="1">
            <w:r w:rsidR="00FD6F0B" w:rsidRPr="00D37EEE">
              <w:rPr>
                <w:rStyle w:val="Hyperlink"/>
                <w:lang w:val="mk-MK"/>
              </w:rPr>
              <w:t>Економско опкружување</w:t>
            </w:r>
            <w:r w:rsidR="00FD6F0B">
              <w:rPr>
                <w:webHidden/>
              </w:rPr>
              <w:tab/>
            </w:r>
            <w:r w:rsidR="00FD6F0B">
              <w:rPr>
                <w:webHidden/>
              </w:rPr>
              <w:fldChar w:fldCharType="begin"/>
            </w:r>
            <w:r w:rsidR="00FD6F0B">
              <w:rPr>
                <w:webHidden/>
              </w:rPr>
              <w:instrText xml:space="preserve"> PAGEREF _Toc132978831 \h </w:instrText>
            </w:r>
            <w:r w:rsidR="00FD6F0B">
              <w:rPr>
                <w:webHidden/>
              </w:rPr>
            </w:r>
            <w:r w:rsidR="00FD6F0B">
              <w:rPr>
                <w:webHidden/>
              </w:rPr>
              <w:fldChar w:fldCharType="separate"/>
            </w:r>
            <w:r w:rsidR="00BC0647">
              <w:rPr>
                <w:webHidden/>
              </w:rPr>
              <w:t>4</w:t>
            </w:r>
            <w:r w:rsidR="00FD6F0B">
              <w:rPr>
                <w:webHidden/>
              </w:rPr>
              <w:fldChar w:fldCharType="end"/>
            </w:r>
          </w:hyperlink>
        </w:p>
        <w:p w14:paraId="7F345AC4" w14:textId="524F88C6" w:rsidR="00FD6F0B" w:rsidRDefault="002577EC" w:rsidP="0018682A">
          <w:pPr>
            <w:pStyle w:val="TOC1"/>
            <w:rPr>
              <w:rFonts w:asciiTheme="minorHAnsi" w:hAnsiTheme="minorHAnsi" w:cstheme="minorBidi"/>
              <w:sz w:val="22"/>
              <w:szCs w:val="22"/>
              <w:lang w:val="en-US"/>
            </w:rPr>
          </w:pPr>
          <w:hyperlink w:anchor="_Toc132978832" w:history="1">
            <w:r w:rsidR="00FD6F0B" w:rsidRPr="00D37EEE">
              <w:rPr>
                <w:rStyle w:val="Hyperlink"/>
                <w:lang w:val="mk-MK"/>
              </w:rPr>
              <w:t>Банкарски сектор и СБ</w:t>
            </w:r>
            <w:r w:rsidR="00FD6F0B">
              <w:rPr>
                <w:webHidden/>
              </w:rPr>
              <w:tab/>
            </w:r>
            <w:r w:rsidR="00FD6F0B">
              <w:rPr>
                <w:webHidden/>
              </w:rPr>
              <w:fldChar w:fldCharType="begin"/>
            </w:r>
            <w:r w:rsidR="00FD6F0B">
              <w:rPr>
                <w:webHidden/>
              </w:rPr>
              <w:instrText xml:space="preserve"> PAGEREF _Toc132978832 \h </w:instrText>
            </w:r>
            <w:r w:rsidR="00FD6F0B">
              <w:rPr>
                <w:webHidden/>
              </w:rPr>
            </w:r>
            <w:r w:rsidR="00FD6F0B">
              <w:rPr>
                <w:webHidden/>
              </w:rPr>
              <w:fldChar w:fldCharType="separate"/>
            </w:r>
            <w:r w:rsidR="00BC0647">
              <w:rPr>
                <w:webHidden/>
              </w:rPr>
              <w:t>8</w:t>
            </w:r>
            <w:r w:rsidR="00FD6F0B">
              <w:rPr>
                <w:webHidden/>
              </w:rPr>
              <w:fldChar w:fldCharType="end"/>
            </w:r>
          </w:hyperlink>
        </w:p>
        <w:p w14:paraId="168B14B5" w14:textId="1A70A204" w:rsidR="00FD6F0B" w:rsidRDefault="002577EC" w:rsidP="0018682A">
          <w:pPr>
            <w:pStyle w:val="TOC1"/>
            <w:rPr>
              <w:rFonts w:asciiTheme="minorHAnsi" w:hAnsiTheme="minorHAnsi" w:cstheme="minorBidi"/>
              <w:sz w:val="22"/>
              <w:szCs w:val="22"/>
              <w:lang w:val="en-US"/>
            </w:rPr>
          </w:pPr>
          <w:hyperlink w:anchor="_Toc132978833" w:history="1">
            <w:r w:rsidR="00FD6F0B" w:rsidRPr="00D37EEE">
              <w:rPr>
                <w:rStyle w:val="Hyperlink"/>
                <w:lang w:val="mk-MK"/>
              </w:rPr>
              <w:t>Финансиско работење</w:t>
            </w:r>
            <w:r w:rsidR="00FD6F0B">
              <w:rPr>
                <w:webHidden/>
              </w:rPr>
              <w:tab/>
            </w:r>
            <w:r w:rsidR="00FD6F0B">
              <w:rPr>
                <w:webHidden/>
              </w:rPr>
              <w:fldChar w:fldCharType="begin"/>
            </w:r>
            <w:r w:rsidR="00FD6F0B">
              <w:rPr>
                <w:webHidden/>
              </w:rPr>
              <w:instrText xml:space="preserve"> PAGEREF _Toc132978833 \h </w:instrText>
            </w:r>
            <w:r w:rsidR="00FD6F0B">
              <w:rPr>
                <w:webHidden/>
              </w:rPr>
            </w:r>
            <w:r w:rsidR="00FD6F0B">
              <w:rPr>
                <w:webHidden/>
              </w:rPr>
              <w:fldChar w:fldCharType="separate"/>
            </w:r>
            <w:r w:rsidR="00BC0647">
              <w:rPr>
                <w:webHidden/>
              </w:rPr>
              <w:t>8</w:t>
            </w:r>
            <w:r w:rsidR="00FD6F0B">
              <w:rPr>
                <w:webHidden/>
              </w:rPr>
              <w:fldChar w:fldCharType="end"/>
            </w:r>
          </w:hyperlink>
        </w:p>
        <w:p w14:paraId="70A60ED6" w14:textId="31533EC1" w:rsidR="00FD6F0B" w:rsidRDefault="002577EC">
          <w:pPr>
            <w:pStyle w:val="TOC2"/>
            <w:rPr>
              <w:rFonts w:asciiTheme="minorHAnsi" w:hAnsiTheme="minorHAnsi" w:cstheme="minorBidi"/>
              <w:b w:val="0"/>
              <w:noProof/>
              <w:sz w:val="22"/>
              <w:szCs w:val="22"/>
            </w:rPr>
          </w:pPr>
          <w:hyperlink w:anchor="_Toc132978834" w:history="1">
            <w:r w:rsidR="00FD6F0B" w:rsidRPr="00D37EEE">
              <w:rPr>
                <w:rStyle w:val="Hyperlink"/>
                <w:i/>
                <w:noProof/>
                <w:lang w:val="mk-MK"/>
              </w:rPr>
              <w:t>Приходи од камати</w:t>
            </w:r>
            <w:r w:rsidR="00FD6F0B">
              <w:rPr>
                <w:noProof/>
                <w:webHidden/>
              </w:rPr>
              <w:tab/>
            </w:r>
            <w:r w:rsidR="00FD6F0B">
              <w:rPr>
                <w:noProof/>
                <w:webHidden/>
              </w:rPr>
              <w:fldChar w:fldCharType="begin"/>
            </w:r>
            <w:r w:rsidR="00FD6F0B">
              <w:rPr>
                <w:noProof/>
                <w:webHidden/>
              </w:rPr>
              <w:instrText xml:space="preserve"> PAGEREF _Toc132978834 \h </w:instrText>
            </w:r>
            <w:r w:rsidR="00FD6F0B">
              <w:rPr>
                <w:noProof/>
                <w:webHidden/>
              </w:rPr>
            </w:r>
            <w:r w:rsidR="00FD6F0B">
              <w:rPr>
                <w:noProof/>
                <w:webHidden/>
              </w:rPr>
              <w:fldChar w:fldCharType="separate"/>
            </w:r>
            <w:r w:rsidR="00BC0647">
              <w:rPr>
                <w:noProof/>
                <w:webHidden/>
              </w:rPr>
              <w:t>8</w:t>
            </w:r>
            <w:r w:rsidR="00FD6F0B">
              <w:rPr>
                <w:noProof/>
                <w:webHidden/>
              </w:rPr>
              <w:fldChar w:fldCharType="end"/>
            </w:r>
          </w:hyperlink>
        </w:p>
        <w:p w14:paraId="2D941297" w14:textId="1B173FD6" w:rsidR="00FD6F0B" w:rsidRDefault="002577EC">
          <w:pPr>
            <w:pStyle w:val="TOC2"/>
            <w:rPr>
              <w:rFonts w:asciiTheme="minorHAnsi" w:hAnsiTheme="minorHAnsi" w:cstheme="minorBidi"/>
              <w:b w:val="0"/>
              <w:noProof/>
              <w:sz w:val="22"/>
              <w:szCs w:val="22"/>
            </w:rPr>
          </w:pPr>
          <w:hyperlink w:anchor="_Toc132978835" w:history="1">
            <w:r w:rsidR="00FD6F0B" w:rsidRPr="00D37EEE">
              <w:rPr>
                <w:rStyle w:val="Hyperlink"/>
                <w:i/>
                <w:noProof/>
                <w:lang w:val="mk-MK"/>
              </w:rPr>
              <w:t>Приходи од провизии и надоместоци</w:t>
            </w:r>
            <w:r w:rsidR="00FD6F0B">
              <w:rPr>
                <w:noProof/>
                <w:webHidden/>
              </w:rPr>
              <w:tab/>
            </w:r>
            <w:r w:rsidR="00FD6F0B">
              <w:rPr>
                <w:noProof/>
                <w:webHidden/>
              </w:rPr>
              <w:fldChar w:fldCharType="begin"/>
            </w:r>
            <w:r w:rsidR="00FD6F0B">
              <w:rPr>
                <w:noProof/>
                <w:webHidden/>
              </w:rPr>
              <w:instrText xml:space="preserve"> PAGEREF _Toc132978835 \h </w:instrText>
            </w:r>
            <w:r w:rsidR="00FD6F0B">
              <w:rPr>
                <w:noProof/>
                <w:webHidden/>
              </w:rPr>
            </w:r>
            <w:r w:rsidR="00FD6F0B">
              <w:rPr>
                <w:noProof/>
                <w:webHidden/>
              </w:rPr>
              <w:fldChar w:fldCharType="separate"/>
            </w:r>
            <w:r w:rsidR="00BC0647">
              <w:rPr>
                <w:noProof/>
                <w:webHidden/>
              </w:rPr>
              <w:t>9</w:t>
            </w:r>
            <w:r w:rsidR="00FD6F0B">
              <w:rPr>
                <w:noProof/>
                <w:webHidden/>
              </w:rPr>
              <w:fldChar w:fldCharType="end"/>
            </w:r>
          </w:hyperlink>
        </w:p>
        <w:p w14:paraId="249A0598" w14:textId="114E6784" w:rsidR="00FD6F0B" w:rsidRDefault="002577EC">
          <w:pPr>
            <w:pStyle w:val="TOC2"/>
            <w:rPr>
              <w:rFonts w:asciiTheme="minorHAnsi" w:hAnsiTheme="minorHAnsi" w:cstheme="minorBidi"/>
              <w:b w:val="0"/>
              <w:noProof/>
              <w:sz w:val="22"/>
              <w:szCs w:val="22"/>
            </w:rPr>
          </w:pPr>
          <w:hyperlink w:anchor="_Toc132978836" w:history="1">
            <w:r w:rsidR="00FD6F0B" w:rsidRPr="00D37EEE">
              <w:rPr>
                <w:rStyle w:val="Hyperlink"/>
                <w:i/>
                <w:noProof/>
                <w:lang w:val="mk-MK"/>
              </w:rPr>
              <w:t>Оперативни расходи</w:t>
            </w:r>
            <w:r w:rsidR="00FD6F0B">
              <w:rPr>
                <w:noProof/>
                <w:webHidden/>
              </w:rPr>
              <w:tab/>
            </w:r>
            <w:r w:rsidR="00FD6F0B">
              <w:rPr>
                <w:noProof/>
                <w:webHidden/>
              </w:rPr>
              <w:fldChar w:fldCharType="begin"/>
            </w:r>
            <w:r w:rsidR="00FD6F0B">
              <w:rPr>
                <w:noProof/>
                <w:webHidden/>
              </w:rPr>
              <w:instrText xml:space="preserve"> PAGEREF _Toc132978836 \h </w:instrText>
            </w:r>
            <w:r w:rsidR="00FD6F0B">
              <w:rPr>
                <w:noProof/>
                <w:webHidden/>
              </w:rPr>
            </w:r>
            <w:r w:rsidR="00FD6F0B">
              <w:rPr>
                <w:noProof/>
                <w:webHidden/>
              </w:rPr>
              <w:fldChar w:fldCharType="separate"/>
            </w:r>
            <w:r w:rsidR="00BC0647">
              <w:rPr>
                <w:noProof/>
                <w:webHidden/>
              </w:rPr>
              <w:t>10</w:t>
            </w:r>
            <w:r w:rsidR="00FD6F0B">
              <w:rPr>
                <w:noProof/>
                <w:webHidden/>
              </w:rPr>
              <w:fldChar w:fldCharType="end"/>
            </w:r>
          </w:hyperlink>
        </w:p>
        <w:p w14:paraId="43D570C9" w14:textId="1B7AC7FA" w:rsidR="00FD6F0B" w:rsidRDefault="002577EC" w:rsidP="0018682A">
          <w:pPr>
            <w:pStyle w:val="TOC1"/>
            <w:rPr>
              <w:rFonts w:asciiTheme="minorHAnsi" w:hAnsiTheme="minorHAnsi" w:cstheme="minorBidi"/>
              <w:sz w:val="22"/>
              <w:szCs w:val="22"/>
              <w:lang w:val="en-US"/>
            </w:rPr>
          </w:pPr>
          <w:hyperlink w:anchor="_Toc132978837" w:history="1">
            <w:r w:rsidR="00FD6F0B" w:rsidRPr="00D37EEE">
              <w:rPr>
                <w:rStyle w:val="Hyperlink"/>
                <w:lang w:val="mk-MK"/>
              </w:rPr>
              <w:t>Средства и Обврски</w:t>
            </w:r>
            <w:r w:rsidR="00FD6F0B">
              <w:rPr>
                <w:webHidden/>
              </w:rPr>
              <w:tab/>
            </w:r>
            <w:r w:rsidR="00FD6F0B">
              <w:rPr>
                <w:webHidden/>
              </w:rPr>
              <w:fldChar w:fldCharType="begin"/>
            </w:r>
            <w:r w:rsidR="00FD6F0B">
              <w:rPr>
                <w:webHidden/>
              </w:rPr>
              <w:instrText xml:space="preserve"> PAGEREF _Toc132978837 \h </w:instrText>
            </w:r>
            <w:r w:rsidR="00FD6F0B">
              <w:rPr>
                <w:webHidden/>
              </w:rPr>
            </w:r>
            <w:r w:rsidR="00FD6F0B">
              <w:rPr>
                <w:webHidden/>
              </w:rPr>
              <w:fldChar w:fldCharType="separate"/>
            </w:r>
            <w:r w:rsidR="00BC0647">
              <w:rPr>
                <w:webHidden/>
              </w:rPr>
              <w:t>10</w:t>
            </w:r>
            <w:r w:rsidR="00FD6F0B">
              <w:rPr>
                <w:webHidden/>
              </w:rPr>
              <w:fldChar w:fldCharType="end"/>
            </w:r>
          </w:hyperlink>
        </w:p>
        <w:p w14:paraId="6E549D51" w14:textId="23AA4A92" w:rsidR="00FD6F0B" w:rsidRDefault="002577EC">
          <w:pPr>
            <w:pStyle w:val="TOC2"/>
            <w:rPr>
              <w:rFonts w:asciiTheme="minorHAnsi" w:hAnsiTheme="minorHAnsi" w:cstheme="minorBidi"/>
              <w:b w:val="0"/>
              <w:noProof/>
              <w:sz w:val="22"/>
              <w:szCs w:val="22"/>
            </w:rPr>
          </w:pPr>
          <w:hyperlink w:anchor="_Toc132978838" w:history="1">
            <w:r w:rsidR="00FD6F0B" w:rsidRPr="00D37EEE">
              <w:rPr>
                <w:rStyle w:val="Hyperlink"/>
                <w:i/>
                <w:noProof/>
                <w:lang w:val="mk-MK"/>
              </w:rPr>
              <w:t>Средства</w:t>
            </w:r>
            <w:r w:rsidR="00FD6F0B">
              <w:rPr>
                <w:noProof/>
                <w:webHidden/>
              </w:rPr>
              <w:tab/>
            </w:r>
            <w:r w:rsidR="00FD6F0B">
              <w:rPr>
                <w:noProof/>
                <w:webHidden/>
              </w:rPr>
              <w:fldChar w:fldCharType="begin"/>
            </w:r>
            <w:r w:rsidR="00FD6F0B">
              <w:rPr>
                <w:noProof/>
                <w:webHidden/>
              </w:rPr>
              <w:instrText xml:space="preserve"> PAGEREF _Toc132978838 \h </w:instrText>
            </w:r>
            <w:r w:rsidR="00FD6F0B">
              <w:rPr>
                <w:noProof/>
                <w:webHidden/>
              </w:rPr>
            </w:r>
            <w:r w:rsidR="00FD6F0B">
              <w:rPr>
                <w:noProof/>
                <w:webHidden/>
              </w:rPr>
              <w:fldChar w:fldCharType="separate"/>
            </w:r>
            <w:r w:rsidR="00BC0647">
              <w:rPr>
                <w:noProof/>
                <w:webHidden/>
              </w:rPr>
              <w:t>10</w:t>
            </w:r>
            <w:r w:rsidR="00FD6F0B">
              <w:rPr>
                <w:noProof/>
                <w:webHidden/>
              </w:rPr>
              <w:fldChar w:fldCharType="end"/>
            </w:r>
          </w:hyperlink>
        </w:p>
        <w:p w14:paraId="3F242583" w14:textId="0BE6CAA0" w:rsidR="00FD6F0B" w:rsidRPr="00FD6F0B" w:rsidRDefault="002577EC" w:rsidP="00FD6F0B">
          <w:pPr>
            <w:pStyle w:val="TOC2"/>
            <w:rPr>
              <w:rFonts w:asciiTheme="minorHAnsi" w:hAnsiTheme="minorHAnsi" w:cstheme="minorBidi"/>
              <w:b w:val="0"/>
              <w:noProof/>
              <w:sz w:val="22"/>
              <w:szCs w:val="22"/>
            </w:rPr>
          </w:pPr>
          <w:hyperlink w:anchor="_Toc132978839" w:history="1">
            <w:r w:rsidR="00FD6F0B" w:rsidRPr="00D37EEE">
              <w:rPr>
                <w:rStyle w:val="Hyperlink"/>
                <w:i/>
                <w:noProof/>
                <w:lang w:val="mk-MK"/>
              </w:rPr>
              <w:t>Депозити и капитал</w:t>
            </w:r>
            <w:r w:rsidR="00FD6F0B">
              <w:rPr>
                <w:noProof/>
                <w:webHidden/>
              </w:rPr>
              <w:tab/>
            </w:r>
            <w:r w:rsidR="00FD6F0B">
              <w:rPr>
                <w:noProof/>
                <w:webHidden/>
              </w:rPr>
              <w:fldChar w:fldCharType="begin"/>
            </w:r>
            <w:r w:rsidR="00FD6F0B">
              <w:rPr>
                <w:noProof/>
                <w:webHidden/>
              </w:rPr>
              <w:instrText xml:space="preserve"> PAGEREF _Toc132978839 \h </w:instrText>
            </w:r>
            <w:r w:rsidR="00FD6F0B">
              <w:rPr>
                <w:noProof/>
                <w:webHidden/>
              </w:rPr>
            </w:r>
            <w:r w:rsidR="00FD6F0B">
              <w:rPr>
                <w:noProof/>
                <w:webHidden/>
              </w:rPr>
              <w:fldChar w:fldCharType="separate"/>
            </w:r>
            <w:r w:rsidR="00BC0647">
              <w:rPr>
                <w:noProof/>
                <w:webHidden/>
              </w:rPr>
              <w:t>11</w:t>
            </w:r>
            <w:r w:rsidR="00FD6F0B">
              <w:rPr>
                <w:noProof/>
                <w:webHidden/>
              </w:rPr>
              <w:fldChar w:fldCharType="end"/>
            </w:r>
          </w:hyperlink>
        </w:p>
        <w:p w14:paraId="68BFDA72" w14:textId="5836B2BD" w:rsidR="00FD6F0B" w:rsidRDefault="002577EC" w:rsidP="0018682A">
          <w:pPr>
            <w:pStyle w:val="TOC1"/>
            <w:rPr>
              <w:rFonts w:asciiTheme="minorHAnsi" w:hAnsiTheme="minorHAnsi" w:cstheme="minorBidi"/>
              <w:sz w:val="22"/>
              <w:szCs w:val="22"/>
              <w:lang w:val="en-US"/>
            </w:rPr>
          </w:pPr>
          <w:hyperlink w:anchor="_Toc132978842" w:history="1">
            <w:r w:rsidR="00FD6F0B" w:rsidRPr="00D37EEE">
              <w:rPr>
                <w:rStyle w:val="Hyperlink"/>
                <w:lang w:val="mk-MK"/>
              </w:rPr>
              <w:t>Банкарство на мало</w:t>
            </w:r>
            <w:r w:rsidR="00FD6F0B">
              <w:rPr>
                <w:webHidden/>
              </w:rPr>
              <w:tab/>
            </w:r>
            <w:r w:rsidR="00FD6F0B">
              <w:rPr>
                <w:webHidden/>
              </w:rPr>
              <w:fldChar w:fldCharType="begin"/>
            </w:r>
            <w:r w:rsidR="00FD6F0B">
              <w:rPr>
                <w:webHidden/>
              </w:rPr>
              <w:instrText xml:space="preserve"> PAGEREF _Toc132978842 \h </w:instrText>
            </w:r>
            <w:r w:rsidR="00FD6F0B">
              <w:rPr>
                <w:webHidden/>
              </w:rPr>
            </w:r>
            <w:r w:rsidR="00FD6F0B">
              <w:rPr>
                <w:webHidden/>
              </w:rPr>
              <w:fldChar w:fldCharType="separate"/>
            </w:r>
            <w:r w:rsidR="00BC0647">
              <w:rPr>
                <w:webHidden/>
              </w:rPr>
              <w:t>11</w:t>
            </w:r>
            <w:r w:rsidR="00FD6F0B">
              <w:rPr>
                <w:webHidden/>
              </w:rPr>
              <w:fldChar w:fldCharType="end"/>
            </w:r>
          </w:hyperlink>
        </w:p>
        <w:p w14:paraId="232C28AC" w14:textId="0BEC90A7" w:rsidR="00FD6F0B" w:rsidRDefault="002577EC">
          <w:pPr>
            <w:pStyle w:val="TOC2"/>
            <w:rPr>
              <w:rFonts w:asciiTheme="minorHAnsi" w:hAnsiTheme="minorHAnsi" w:cstheme="minorBidi"/>
              <w:b w:val="0"/>
              <w:noProof/>
              <w:sz w:val="22"/>
              <w:szCs w:val="22"/>
            </w:rPr>
          </w:pPr>
          <w:hyperlink w:anchor="_Toc132978843" w:history="1">
            <w:r w:rsidR="00FD6F0B" w:rsidRPr="00D37EEE">
              <w:rPr>
                <w:rStyle w:val="Hyperlink"/>
                <w:i/>
                <w:noProof/>
                <w:lang w:val="mk-MK"/>
              </w:rPr>
              <w:t>Депозити на население</w:t>
            </w:r>
            <w:r w:rsidR="00FD6F0B">
              <w:rPr>
                <w:noProof/>
                <w:webHidden/>
              </w:rPr>
              <w:tab/>
            </w:r>
            <w:r w:rsidR="00FD6F0B">
              <w:rPr>
                <w:noProof/>
                <w:webHidden/>
              </w:rPr>
              <w:fldChar w:fldCharType="begin"/>
            </w:r>
            <w:r w:rsidR="00FD6F0B">
              <w:rPr>
                <w:noProof/>
                <w:webHidden/>
              </w:rPr>
              <w:instrText xml:space="preserve"> PAGEREF _Toc132978843 \h </w:instrText>
            </w:r>
            <w:r w:rsidR="00FD6F0B">
              <w:rPr>
                <w:noProof/>
                <w:webHidden/>
              </w:rPr>
            </w:r>
            <w:r w:rsidR="00FD6F0B">
              <w:rPr>
                <w:noProof/>
                <w:webHidden/>
              </w:rPr>
              <w:fldChar w:fldCharType="separate"/>
            </w:r>
            <w:r w:rsidR="00BC0647">
              <w:rPr>
                <w:noProof/>
                <w:webHidden/>
              </w:rPr>
              <w:t>12</w:t>
            </w:r>
            <w:r w:rsidR="00FD6F0B">
              <w:rPr>
                <w:noProof/>
                <w:webHidden/>
              </w:rPr>
              <w:fldChar w:fldCharType="end"/>
            </w:r>
          </w:hyperlink>
        </w:p>
        <w:p w14:paraId="70211F7B" w14:textId="0572B37A" w:rsidR="00FD6F0B" w:rsidRDefault="002577EC">
          <w:pPr>
            <w:pStyle w:val="TOC2"/>
            <w:rPr>
              <w:rFonts w:asciiTheme="minorHAnsi" w:hAnsiTheme="minorHAnsi" w:cstheme="minorBidi"/>
              <w:b w:val="0"/>
              <w:noProof/>
              <w:sz w:val="22"/>
              <w:szCs w:val="22"/>
            </w:rPr>
          </w:pPr>
          <w:hyperlink w:anchor="_Toc132978844" w:history="1">
            <w:r w:rsidR="00FD6F0B" w:rsidRPr="00D37EEE">
              <w:rPr>
                <w:rStyle w:val="Hyperlink"/>
                <w:i/>
                <w:noProof/>
                <w:lang w:val="mk-MK"/>
              </w:rPr>
              <w:t>Кредитирање на население</w:t>
            </w:r>
            <w:r w:rsidR="00FD6F0B">
              <w:rPr>
                <w:noProof/>
                <w:webHidden/>
              </w:rPr>
              <w:tab/>
            </w:r>
            <w:r w:rsidR="00FD6F0B">
              <w:rPr>
                <w:noProof/>
                <w:webHidden/>
              </w:rPr>
              <w:fldChar w:fldCharType="begin"/>
            </w:r>
            <w:r w:rsidR="00FD6F0B">
              <w:rPr>
                <w:noProof/>
                <w:webHidden/>
              </w:rPr>
              <w:instrText xml:space="preserve"> PAGEREF _Toc132978844 \h </w:instrText>
            </w:r>
            <w:r w:rsidR="00FD6F0B">
              <w:rPr>
                <w:noProof/>
                <w:webHidden/>
              </w:rPr>
            </w:r>
            <w:r w:rsidR="00FD6F0B">
              <w:rPr>
                <w:noProof/>
                <w:webHidden/>
              </w:rPr>
              <w:fldChar w:fldCharType="separate"/>
            </w:r>
            <w:r w:rsidR="00BC0647">
              <w:rPr>
                <w:noProof/>
                <w:webHidden/>
              </w:rPr>
              <w:t>13</w:t>
            </w:r>
            <w:r w:rsidR="00FD6F0B">
              <w:rPr>
                <w:noProof/>
                <w:webHidden/>
              </w:rPr>
              <w:fldChar w:fldCharType="end"/>
            </w:r>
          </w:hyperlink>
        </w:p>
        <w:p w14:paraId="41C19916" w14:textId="12BB8893" w:rsidR="00FD6F0B" w:rsidRDefault="002577EC">
          <w:pPr>
            <w:pStyle w:val="TOC2"/>
            <w:rPr>
              <w:rFonts w:asciiTheme="minorHAnsi" w:hAnsiTheme="minorHAnsi" w:cstheme="minorBidi"/>
              <w:b w:val="0"/>
              <w:noProof/>
              <w:sz w:val="22"/>
              <w:szCs w:val="22"/>
            </w:rPr>
          </w:pPr>
          <w:hyperlink w:anchor="_Toc132978845" w:history="1">
            <w:r w:rsidR="00FD6F0B" w:rsidRPr="00D37EEE">
              <w:rPr>
                <w:rStyle w:val="Hyperlink"/>
                <w:i/>
                <w:noProof/>
                <w:lang w:val="mk-MK"/>
              </w:rPr>
              <w:t>Картична дејност</w:t>
            </w:r>
            <w:r w:rsidR="00FD6F0B">
              <w:rPr>
                <w:noProof/>
                <w:webHidden/>
              </w:rPr>
              <w:tab/>
            </w:r>
            <w:r w:rsidR="00FD6F0B">
              <w:rPr>
                <w:noProof/>
                <w:webHidden/>
              </w:rPr>
              <w:fldChar w:fldCharType="begin"/>
            </w:r>
            <w:r w:rsidR="00FD6F0B">
              <w:rPr>
                <w:noProof/>
                <w:webHidden/>
              </w:rPr>
              <w:instrText xml:space="preserve"> PAGEREF _Toc132978845 \h </w:instrText>
            </w:r>
            <w:r w:rsidR="00FD6F0B">
              <w:rPr>
                <w:noProof/>
                <w:webHidden/>
              </w:rPr>
            </w:r>
            <w:r w:rsidR="00FD6F0B">
              <w:rPr>
                <w:noProof/>
                <w:webHidden/>
              </w:rPr>
              <w:fldChar w:fldCharType="separate"/>
            </w:r>
            <w:r w:rsidR="00BC0647">
              <w:rPr>
                <w:noProof/>
                <w:webHidden/>
              </w:rPr>
              <w:t>14</w:t>
            </w:r>
            <w:r w:rsidR="00FD6F0B">
              <w:rPr>
                <w:noProof/>
                <w:webHidden/>
              </w:rPr>
              <w:fldChar w:fldCharType="end"/>
            </w:r>
          </w:hyperlink>
        </w:p>
        <w:p w14:paraId="3B1AADF2" w14:textId="41300AD7" w:rsidR="00FD6F0B" w:rsidRDefault="002577EC">
          <w:pPr>
            <w:pStyle w:val="TOC2"/>
            <w:rPr>
              <w:rFonts w:asciiTheme="minorHAnsi" w:hAnsiTheme="minorHAnsi" w:cstheme="minorBidi"/>
              <w:b w:val="0"/>
              <w:noProof/>
              <w:sz w:val="22"/>
              <w:szCs w:val="22"/>
            </w:rPr>
          </w:pPr>
          <w:hyperlink w:anchor="_Toc132978846" w:history="1">
            <w:r w:rsidR="00FD6F0B" w:rsidRPr="00D37EEE">
              <w:rPr>
                <w:rStyle w:val="Hyperlink"/>
                <w:i/>
                <w:noProof/>
                <w:lang w:val="mk-MK"/>
              </w:rPr>
              <w:t>Банкарско осигурување и соработка со Пензискиот фонд</w:t>
            </w:r>
            <w:r w:rsidR="00FD6F0B">
              <w:rPr>
                <w:noProof/>
                <w:webHidden/>
              </w:rPr>
              <w:tab/>
            </w:r>
            <w:r w:rsidR="00FD6F0B">
              <w:rPr>
                <w:noProof/>
                <w:webHidden/>
              </w:rPr>
              <w:fldChar w:fldCharType="begin"/>
            </w:r>
            <w:r w:rsidR="00FD6F0B">
              <w:rPr>
                <w:noProof/>
                <w:webHidden/>
              </w:rPr>
              <w:instrText xml:space="preserve"> PAGEREF _Toc132978846 \h </w:instrText>
            </w:r>
            <w:r w:rsidR="00FD6F0B">
              <w:rPr>
                <w:noProof/>
                <w:webHidden/>
              </w:rPr>
            </w:r>
            <w:r w:rsidR="00FD6F0B">
              <w:rPr>
                <w:noProof/>
                <w:webHidden/>
              </w:rPr>
              <w:fldChar w:fldCharType="separate"/>
            </w:r>
            <w:r w:rsidR="00BC0647">
              <w:rPr>
                <w:noProof/>
                <w:webHidden/>
              </w:rPr>
              <w:t>14</w:t>
            </w:r>
            <w:r w:rsidR="00FD6F0B">
              <w:rPr>
                <w:noProof/>
                <w:webHidden/>
              </w:rPr>
              <w:fldChar w:fldCharType="end"/>
            </w:r>
          </w:hyperlink>
        </w:p>
        <w:p w14:paraId="098FE54C" w14:textId="44C33885" w:rsidR="00FD6F0B" w:rsidRDefault="002577EC">
          <w:pPr>
            <w:pStyle w:val="TOC2"/>
            <w:rPr>
              <w:rFonts w:asciiTheme="minorHAnsi" w:hAnsiTheme="minorHAnsi" w:cstheme="minorBidi"/>
              <w:b w:val="0"/>
              <w:noProof/>
              <w:sz w:val="22"/>
              <w:szCs w:val="22"/>
            </w:rPr>
          </w:pPr>
          <w:hyperlink w:anchor="_Toc132978847" w:history="1">
            <w:r w:rsidR="00FD6F0B" w:rsidRPr="00D37EEE">
              <w:rPr>
                <w:rStyle w:val="Hyperlink"/>
                <w:i/>
                <w:noProof/>
                <w:lang w:val="mk-MK"/>
              </w:rPr>
              <w:t>Услуги на Контакт центарот и i-bank услуги</w:t>
            </w:r>
            <w:r w:rsidR="00FD6F0B">
              <w:rPr>
                <w:noProof/>
                <w:webHidden/>
              </w:rPr>
              <w:tab/>
            </w:r>
            <w:r w:rsidR="00FD6F0B">
              <w:rPr>
                <w:noProof/>
                <w:webHidden/>
              </w:rPr>
              <w:fldChar w:fldCharType="begin"/>
            </w:r>
            <w:r w:rsidR="00FD6F0B">
              <w:rPr>
                <w:noProof/>
                <w:webHidden/>
              </w:rPr>
              <w:instrText xml:space="preserve"> PAGEREF _Toc132978847 \h </w:instrText>
            </w:r>
            <w:r w:rsidR="00FD6F0B">
              <w:rPr>
                <w:noProof/>
                <w:webHidden/>
              </w:rPr>
            </w:r>
            <w:r w:rsidR="00FD6F0B">
              <w:rPr>
                <w:noProof/>
                <w:webHidden/>
              </w:rPr>
              <w:fldChar w:fldCharType="separate"/>
            </w:r>
            <w:r w:rsidR="00BC0647">
              <w:rPr>
                <w:noProof/>
                <w:webHidden/>
              </w:rPr>
              <w:t>14</w:t>
            </w:r>
            <w:r w:rsidR="00FD6F0B">
              <w:rPr>
                <w:noProof/>
                <w:webHidden/>
              </w:rPr>
              <w:fldChar w:fldCharType="end"/>
            </w:r>
          </w:hyperlink>
        </w:p>
        <w:p w14:paraId="705C59EA" w14:textId="3A69E345" w:rsidR="00FD6F0B" w:rsidRDefault="002577EC">
          <w:pPr>
            <w:pStyle w:val="TOC2"/>
            <w:rPr>
              <w:rFonts w:asciiTheme="minorHAnsi" w:hAnsiTheme="minorHAnsi" w:cstheme="minorBidi"/>
              <w:b w:val="0"/>
              <w:noProof/>
              <w:sz w:val="22"/>
              <w:szCs w:val="22"/>
            </w:rPr>
          </w:pPr>
          <w:hyperlink w:anchor="_Toc132978848" w:history="1">
            <w:r w:rsidR="00FD6F0B" w:rsidRPr="00D37EEE">
              <w:rPr>
                <w:rStyle w:val="Hyperlink"/>
                <w:i/>
                <w:noProof/>
                <w:lang w:val="mk-MK"/>
              </w:rPr>
              <w:t>СББ сегментот</w:t>
            </w:r>
            <w:r w:rsidR="00FD6F0B">
              <w:rPr>
                <w:noProof/>
                <w:webHidden/>
              </w:rPr>
              <w:tab/>
            </w:r>
            <w:r w:rsidR="00FD6F0B">
              <w:rPr>
                <w:noProof/>
                <w:webHidden/>
              </w:rPr>
              <w:fldChar w:fldCharType="begin"/>
            </w:r>
            <w:r w:rsidR="00FD6F0B">
              <w:rPr>
                <w:noProof/>
                <w:webHidden/>
              </w:rPr>
              <w:instrText xml:space="preserve"> PAGEREF _Toc132978848 \h </w:instrText>
            </w:r>
            <w:r w:rsidR="00FD6F0B">
              <w:rPr>
                <w:noProof/>
                <w:webHidden/>
              </w:rPr>
            </w:r>
            <w:r w:rsidR="00FD6F0B">
              <w:rPr>
                <w:noProof/>
                <w:webHidden/>
              </w:rPr>
              <w:fldChar w:fldCharType="separate"/>
            </w:r>
            <w:r w:rsidR="00BC0647">
              <w:rPr>
                <w:noProof/>
                <w:webHidden/>
              </w:rPr>
              <w:t>15</w:t>
            </w:r>
            <w:r w:rsidR="00FD6F0B">
              <w:rPr>
                <w:noProof/>
                <w:webHidden/>
              </w:rPr>
              <w:fldChar w:fldCharType="end"/>
            </w:r>
          </w:hyperlink>
        </w:p>
        <w:p w14:paraId="21F266E3" w14:textId="4BE070A8" w:rsidR="00FD6F0B" w:rsidRDefault="002577EC" w:rsidP="0018682A">
          <w:pPr>
            <w:pStyle w:val="TOC1"/>
            <w:rPr>
              <w:rFonts w:asciiTheme="minorHAnsi" w:hAnsiTheme="minorHAnsi" w:cstheme="minorBidi"/>
              <w:sz w:val="22"/>
              <w:szCs w:val="22"/>
              <w:lang w:val="en-US"/>
            </w:rPr>
          </w:pPr>
          <w:hyperlink w:anchor="_Toc132978849" w:history="1">
            <w:r w:rsidR="00FD6F0B" w:rsidRPr="00D37EEE">
              <w:rPr>
                <w:rStyle w:val="Hyperlink"/>
                <w:lang w:val="mk-MK"/>
              </w:rPr>
              <w:t>Корпоративно банкарство</w:t>
            </w:r>
            <w:r w:rsidR="00FD6F0B">
              <w:rPr>
                <w:webHidden/>
              </w:rPr>
              <w:tab/>
            </w:r>
            <w:r w:rsidR="00FD6F0B">
              <w:rPr>
                <w:webHidden/>
              </w:rPr>
              <w:fldChar w:fldCharType="begin"/>
            </w:r>
            <w:r w:rsidR="00FD6F0B">
              <w:rPr>
                <w:webHidden/>
              </w:rPr>
              <w:instrText xml:space="preserve"> PAGEREF _Toc132978849 \h </w:instrText>
            </w:r>
            <w:r w:rsidR="00FD6F0B">
              <w:rPr>
                <w:webHidden/>
              </w:rPr>
            </w:r>
            <w:r w:rsidR="00FD6F0B">
              <w:rPr>
                <w:webHidden/>
              </w:rPr>
              <w:fldChar w:fldCharType="separate"/>
            </w:r>
            <w:r w:rsidR="00BC0647">
              <w:rPr>
                <w:webHidden/>
              </w:rPr>
              <w:t>15</w:t>
            </w:r>
            <w:r w:rsidR="00FD6F0B">
              <w:rPr>
                <w:webHidden/>
              </w:rPr>
              <w:fldChar w:fldCharType="end"/>
            </w:r>
          </w:hyperlink>
        </w:p>
        <w:p w14:paraId="6B61D61F" w14:textId="75653CAD" w:rsidR="00FD6F0B" w:rsidRDefault="002577EC" w:rsidP="0018682A">
          <w:pPr>
            <w:pStyle w:val="TOC1"/>
            <w:rPr>
              <w:rFonts w:asciiTheme="minorHAnsi" w:hAnsiTheme="minorHAnsi" w:cstheme="minorBidi"/>
              <w:sz w:val="22"/>
              <w:szCs w:val="22"/>
              <w:lang w:val="en-US"/>
            </w:rPr>
          </w:pPr>
          <w:hyperlink w:anchor="_Toc132978850" w:history="1">
            <w:r w:rsidR="00FD6F0B" w:rsidRPr="00D37EEE">
              <w:rPr>
                <w:rStyle w:val="Hyperlink"/>
                <w:lang w:val="mk-MK"/>
              </w:rPr>
              <w:t>Управување со ризици</w:t>
            </w:r>
            <w:r w:rsidR="00FD6F0B">
              <w:rPr>
                <w:webHidden/>
              </w:rPr>
              <w:tab/>
            </w:r>
            <w:r w:rsidR="00FD6F0B">
              <w:rPr>
                <w:webHidden/>
              </w:rPr>
              <w:fldChar w:fldCharType="begin"/>
            </w:r>
            <w:r w:rsidR="00FD6F0B">
              <w:rPr>
                <w:webHidden/>
              </w:rPr>
              <w:instrText xml:space="preserve"> PAGEREF _Toc132978850 \h </w:instrText>
            </w:r>
            <w:r w:rsidR="00FD6F0B">
              <w:rPr>
                <w:webHidden/>
              </w:rPr>
            </w:r>
            <w:r w:rsidR="00FD6F0B">
              <w:rPr>
                <w:webHidden/>
              </w:rPr>
              <w:fldChar w:fldCharType="separate"/>
            </w:r>
            <w:r w:rsidR="00BC0647">
              <w:rPr>
                <w:webHidden/>
              </w:rPr>
              <w:t>21</w:t>
            </w:r>
            <w:r w:rsidR="00FD6F0B">
              <w:rPr>
                <w:webHidden/>
              </w:rPr>
              <w:fldChar w:fldCharType="end"/>
            </w:r>
          </w:hyperlink>
        </w:p>
        <w:p w14:paraId="2360644A" w14:textId="6D9074D0" w:rsidR="00FD6F0B" w:rsidRDefault="002577EC">
          <w:pPr>
            <w:pStyle w:val="TOC2"/>
            <w:rPr>
              <w:rFonts w:asciiTheme="minorHAnsi" w:hAnsiTheme="minorHAnsi" w:cstheme="minorBidi"/>
              <w:b w:val="0"/>
              <w:noProof/>
              <w:sz w:val="22"/>
              <w:szCs w:val="22"/>
            </w:rPr>
          </w:pPr>
          <w:hyperlink w:anchor="_Toc132978851" w:history="1">
            <w:r w:rsidR="00FD6F0B" w:rsidRPr="00D37EEE">
              <w:rPr>
                <w:rStyle w:val="Hyperlink"/>
                <w:i/>
                <w:noProof/>
                <w:lang w:val="mk-MK"/>
              </w:rPr>
              <w:t>Управување со кредитен ризик</w:t>
            </w:r>
            <w:r w:rsidR="00FD6F0B">
              <w:rPr>
                <w:noProof/>
                <w:webHidden/>
              </w:rPr>
              <w:tab/>
            </w:r>
            <w:r w:rsidR="00FD6F0B">
              <w:rPr>
                <w:noProof/>
                <w:webHidden/>
              </w:rPr>
              <w:fldChar w:fldCharType="begin"/>
            </w:r>
            <w:r w:rsidR="00FD6F0B">
              <w:rPr>
                <w:noProof/>
                <w:webHidden/>
              </w:rPr>
              <w:instrText xml:space="preserve"> PAGEREF _Toc132978851 \h </w:instrText>
            </w:r>
            <w:r w:rsidR="00FD6F0B">
              <w:rPr>
                <w:noProof/>
                <w:webHidden/>
              </w:rPr>
            </w:r>
            <w:r w:rsidR="00FD6F0B">
              <w:rPr>
                <w:noProof/>
                <w:webHidden/>
              </w:rPr>
              <w:fldChar w:fldCharType="separate"/>
            </w:r>
            <w:r w:rsidR="00BC0647">
              <w:rPr>
                <w:noProof/>
                <w:webHidden/>
              </w:rPr>
              <w:t>23</w:t>
            </w:r>
            <w:r w:rsidR="00FD6F0B">
              <w:rPr>
                <w:noProof/>
                <w:webHidden/>
              </w:rPr>
              <w:fldChar w:fldCharType="end"/>
            </w:r>
          </w:hyperlink>
        </w:p>
        <w:p w14:paraId="43F43CA1" w14:textId="3CA4B232" w:rsidR="00FD6F0B" w:rsidRDefault="002577EC">
          <w:pPr>
            <w:pStyle w:val="TOC2"/>
            <w:rPr>
              <w:rFonts w:asciiTheme="minorHAnsi" w:hAnsiTheme="minorHAnsi" w:cstheme="minorBidi"/>
              <w:b w:val="0"/>
              <w:noProof/>
              <w:sz w:val="22"/>
              <w:szCs w:val="22"/>
            </w:rPr>
          </w:pPr>
          <w:hyperlink w:anchor="_Toc132978852" w:history="1">
            <w:r w:rsidR="00FD6F0B" w:rsidRPr="00D37EEE">
              <w:rPr>
                <w:rStyle w:val="Hyperlink"/>
                <w:i/>
                <w:noProof/>
                <w:lang w:val="mk-MK"/>
              </w:rPr>
              <w:t>Управување со ликвидносен ризик</w:t>
            </w:r>
            <w:r w:rsidR="00FD6F0B">
              <w:rPr>
                <w:noProof/>
                <w:webHidden/>
              </w:rPr>
              <w:tab/>
            </w:r>
            <w:r w:rsidR="00FD6F0B">
              <w:rPr>
                <w:noProof/>
                <w:webHidden/>
              </w:rPr>
              <w:fldChar w:fldCharType="begin"/>
            </w:r>
            <w:r w:rsidR="00FD6F0B">
              <w:rPr>
                <w:noProof/>
                <w:webHidden/>
              </w:rPr>
              <w:instrText xml:space="preserve"> PAGEREF _Toc132978852 \h </w:instrText>
            </w:r>
            <w:r w:rsidR="00FD6F0B">
              <w:rPr>
                <w:noProof/>
                <w:webHidden/>
              </w:rPr>
            </w:r>
            <w:r w:rsidR="00FD6F0B">
              <w:rPr>
                <w:noProof/>
                <w:webHidden/>
              </w:rPr>
              <w:fldChar w:fldCharType="separate"/>
            </w:r>
            <w:r w:rsidR="00BC0647">
              <w:rPr>
                <w:noProof/>
                <w:webHidden/>
              </w:rPr>
              <w:t>25</w:t>
            </w:r>
            <w:r w:rsidR="00FD6F0B">
              <w:rPr>
                <w:noProof/>
                <w:webHidden/>
              </w:rPr>
              <w:fldChar w:fldCharType="end"/>
            </w:r>
          </w:hyperlink>
        </w:p>
        <w:p w14:paraId="0BC6CCD9" w14:textId="7782E5D2" w:rsidR="00FD6F0B" w:rsidRDefault="002577EC">
          <w:pPr>
            <w:pStyle w:val="TOC2"/>
            <w:rPr>
              <w:rFonts w:asciiTheme="minorHAnsi" w:hAnsiTheme="minorHAnsi" w:cstheme="minorBidi"/>
              <w:b w:val="0"/>
              <w:noProof/>
              <w:sz w:val="22"/>
              <w:szCs w:val="22"/>
            </w:rPr>
          </w:pPr>
          <w:hyperlink w:anchor="_Toc132978853" w:history="1">
            <w:r w:rsidR="00FD6F0B" w:rsidRPr="00D37EEE">
              <w:rPr>
                <w:rStyle w:val="Hyperlink"/>
                <w:i/>
                <w:noProof/>
                <w:lang w:val="mk-MK"/>
              </w:rPr>
              <w:t>Управување со ризикот од промена на каматните стапки</w:t>
            </w:r>
            <w:r w:rsidR="00FD6F0B">
              <w:rPr>
                <w:noProof/>
                <w:webHidden/>
              </w:rPr>
              <w:tab/>
            </w:r>
            <w:r w:rsidR="00FD6F0B">
              <w:rPr>
                <w:noProof/>
                <w:webHidden/>
              </w:rPr>
              <w:fldChar w:fldCharType="begin"/>
            </w:r>
            <w:r w:rsidR="00FD6F0B">
              <w:rPr>
                <w:noProof/>
                <w:webHidden/>
              </w:rPr>
              <w:instrText xml:space="preserve"> PAGEREF _Toc132978853 \h </w:instrText>
            </w:r>
            <w:r w:rsidR="00FD6F0B">
              <w:rPr>
                <w:noProof/>
                <w:webHidden/>
              </w:rPr>
            </w:r>
            <w:r w:rsidR="00FD6F0B">
              <w:rPr>
                <w:noProof/>
                <w:webHidden/>
              </w:rPr>
              <w:fldChar w:fldCharType="separate"/>
            </w:r>
            <w:r w:rsidR="00BC0647">
              <w:rPr>
                <w:noProof/>
                <w:webHidden/>
              </w:rPr>
              <w:t>27</w:t>
            </w:r>
            <w:r w:rsidR="00FD6F0B">
              <w:rPr>
                <w:noProof/>
                <w:webHidden/>
              </w:rPr>
              <w:fldChar w:fldCharType="end"/>
            </w:r>
          </w:hyperlink>
        </w:p>
        <w:p w14:paraId="64AD6AEF" w14:textId="649E1E98" w:rsidR="00FD6F0B" w:rsidRDefault="002577EC">
          <w:pPr>
            <w:pStyle w:val="TOC2"/>
            <w:rPr>
              <w:rFonts w:asciiTheme="minorHAnsi" w:hAnsiTheme="minorHAnsi" w:cstheme="minorBidi"/>
              <w:b w:val="0"/>
              <w:noProof/>
              <w:sz w:val="22"/>
              <w:szCs w:val="22"/>
            </w:rPr>
          </w:pPr>
          <w:hyperlink w:anchor="_Toc132978854" w:history="1">
            <w:r w:rsidR="00FD6F0B" w:rsidRPr="00D37EEE">
              <w:rPr>
                <w:rStyle w:val="Hyperlink"/>
                <w:i/>
                <w:noProof/>
                <w:lang w:val="mk-MK"/>
              </w:rPr>
              <w:t>Управување со валутен ризик</w:t>
            </w:r>
            <w:r w:rsidR="00FD6F0B">
              <w:rPr>
                <w:noProof/>
                <w:webHidden/>
              </w:rPr>
              <w:tab/>
            </w:r>
            <w:r w:rsidR="00FD6F0B">
              <w:rPr>
                <w:noProof/>
                <w:webHidden/>
              </w:rPr>
              <w:fldChar w:fldCharType="begin"/>
            </w:r>
            <w:r w:rsidR="00FD6F0B">
              <w:rPr>
                <w:noProof/>
                <w:webHidden/>
              </w:rPr>
              <w:instrText xml:space="preserve"> PAGEREF _Toc132978854 \h </w:instrText>
            </w:r>
            <w:r w:rsidR="00FD6F0B">
              <w:rPr>
                <w:noProof/>
                <w:webHidden/>
              </w:rPr>
            </w:r>
            <w:r w:rsidR="00FD6F0B">
              <w:rPr>
                <w:noProof/>
                <w:webHidden/>
              </w:rPr>
              <w:fldChar w:fldCharType="separate"/>
            </w:r>
            <w:r w:rsidR="00BC0647">
              <w:rPr>
                <w:noProof/>
                <w:webHidden/>
              </w:rPr>
              <w:t>28</w:t>
            </w:r>
            <w:r w:rsidR="00FD6F0B">
              <w:rPr>
                <w:noProof/>
                <w:webHidden/>
              </w:rPr>
              <w:fldChar w:fldCharType="end"/>
            </w:r>
          </w:hyperlink>
        </w:p>
        <w:p w14:paraId="6BEC4550" w14:textId="631A6F1D" w:rsidR="00FD6F0B" w:rsidRDefault="002577EC">
          <w:pPr>
            <w:pStyle w:val="TOC2"/>
            <w:rPr>
              <w:rFonts w:asciiTheme="minorHAnsi" w:hAnsiTheme="minorHAnsi" w:cstheme="minorBidi"/>
              <w:b w:val="0"/>
              <w:noProof/>
              <w:sz w:val="22"/>
              <w:szCs w:val="22"/>
            </w:rPr>
          </w:pPr>
          <w:hyperlink w:anchor="_Toc132978855" w:history="1">
            <w:r w:rsidR="00FD6F0B" w:rsidRPr="00D37EEE">
              <w:rPr>
                <w:rStyle w:val="Hyperlink"/>
                <w:i/>
                <w:noProof/>
                <w:lang w:val="mk-MK"/>
              </w:rPr>
              <w:t>Управување со оперативен ризик</w:t>
            </w:r>
            <w:r w:rsidR="00FD6F0B">
              <w:rPr>
                <w:noProof/>
                <w:webHidden/>
              </w:rPr>
              <w:tab/>
            </w:r>
            <w:r w:rsidR="00FD6F0B">
              <w:rPr>
                <w:noProof/>
                <w:webHidden/>
              </w:rPr>
              <w:fldChar w:fldCharType="begin"/>
            </w:r>
            <w:r w:rsidR="00FD6F0B">
              <w:rPr>
                <w:noProof/>
                <w:webHidden/>
              </w:rPr>
              <w:instrText xml:space="preserve"> PAGEREF _Toc132978855 \h </w:instrText>
            </w:r>
            <w:r w:rsidR="00FD6F0B">
              <w:rPr>
                <w:noProof/>
                <w:webHidden/>
              </w:rPr>
            </w:r>
            <w:r w:rsidR="00FD6F0B">
              <w:rPr>
                <w:noProof/>
                <w:webHidden/>
              </w:rPr>
              <w:fldChar w:fldCharType="separate"/>
            </w:r>
            <w:r w:rsidR="00BC0647">
              <w:rPr>
                <w:noProof/>
                <w:webHidden/>
              </w:rPr>
              <w:t>29</w:t>
            </w:r>
            <w:r w:rsidR="00FD6F0B">
              <w:rPr>
                <w:noProof/>
                <w:webHidden/>
              </w:rPr>
              <w:fldChar w:fldCharType="end"/>
            </w:r>
          </w:hyperlink>
        </w:p>
        <w:p w14:paraId="622BFCE1" w14:textId="25F59D75" w:rsidR="00FD6F0B" w:rsidRDefault="002577EC" w:rsidP="0018682A">
          <w:pPr>
            <w:pStyle w:val="TOC1"/>
            <w:rPr>
              <w:rFonts w:asciiTheme="minorHAnsi" w:hAnsiTheme="minorHAnsi" w:cstheme="minorBidi"/>
              <w:sz w:val="22"/>
              <w:szCs w:val="22"/>
              <w:lang w:val="en-US"/>
            </w:rPr>
          </w:pPr>
          <w:hyperlink w:anchor="_Toc132978856" w:history="1">
            <w:r w:rsidR="00FD6F0B" w:rsidRPr="00D37EEE">
              <w:rPr>
                <w:rStyle w:val="Hyperlink"/>
                <w:lang w:val="mk-MK"/>
              </w:rPr>
              <w:t>Адекватност на капиталот, Интерен процес на оценка на адекватност на капиталот и Стрес тест</w:t>
            </w:r>
            <w:r w:rsidR="00FD6F0B">
              <w:rPr>
                <w:webHidden/>
              </w:rPr>
              <w:tab/>
            </w:r>
            <w:r w:rsidR="00FD6F0B">
              <w:rPr>
                <w:webHidden/>
              </w:rPr>
              <w:fldChar w:fldCharType="begin"/>
            </w:r>
            <w:r w:rsidR="00FD6F0B">
              <w:rPr>
                <w:webHidden/>
              </w:rPr>
              <w:instrText xml:space="preserve"> PAGEREF _Toc132978856 \h </w:instrText>
            </w:r>
            <w:r w:rsidR="00FD6F0B">
              <w:rPr>
                <w:webHidden/>
              </w:rPr>
            </w:r>
            <w:r w:rsidR="00FD6F0B">
              <w:rPr>
                <w:webHidden/>
              </w:rPr>
              <w:fldChar w:fldCharType="separate"/>
            </w:r>
            <w:r w:rsidR="00BC0647">
              <w:rPr>
                <w:webHidden/>
              </w:rPr>
              <w:t>31</w:t>
            </w:r>
            <w:r w:rsidR="00FD6F0B">
              <w:rPr>
                <w:webHidden/>
              </w:rPr>
              <w:fldChar w:fldCharType="end"/>
            </w:r>
          </w:hyperlink>
        </w:p>
        <w:p w14:paraId="4C913674" w14:textId="3BA4F555" w:rsidR="00FD6F0B" w:rsidRDefault="002577EC" w:rsidP="0018682A">
          <w:pPr>
            <w:pStyle w:val="TOC1"/>
            <w:rPr>
              <w:rFonts w:asciiTheme="minorHAnsi" w:hAnsiTheme="minorHAnsi" w:cstheme="minorBidi"/>
              <w:sz w:val="22"/>
              <w:szCs w:val="22"/>
              <w:lang w:val="en-US"/>
            </w:rPr>
          </w:pPr>
          <w:hyperlink w:anchor="_Toc132978857" w:history="1">
            <w:r w:rsidR="00FD6F0B" w:rsidRPr="00D37EEE">
              <w:rPr>
                <w:rStyle w:val="Hyperlink"/>
                <w:lang w:val="mk-MK"/>
              </w:rPr>
              <w:t>Активности за контрола на усогласеноста со прописите, спречување на перење пари и борба против финансирање на тероризмот</w:t>
            </w:r>
            <w:r w:rsidR="00FD6F0B">
              <w:rPr>
                <w:webHidden/>
              </w:rPr>
              <w:tab/>
            </w:r>
            <w:r w:rsidR="00FD6F0B">
              <w:rPr>
                <w:webHidden/>
              </w:rPr>
              <w:fldChar w:fldCharType="begin"/>
            </w:r>
            <w:r w:rsidR="00FD6F0B">
              <w:rPr>
                <w:webHidden/>
              </w:rPr>
              <w:instrText xml:space="preserve"> PAGEREF _Toc132978857 \h </w:instrText>
            </w:r>
            <w:r w:rsidR="00FD6F0B">
              <w:rPr>
                <w:webHidden/>
              </w:rPr>
            </w:r>
            <w:r w:rsidR="00FD6F0B">
              <w:rPr>
                <w:webHidden/>
              </w:rPr>
              <w:fldChar w:fldCharType="separate"/>
            </w:r>
            <w:r w:rsidR="00BC0647">
              <w:rPr>
                <w:webHidden/>
              </w:rPr>
              <w:t>32</w:t>
            </w:r>
            <w:r w:rsidR="00FD6F0B">
              <w:rPr>
                <w:webHidden/>
              </w:rPr>
              <w:fldChar w:fldCharType="end"/>
            </w:r>
          </w:hyperlink>
        </w:p>
        <w:p w14:paraId="79E2DD80" w14:textId="10EA86DA" w:rsidR="00FD6F0B" w:rsidRDefault="002577EC" w:rsidP="0018682A">
          <w:pPr>
            <w:pStyle w:val="TOC1"/>
            <w:rPr>
              <w:rFonts w:asciiTheme="minorHAnsi" w:hAnsiTheme="minorHAnsi" w:cstheme="minorBidi"/>
              <w:sz w:val="22"/>
              <w:szCs w:val="22"/>
              <w:lang w:val="en-US"/>
            </w:rPr>
          </w:pPr>
          <w:hyperlink w:anchor="_Toc132978858" w:history="1">
            <w:r w:rsidR="00FD6F0B" w:rsidRPr="00D37EEE">
              <w:rPr>
                <w:rStyle w:val="Hyperlink"/>
                <w:lang w:val="mk-MK"/>
              </w:rPr>
              <w:t>Заштита на лични податоци</w:t>
            </w:r>
            <w:r w:rsidR="00FD6F0B">
              <w:rPr>
                <w:webHidden/>
              </w:rPr>
              <w:tab/>
            </w:r>
            <w:r w:rsidR="00FD6F0B">
              <w:rPr>
                <w:webHidden/>
              </w:rPr>
              <w:fldChar w:fldCharType="begin"/>
            </w:r>
            <w:r w:rsidR="00FD6F0B">
              <w:rPr>
                <w:webHidden/>
              </w:rPr>
              <w:instrText xml:space="preserve"> PAGEREF _Toc132978858 \h </w:instrText>
            </w:r>
            <w:r w:rsidR="00FD6F0B">
              <w:rPr>
                <w:webHidden/>
              </w:rPr>
            </w:r>
            <w:r w:rsidR="00FD6F0B">
              <w:rPr>
                <w:webHidden/>
              </w:rPr>
              <w:fldChar w:fldCharType="separate"/>
            </w:r>
            <w:r>
              <w:rPr>
                <w:webHidden/>
              </w:rPr>
              <w:t>32</w:t>
            </w:r>
            <w:r w:rsidR="00FD6F0B">
              <w:rPr>
                <w:webHidden/>
              </w:rPr>
              <w:fldChar w:fldCharType="end"/>
            </w:r>
          </w:hyperlink>
        </w:p>
        <w:p w14:paraId="55589728" w14:textId="793720B6" w:rsidR="00E92686" w:rsidRPr="00E92686" w:rsidRDefault="002577EC" w:rsidP="002577EC">
          <w:pPr>
            <w:pStyle w:val="TOC1"/>
            <w:rPr>
              <w:b w:val="0"/>
              <w:bCs w:val="0"/>
            </w:rPr>
          </w:pPr>
          <w:hyperlink w:anchor="_Toc132978859" w:history="1">
            <w:r w:rsidR="00FD6F0B" w:rsidRPr="00D37EEE">
              <w:rPr>
                <w:rStyle w:val="Hyperlink"/>
                <w:lang w:val="mk-MK" w:eastAsia="en-GB"/>
              </w:rPr>
              <w:t>ИЗВЕШТАЈ ЗА КОРПОРАТИВНО УПРАВУВАЊЕ ЗА 2022 ГОДИНА</w:t>
            </w:r>
            <w:r w:rsidR="00FD6F0B">
              <w:rPr>
                <w:webHidden/>
              </w:rPr>
              <w:tab/>
            </w:r>
          </w:hyperlink>
          <w:r w:rsidR="008C7935">
            <w:rPr>
              <w:b w:val="0"/>
              <w:bCs w:val="0"/>
            </w:rPr>
            <w:fldChar w:fldCharType="end"/>
          </w:r>
          <w:r w:rsidRPr="002577EC">
            <w:rPr>
              <w:bCs w:val="0"/>
            </w:rPr>
            <w:t>3</w:t>
          </w:r>
          <w:r>
            <w:rPr>
              <w:bCs w:val="0"/>
            </w:rPr>
            <w:t>3</w:t>
          </w:r>
        </w:p>
        <w:bookmarkStart w:id="3" w:name="_GoBack" w:displacedByCustomXml="next"/>
        <w:bookmarkEnd w:id="3" w:displacedByCustomXml="next"/>
      </w:sdtContent>
    </w:sdt>
    <w:bookmarkStart w:id="4" w:name="_Toc132974466" w:displacedByCustomXml="prev"/>
    <w:bookmarkStart w:id="5" w:name="_Toc132978826" w:displacedByCustomXml="prev"/>
    <w:p w14:paraId="3AFBE0F9" w14:textId="1670E988" w:rsidR="00E92686" w:rsidRDefault="00E92686" w:rsidP="00E92686">
      <w:pPr>
        <w:rPr>
          <w:rFonts w:ascii="Times New Roman" w:hAnsi="Times New Roman"/>
          <w:sz w:val="24"/>
        </w:rPr>
      </w:pPr>
    </w:p>
    <w:p w14:paraId="52A3BFAA" w14:textId="36AC4543" w:rsidR="00E92686" w:rsidRDefault="00E92686" w:rsidP="00E92686">
      <w:pPr>
        <w:jc w:val="both"/>
        <w:rPr>
          <w:rFonts w:ascii="Times New Roman" w:hAnsi="Times New Roman"/>
          <w:sz w:val="24"/>
          <w:lang w:val="mk-MK"/>
        </w:rPr>
      </w:pPr>
      <w:r>
        <w:rPr>
          <w:rFonts w:ascii="Times New Roman" w:hAnsi="Times New Roman"/>
          <w:sz w:val="24"/>
          <w:lang w:val="mk-MK"/>
        </w:rPr>
        <w:lastRenderedPageBreak/>
        <w:t>Согласно член 352 од Законот за трговски друштва, членовите на Управниот одбор на Стопанска банка АД – Скопје (во понатамошен текст</w:t>
      </w:r>
      <w:r>
        <w:rPr>
          <w:rFonts w:ascii="Times New Roman" w:hAnsi="Times New Roman"/>
          <w:sz w:val="24"/>
        </w:rPr>
        <w:t xml:space="preserve">: </w:t>
      </w:r>
      <w:r>
        <w:rPr>
          <w:rFonts w:ascii="Times New Roman" w:hAnsi="Times New Roman"/>
          <w:sz w:val="24"/>
          <w:lang w:val="mk-MK"/>
        </w:rPr>
        <w:t xml:space="preserve">„СБ“ и/или „Банката“) го подготвуваат приложениот Годишен извештај за работењето на Стопанска банка АД – Скопје за 2022 година. Извештајот се доставува до Надзорниот одбор кој го разгледува, одлучува по истиот („претходно усвојување“) и подготвува Писмено мислење и ги доставува до Собранието на акционери за разгледување и одобрување.  </w:t>
      </w:r>
    </w:p>
    <w:p w14:paraId="57A40AE7" w14:textId="74ABBA4D" w:rsidR="00E92686" w:rsidRDefault="00E92686" w:rsidP="00E92686">
      <w:pPr>
        <w:jc w:val="both"/>
        <w:rPr>
          <w:rFonts w:ascii="Times New Roman" w:hAnsi="Times New Roman"/>
          <w:sz w:val="24"/>
          <w:lang w:val="mk-MK"/>
        </w:rPr>
      </w:pPr>
      <w:r>
        <w:rPr>
          <w:rFonts w:ascii="Times New Roman" w:hAnsi="Times New Roman"/>
          <w:sz w:val="24"/>
          <w:lang w:val="mk-MK"/>
        </w:rPr>
        <w:t>Согласно член 384, став 7 од Законот за трговски друштва, Годишниот извештај објективно ги презентира и објаснува главните фактори и ок</w:t>
      </w:r>
      <w:r w:rsidR="004D06E4">
        <w:rPr>
          <w:rFonts w:ascii="Times New Roman" w:hAnsi="Times New Roman"/>
          <w:sz w:val="24"/>
          <w:lang w:val="mk-MK"/>
        </w:rPr>
        <w:t>олности коишто имаа влијание</w:t>
      </w:r>
      <w:r>
        <w:rPr>
          <w:rFonts w:ascii="Times New Roman" w:hAnsi="Times New Roman"/>
          <w:sz w:val="24"/>
          <w:lang w:val="mk-MK"/>
        </w:rPr>
        <w:t xml:space="preserve"> на работењето на Банката како и сите</w:t>
      </w:r>
      <w:r w:rsidR="004D06E4">
        <w:rPr>
          <w:rFonts w:ascii="Times New Roman" w:hAnsi="Times New Roman"/>
          <w:sz w:val="24"/>
          <w:lang w:val="mk-MK"/>
        </w:rPr>
        <w:t xml:space="preserve"> останати задолжителни елементи кои се важни за инвеститорската јавност и сите останати засегнати страни. </w:t>
      </w:r>
      <w:r>
        <w:rPr>
          <w:rFonts w:ascii="Times New Roman" w:hAnsi="Times New Roman"/>
          <w:sz w:val="24"/>
          <w:lang w:val="mk-MK"/>
        </w:rPr>
        <w:t xml:space="preserve"> </w:t>
      </w:r>
    </w:p>
    <w:p w14:paraId="2A08F779" w14:textId="584E4D97" w:rsidR="004D06E4" w:rsidRDefault="004D06E4" w:rsidP="00E92686">
      <w:pPr>
        <w:jc w:val="both"/>
        <w:rPr>
          <w:rFonts w:ascii="Times New Roman" w:hAnsi="Times New Roman"/>
          <w:sz w:val="24"/>
          <w:lang w:val="mk-MK"/>
        </w:rPr>
      </w:pPr>
    </w:p>
    <w:p w14:paraId="4F0382AE" w14:textId="72CA924A" w:rsidR="004D06E4" w:rsidRPr="004D06E4" w:rsidRDefault="004D06E4" w:rsidP="004D06E4">
      <w:pPr>
        <w:jc w:val="center"/>
        <w:rPr>
          <w:rFonts w:ascii="Times New Roman" w:hAnsi="Times New Roman"/>
          <w:b/>
          <w:sz w:val="24"/>
          <w:lang w:val="mk-MK"/>
        </w:rPr>
      </w:pPr>
      <w:r>
        <w:rPr>
          <w:rFonts w:ascii="Times New Roman" w:hAnsi="Times New Roman"/>
          <w:b/>
          <w:sz w:val="24"/>
          <w:lang w:val="mk-MK"/>
        </w:rPr>
        <w:t xml:space="preserve">                                          </w:t>
      </w:r>
      <w:r w:rsidR="00BC0647">
        <w:rPr>
          <w:rFonts w:ascii="Times New Roman" w:hAnsi="Times New Roman"/>
          <w:b/>
          <w:sz w:val="24"/>
          <w:lang w:val="mk-MK"/>
        </w:rPr>
        <w:t xml:space="preserve"> </w:t>
      </w:r>
      <w:r>
        <w:rPr>
          <w:rFonts w:ascii="Times New Roman" w:hAnsi="Times New Roman"/>
          <w:b/>
          <w:sz w:val="24"/>
          <w:lang w:val="mk-MK"/>
        </w:rPr>
        <w:t>СТОПАНСКА БАНКА АД - СКОПЈЕ</w:t>
      </w:r>
    </w:p>
    <w:p w14:paraId="78FBBDC2" w14:textId="43643FAD" w:rsidR="004D06E4" w:rsidRDefault="004D06E4" w:rsidP="004D06E4">
      <w:pPr>
        <w:ind w:left="1440" w:firstLine="720"/>
        <w:jc w:val="center"/>
        <w:rPr>
          <w:rFonts w:ascii="Times New Roman" w:eastAsia="Times New Roman" w:hAnsi="Times New Roman"/>
          <w:b/>
          <w:lang w:val="mk-MK"/>
        </w:rPr>
      </w:pPr>
      <w:r>
        <w:rPr>
          <w:rFonts w:ascii="Times New Roman" w:eastAsia="Times New Roman" w:hAnsi="Times New Roman"/>
          <w:b/>
          <w:lang w:val="mk-MK"/>
        </w:rPr>
        <w:t xml:space="preserve">        </w:t>
      </w:r>
      <w:r w:rsidRPr="00EB77D6">
        <w:rPr>
          <w:rFonts w:ascii="Times New Roman" w:eastAsia="Times New Roman" w:hAnsi="Times New Roman"/>
          <w:b/>
          <w:lang w:val="mk-MK"/>
        </w:rPr>
        <w:t>УПРАВЕН ОДБОР</w:t>
      </w:r>
    </w:p>
    <w:p w14:paraId="77EB9AEC" w14:textId="77777777" w:rsidR="004D06E4" w:rsidRPr="00EB77D6" w:rsidRDefault="004D06E4" w:rsidP="004D06E4">
      <w:pPr>
        <w:ind w:left="1440" w:firstLine="720"/>
        <w:jc w:val="center"/>
        <w:rPr>
          <w:rFonts w:ascii="Times New Roman" w:eastAsia="Times New Roman" w:hAnsi="Times New Roman"/>
          <w:b/>
          <w:lang w:val="mk-MK"/>
        </w:rPr>
      </w:pPr>
    </w:p>
    <w:p w14:paraId="6CABA460" w14:textId="77777777" w:rsidR="004D06E4" w:rsidRPr="00EB77D6" w:rsidRDefault="004D06E4" w:rsidP="004D06E4">
      <w:pPr>
        <w:spacing w:after="0" w:line="240" w:lineRule="auto"/>
        <w:jc w:val="center"/>
        <w:rPr>
          <w:rFonts w:ascii="Times New Roman" w:eastAsia="Times New Roman" w:hAnsi="Times New Roman"/>
        </w:rPr>
      </w:pPr>
      <w:r w:rsidRPr="00EB77D6">
        <w:rPr>
          <w:rFonts w:ascii="Times New Roman" w:eastAsia="Times New Roman" w:hAnsi="Times New Roman"/>
          <w:lang w:val="mk-MK"/>
        </w:rPr>
        <w:t xml:space="preserve">                                                     </w:t>
      </w:r>
      <w:r w:rsidRPr="00EB77D6">
        <w:rPr>
          <w:rFonts w:ascii="Times New Roman" w:eastAsia="Times New Roman" w:hAnsi="Times New Roman"/>
        </w:rPr>
        <w:t>_________________________</w:t>
      </w:r>
    </w:p>
    <w:p w14:paraId="0FCDDC1B" w14:textId="77777777" w:rsidR="004D06E4" w:rsidRPr="00EB77D6" w:rsidRDefault="004D06E4" w:rsidP="004D06E4">
      <w:pPr>
        <w:spacing w:after="0" w:line="240" w:lineRule="auto"/>
        <w:ind w:left="2160" w:firstLine="720"/>
        <w:jc w:val="center"/>
        <w:rPr>
          <w:rFonts w:ascii="Times New Roman" w:eastAsia="Times New Roman" w:hAnsi="Times New Roman"/>
          <w:b/>
          <w:lang w:val="mk-MK"/>
        </w:rPr>
      </w:pPr>
      <w:r w:rsidRPr="00EB77D6">
        <w:rPr>
          <w:rFonts w:ascii="Times New Roman" w:eastAsia="Times New Roman" w:hAnsi="Times New Roman"/>
          <w:b/>
          <w:lang w:val="mk-MK"/>
        </w:rPr>
        <w:t>Диомидис Николетопулос</w:t>
      </w:r>
    </w:p>
    <w:p w14:paraId="6781BA91" w14:textId="77777777" w:rsidR="004D06E4" w:rsidRPr="00EB77D6" w:rsidRDefault="004D06E4" w:rsidP="004D06E4">
      <w:pPr>
        <w:spacing w:after="0" w:line="240" w:lineRule="auto"/>
        <w:ind w:left="2160" w:firstLine="720"/>
        <w:jc w:val="center"/>
        <w:rPr>
          <w:rFonts w:ascii="Times New Roman" w:eastAsia="Times New Roman" w:hAnsi="Times New Roman"/>
          <w:lang w:val="mk-MK"/>
        </w:rPr>
      </w:pPr>
      <w:r w:rsidRPr="00EB77D6">
        <w:rPr>
          <w:rFonts w:ascii="Times New Roman" w:eastAsia="Times New Roman" w:hAnsi="Times New Roman"/>
          <w:lang w:val="mk-MK"/>
        </w:rPr>
        <w:t xml:space="preserve">Генерален извршен директор и </w:t>
      </w:r>
    </w:p>
    <w:p w14:paraId="76DF46CE" w14:textId="77777777" w:rsidR="004D06E4" w:rsidRPr="00EB77D6" w:rsidRDefault="004D06E4" w:rsidP="004D06E4">
      <w:pPr>
        <w:spacing w:after="0" w:line="240" w:lineRule="auto"/>
        <w:ind w:left="2160" w:firstLine="720"/>
        <w:jc w:val="center"/>
        <w:rPr>
          <w:rFonts w:ascii="Times New Roman" w:eastAsia="Times New Roman" w:hAnsi="Times New Roman"/>
          <w:lang w:val="mk-MK"/>
        </w:rPr>
      </w:pPr>
      <w:r w:rsidRPr="00EB77D6">
        <w:rPr>
          <w:rFonts w:ascii="Times New Roman" w:eastAsia="Times New Roman" w:hAnsi="Times New Roman"/>
          <w:lang w:val="mk-MK"/>
        </w:rPr>
        <w:t xml:space="preserve">   Претседател на Управен одбор</w:t>
      </w:r>
    </w:p>
    <w:p w14:paraId="6EAC4FE2" w14:textId="71E14D18" w:rsidR="004D06E4" w:rsidRDefault="004D06E4" w:rsidP="004D06E4">
      <w:pPr>
        <w:spacing w:after="0" w:line="240" w:lineRule="auto"/>
        <w:ind w:left="2160" w:firstLine="720"/>
        <w:jc w:val="center"/>
        <w:rPr>
          <w:rFonts w:ascii="Times New Roman" w:eastAsia="Times New Roman" w:hAnsi="Times New Roman"/>
          <w:lang w:val="pl-PL"/>
        </w:rPr>
      </w:pPr>
      <w:r w:rsidRPr="00EB77D6">
        <w:rPr>
          <w:rFonts w:ascii="Times New Roman" w:eastAsia="Times New Roman" w:hAnsi="Times New Roman"/>
          <w:lang w:val="pl-PL"/>
        </w:rPr>
        <w:t xml:space="preserve">               </w:t>
      </w:r>
    </w:p>
    <w:p w14:paraId="6B578747" w14:textId="77777777" w:rsidR="004D06E4" w:rsidRPr="00EB77D6" w:rsidRDefault="004D06E4" w:rsidP="004D06E4">
      <w:pPr>
        <w:spacing w:after="0" w:line="240" w:lineRule="auto"/>
        <w:ind w:left="2160" w:firstLine="720"/>
        <w:jc w:val="center"/>
        <w:rPr>
          <w:rFonts w:ascii="Times New Roman" w:eastAsia="Times New Roman" w:hAnsi="Times New Roman"/>
          <w:lang w:val="mk-MK"/>
        </w:rPr>
      </w:pPr>
    </w:p>
    <w:p w14:paraId="63818577" w14:textId="77777777" w:rsidR="004D06E4" w:rsidRPr="00EB77D6" w:rsidRDefault="004D06E4" w:rsidP="004D06E4">
      <w:pPr>
        <w:spacing w:after="0" w:line="240" w:lineRule="auto"/>
        <w:jc w:val="center"/>
        <w:rPr>
          <w:rFonts w:ascii="Times New Roman" w:eastAsia="Times New Roman" w:hAnsi="Times New Roman"/>
          <w:lang w:val="pl-PL"/>
        </w:rPr>
      </w:pPr>
      <w:r w:rsidRPr="00EB77D6">
        <w:rPr>
          <w:rFonts w:ascii="Times New Roman" w:eastAsia="Times New Roman" w:hAnsi="Times New Roman"/>
          <w:lang w:val="pl-PL"/>
        </w:rPr>
        <w:t xml:space="preserve">                       </w:t>
      </w:r>
      <w:r w:rsidRPr="00EB77D6">
        <w:rPr>
          <w:rFonts w:ascii="Times New Roman" w:eastAsia="Times New Roman" w:hAnsi="Times New Roman"/>
          <w:lang w:val="mk-MK"/>
        </w:rPr>
        <w:t xml:space="preserve">                            </w:t>
      </w:r>
      <w:r w:rsidRPr="00EB77D6">
        <w:rPr>
          <w:rFonts w:ascii="Times New Roman" w:eastAsia="Times New Roman" w:hAnsi="Times New Roman"/>
        </w:rPr>
        <w:t xml:space="preserve">    ________________________</w:t>
      </w:r>
      <w:r w:rsidRPr="00EB77D6">
        <w:rPr>
          <w:rFonts w:ascii="Times New Roman" w:eastAsia="Times New Roman" w:hAnsi="Times New Roman"/>
          <w:lang w:val="pl-PL"/>
        </w:rPr>
        <w:t xml:space="preserve"> </w:t>
      </w:r>
    </w:p>
    <w:p w14:paraId="7AEA0383" w14:textId="77777777" w:rsidR="004D06E4" w:rsidRPr="00EB77D6" w:rsidRDefault="004D06E4" w:rsidP="004D06E4">
      <w:pPr>
        <w:spacing w:after="0" w:line="240" w:lineRule="auto"/>
        <w:jc w:val="center"/>
        <w:rPr>
          <w:rFonts w:ascii="Times New Roman" w:eastAsia="Times New Roman" w:hAnsi="Times New Roman"/>
          <w:b/>
          <w:lang w:val="mk-MK"/>
        </w:rPr>
      </w:pPr>
      <w:r w:rsidRPr="00EB77D6">
        <w:rPr>
          <w:rFonts w:ascii="Times New Roman" w:eastAsia="Times New Roman" w:hAnsi="Times New Roman"/>
          <w:b/>
          <w:lang w:val="mk-MK"/>
        </w:rPr>
        <w:t xml:space="preserve">            </w:t>
      </w:r>
      <w:r w:rsidRPr="00EB77D6">
        <w:rPr>
          <w:rFonts w:ascii="Times New Roman" w:eastAsia="Times New Roman" w:hAnsi="Times New Roman"/>
          <w:b/>
        </w:rPr>
        <w:t xml:space="preserve">                                             </w:t>
      </w:r>
      <w:r w:rsidRPr="00EB77D6">
        <w:rPr>
          <w:rFonts w:ascii="Times New Roman" w:eastAsia="Times New Roman" w:hAnsi="Times New Roman"/>
          <w:b/>
          <w:lang w:val="mk-MK"/>
        </w:rPr>
        <w:t>Тони Стојановски</w:t>
      </w:r>
    </w:p>
    <w:p w14:paraId="7E95BE42" w14:textId="77777777" w:rsidR="004D06E4" w:rsidRPr="00EB77D6" w:rsidRDefault="004D06E4" w:rsidP="004D06E4">
      <w:pPr>
        <w:spacing w:after="0" w:line="240" w:lineRule="auto"/>
        <w:jc w:val="center"/>
        <w:rPr>
          <w:rFonts w:ascii="Times New Roman" w:eastAsia="Times New Roman" w:hAnsi="Times New Roman"/>
          <w:lang w:val="mk-MK"/>
        </w:rPr>
      </w:pPr>
      <w:r w:rsidRPr="00EB77D6">
        <w:rPr>
          <w:rFonts w:ascii="Times New Roman" w:eastAsia="Times New Roman" w:hAnsi="Times New Roman"/>
        </w:rPr>
        <w:t xml:space="preserve">                                  </w:t>
      </w:r>
      <w:r w:rsidRPr="00EB77D6">
        <w:rPr>
          <w:rFonts w:ascii="Times New Roman" w:eastAsia="Times New Roman" w:hAnsi="Times New Roman"/>
          <w:lang w:val="mk-MK"/>
        </w:rPr>
        <w:t xml:space="preserve">                              </w:t>
      </w:r>
      <w:r w:rsidRPr="00EB77D6">
        <w:rPr>
          <w:rFonts w:ascii="Times New Roman" w:eastAsia="Times New Roman" w:hAnsi="Times New Roman"/>
        </w:rPr>
        <w:t xml:space="preserve"> </w:t>
      </w:r>
      <w:r w:rsidRPr="00EB77D6">
        <w:rPr>
          <w:rFonts w:ascii="Times New Roman" w:eastAsia="Times New Roman" w:hAnsi="Times New Roman"/>
          <w:lang w:val="mk-MK"/>
        </w:rPr>
        <w:t xml:space="preserve">Генерален директор за корпоративно банкарство </w:t>
      </w:r>
      <w:r w:rsidRPr="00EB77D6">
        <w:rPr>
          <w:rFonts w:ascii="Times New Roman" w:eastAsia="Times New Roman" w:hAnsi="Times New Roman"/>
          <w:lang w:val="mk-MK"/>
        </w:rPr>
        <w:br/>
        <w:t xml:space="preserve">                                                              и член на Управен одбор</w:t>
      </w:r>
    </w:p>
    <w:p w14:paraId="51B0EBFA" w14:textId="3B8582C1" w:rsidR="004D06E4" w:rsidRDefault="004D06E4" w:rsidP="004D06E4">
      <w:pPr>
        <w:spacing w:after="0" w:line="240" w:lineRule="auto"/>
        <w:ind w:left="2160" w:firstLine="720"/>
        <w:jc w:val="center"/>
        <w:rPr>
          <w:rFonts w:ascii="Times New Roman" w:eastAsia="Times New Roman" w:hAnsi="Times New Roman"/>
          <w:lang w:val="mk-MK"/>
        </w:rPr>
      </w:pPr>
    </w:p>
    <w:p w14:paraId="0BF5FB16" w14:textId="77777777" w:rsidR="004D06E4" w:rsidRPr="00EB77D6" w:rsidRDefault="004D06E4" w:rsidP="004D06E4">
      <w:pPr>
        <w:spacing w:after="0" w:line="240" w:lineRule="auto"/>
        <w:ind w:left="2160" w:firstLine="720"/>
        <w:jc w:val="center"/>
        <w:rPr>
          <w:rFonts w:ascii="Times New Roman" w:eastAsia="Times New Roman" w:hAnsi="Times New Roman"/>
          <w:lang w:val="mk-MK"/>
        </w:rPr>
      </w:pPr>
    </w:p>
    <w:p w14:paraId="1399A6B8" w14:textId="7CB5FD17" w:rsidR="004D06E4" w:rsidRPr="00EB77D6" w:rsidRDefault="004D06E4" w:rsidP="004D06E4">
      <w:pPr>
        <w:spacing w:after="0" w:line="240" w:lineRule="auto"/>
        <w:ind w:left="2160" w:firstLine="720"/>
        <w:jc w:val="center"/>
        <w:rPr>
          <w:rFonts w:ascii="Times New Roman" w:eastAsia="Times New Roman" w:hAnsi="Times New Roman"/>
          <w:lang w:val="pl-PL"/>
        </w:rPr>
      </w:pPr>
      <w:r w:rsidRPr="00EB77D6">
        <w:rPr>
          <w:rFonts w:ascii="Times New Roman" w:eastAsia="Times New Roman" w:hAnsi="Times New Roman"/>
          <w:lang w:val="mk-MK"/>
        </w:rPr>
        <w:t xml:space="preserve">   </w:t>
      </w:r>
      <w:r w:rsidRPr="00EB77D6">
        <w:rPr>
          <w:rFonts w:ascii="Times New Roman" w:eastAsia="Times New Roman" w:hAnsi="Times New Roman"/>
        </w:rPr>
        <w:t xml:space="preserve">   _________________________</w:t>
      </w:r>
      <w:r w:rsidRPr="00EB77D6">
        <w:rPr>
          <w:rFonts w:ascii="Times New Roman" w:eastAsia="Times New Roman" w:hAnsi="Times New Roman"/>
          <w:lang w:val="pl-PL"/>
        </w:rPr>
        <w:t xml:space="preserve">   </w:t>
      </w:r>
    </w:p>
    <w:p w14:paraId="089D8D5B" w14:textId="77777777" w:rsidR="004D06E4" w:rsidRPr="00EB77D6" w:rsidRDefault="004D06E4" w:rsidP="004D06E4">
      <w:pPr>
        <w:spacing w:after="0" w:line="240" w:lineRule="auto"/>
        <w:jc w:val="center"/>
        <w:rPr>
          <w:rFonts w:ascii="Times New Roman" w:eastAsia="Times New Roman" w:hAnsi="Times New Roman"/>
          <w:b/>
          <w:lang w:val="mk-MK"/>
        </w:rPr>
      </w:pPr>
      <w:r w:rsidRPr="00EB77D6">
        <w:rPr>
          <w:rFonts w:ascii="Times New Roman" w:eastAsia="Times New Roman" w:hAnsi="Times New Roman"/>
          <w:lang w:val="mk-MK"/>
        </w:rPr>
        <w:t xml:space="preserve">            </w:t>
      </w:r>
      <w:r w:rsidRPr="00EB77D6">
        <w:rPr>
          <w:rFonts w:ascii="Times New Roman" w:eastAsia="Times New Roman" w:hAnsi="Times New Roman"/>
        </w:rPr>
        <w:t xml:space="preserve">                                                  </w:t>
      </w:r>
      <w:r w:rsidRPr="00EB77D6">
        <w:rPr>
          <w:rFonts w:ascii="Times New Roman" w:eastAsia="Times New Roman" w:hAnsi="Times New Roman"/>
          <w:b/>
          <w:lang w:val="mk-MK"/>
        </w:rPr>
        <w:t>Милица Чапаровска - Јовановска</w:t>
      </w:r>
    </w:p>
    <w:p w14:paraId="1F448B7E" w14:textId="0135758D" w:rsidR="004D06E4" w:rsidRDefault="004D06E4" w:rsidP="004D06E4">
      <w:pPr>
        <w:spacing w:after="0" w:line="240" w:lineRule="auto"/>
        <w:jc w:val="center"/>
        <w:rPr>
          <w:rFonts w:ascii="Times New Roman" w:eastAsia="Times New Roman" w:hAnsi="Times New Roman"/>
          <w:lang w:val="mk-MK"/>
        </w:rPr>
      </w:pPr>
      <w:r w:rsidRPr="00EB77D6">
        <w:rPr>
          <w:rFonts w:ascii="Times New Roman" w:eastAsia="Times New Roman" w:hAnsi="Times New Roman"/>
        </w:rPr>
        <w:t xml:space="preserve">                                  </w:t>
      </w:r>
      <w:r w:rsidRPr="00EB77D6">
        <w:rPr>
          <w:rFonts w:ascii="Times New Roman" w:eastAsia="Times New Roman" w:hAnsi="Times New Roman"/>
          <w:lang w:val="mk-MK"/>
        </w:rPr>
        <w:t xml:space="preserve">                              </w:t>
      </w:r>
      <w:r w:rsidRPr="00EB77D6">
        <w:rPr>
          <w:rFonts w:ascii="Times New Roman" w:eastAsia="Times New Roman" w:hAnsi="Times New Roman"/>
        </w:rPr>
        <w:t xml:space="preserve"> </w:t>
      </w:r>
      <w:r w:rsidRPr="00EB77D6">
        <w:rPr>
          <w:rFonts w:ascii="Times New Roman" w:eastAsia="Times New Roman" w:hAnsi="Times New Roman"/>
          <w:lang w:val="mk-MK"/>
        </w:rPr>
        <w:t>Генерален директор за банкарство на мало</w:t>
      </w:r>
      <w:r w:rsidRPr="00EB77D6">
        <w:rPr>
          <w:rFonts w:ascii="Times New Roman" w:eastAsia="Times New Roman" w:hAnsi="Times New Roman"/>
          <w:lang w:val="mk-MK"/>
        </w:rPr>
        <w:br/>
        <w:t xml:space="preserve">                                                              и член на Управен одбор</w:t>
      </w:r>
    </w:p>
    <w:p w14:paraId="7AEB6222" w14:textId="54B1C8B5" w:rsidR="004D06E4" w:rsidRDefault="004D06E4" w:rsidP="004D06E4">
      <w:pPr>
        <w:spacing w:after="0" w:line="240" w:lineRule="auto"/>
        <w:jc w:val="center"/>
        <w:rPr>
          <w:rFonts w:ascii="Times New Roman" w:eastAsia="Times New Roman" w:hAnsi="Times New Roman"/>
          <w:lang w:val="mk-MK"/>
        </w:rPr>
      </w:pPr>
    </w:p>
    <w:p w14:paraId="436DB1A1" w14:textId="3F57DC72" w:rsidR="004D06E4" w:rsidRDefault="004D06E4" w:rsidP="004D06E4">
      <w:pPr>
        <w:spacing w:after="0" w:line="240" w:lineRule="auto"/>
        <w:jc w:val="center"/>
        <w:rPr>
          <w:rFonts w:ascii="Times New Roman" w:eastAsia="Times New Roman" w:hAnsi="Times New Roman"/>
          <w:lang w:val="mk-MK"/>
        </w:rPr>
      </w:pPr>
    </w:p>
    <w:p w14:paraId="09AC2323" w14:textId="13A89C45" w:rsidR="004D06E4" w:rsidRDefault="004D06E4" w:rsidP="004D06E4">
      <w:pPr>
        <w:spacing w:after="0" w:line="240" w:lineRule="auto"/>
        <w:ind w:left="2160" w:firstLine="720"/>
        <w:jc w:val="center"/>
        <w:rPr>
          <w:rFonts w:ascii="Times New Roman" w:eastAsia="Times New Roman" w:hAnsi="Times New Roman"/>
          <w:lang w:val="pl-PL"/>
        </w:rPr>
      </w:pPr>
      <w:r>
        <w:rPr>
          <w:rFonts w:ascii="Times New Roman" w:eastAsia="Times New Roman" w:hAnsi="Times New Roman"/>
          <w:lang w:val="mk-MK"/>
        </w:rPr>
        <w:t xml:space="preserve">           </w:t>
      </w:r>
      <w:r w:rsidRPr="00EB77D6">
        <w:rPr>
          <w:rFonts w:ascii="Times New Roman" w:eastAsia="Times New Roman" w:hAnsi="Times New Roman"/>
        </w:rPr>
        <w:t>_______________________</w:t>
      </w:r>
      <w:r w:rsidRPr="00EB77D6">
        <w:rPr>
          <w:rFonts w:ascii="Times New Roman" w:eastAsia="Times New Roman" w:hAnsi="Times New Roman"/>
          <w:lang w:val="pl-PL"/>
        </w:rPr>
        <w:t xml:space="preserve"> </w:t>
      </w:r>
    </w:p>
    <w:p w14:paraId="2BCCAEBD" w14:textId="77777777" w:rsidR="004D06E4" w:rsidRPr="00EB77D6" w:rsidRDefault="004D06E4" w:rsidP="004D06E4">
      <w:pPr>
        <w:spacing w:after="0" w:line="240" w:lineRule="auto"/>
        <w:jc w:val="center"/>
        <w:rPr>
          <w:rFonts w:ascii="Times New Roman" w:eastAsia="Times New Roman" w:hAnsi="Times New Roman"/>
          <w:b/>
          <w:lang w:val="mk-MK"/>
        </w:rPr>
      </w:pPr>
      <w:r w:rsidRPr="00EB77D6">
        <w:rPr>
          <w:rFonts w:ascii="Times New Roman" w:eastAsia="Times New Roman" w:hAnsi="Times New Roman"/>
          <w:b/>
          <w:lang w:val="mk-MK"/>
        </w:rPr>
        <w:t xml:space="preserve">            </w:t>
      </w:r>
      <w:r w:rsidRPr="00EB77D6">
        <w:rPr>
          <w:rFonts w:ascii="Times New Roman" w:eastAsia="Times New Roman" w:hAnsi="Times New Roman"/>
          <w:b/>
        </w:rPr>
        <w:t xml:space="preserve">                                                 </w:t>
      </w:r>
      <w:r w:rsidRPr="00EB77D6">
        <w:rPr>
          <w:rFonts w:ascii="Times New Roman" w:eastAsia="Times New Roman" w:hAnsi="Times New Roman"/>
          <w:b/>
          <w:lang w:val="mk-MK"/>
        </w:rPr>
        <w:t>Бојан Стојаноски</w:t>
      </w:r>
    </w:p>
    <w:p w14:paraId="665844E7" w14:textId="77777777" w:rsidR="004D06E4" w:rsidRPr="00EB77D6" w:rsidRDefault="004D06E4" w:rsidP="004D06E4">
      <w:pPr>
        <w:spacing w:after="0" w:line="240" w:lineRule="auto"/>
        <w:jc w:val="center"/>
        <w:rPr>
          <w:rFonts w:ascii="Times New Roman" w:eastAsia="Times New Roman" w:hAnsi="Times New Roman"/>
          <w:lang w:val="mk-MK"/>
        </w:rPr>
      </w:pPr>
      <w:r w:rsidRPr="00EB77D6">
        <w:rPr>
          <w:rFonts w:ascii="Times New Roman" w:eastAsia="Times New Roman" w:hAnsi="Times New Roman"/>
        </w:rPr>
        <w:t xml:space="preserve">                                  </w:t>
      </w:r>
      <w:r w:rsidRPr="00EB77D6">
        <w:rPr>
          <w:rFonts w:ascii="Times New Roman" w:eastAsia="Times New Roman" w:hAnsi="Times New Roman"/>
          <w:lang w:val="mk-MK"/>
        </w:rPr>
        <w:t xml:space="preserve">                              </w:t>
      </w:r>
      <w:r w:rsidRPr="00EB77D6">
        <w:rPr>
          <w:rFonts w:ascii="Times New Roman" w:eastAsia="Times New Roman" w:hAnsi="Times New Roman"/>
        </w:rPr>
        <w:t xml:space="preserve"> </w:t>
      </w:r>
      <w:r w:rsidRPr="00EB77D6">
        <w:rPr>
          <w:rFonts w:ascii="Times New Roman" w:eastAsia="Times New Roman" w:hAnsi="Times New Roman"/>
          <w:lang w:val="mk-MK"/>
        </w:rPr>
        <w:t xml:space="preserve">Генерален директор за управување со ризици </w:t>
      </w:r>
      <w:r w:rsidRPr="00EB77D6">
        <w:rPr>
          <w:rFonts w:ascii="Times New Roman" w:eastAsia="Times New Roman" w:hAnsi="Times New Roman"/>
          <w:lang w:val="mk-MK"/>
        </w:rPr>
        <w:br/>
        <w:t xml:space="preserve">                                                              и член на Управен одбор</w:t>
      </w:r>
    </w:p>
    <w:p w14:paraId="28B0C4ED" w14:textId="77777777" w:rsidR="004D06E4" w:rsidRPr="00EB77D6" w:rsidRDefault="004D06E4" w:rsidP="004D06E4">
      <w:pPr>
        <w:spacing w:after="0" w:line="240" w:lineRule="auto"/>
        <w:jc w:val="center"/>
        <w:rPr>
          <w:rFonts w:ascii="Times New Roman" w:eastAsia="Times New Roman" w:hAnsi="Times New Roman"/>
          <w:lang w:val="mk-MK"/>
        </w:rPr>
      </w:pPr>
    </w:p>
    <w:p w14:paraId="584D1ECE" w14:textId="77777777" w:rsidR="004D06E4" w:rsidRDefault="004D06E4" w:rsidP="00E92686">
      <w:pPr>
        <w:jc w:val="both"/>
        <w:rPr>
          <w:rFonts w:ascii="Times New Roman" w:hAnsi="Times New Roman"/>
          <w:sz w:val="24"/>
          <w:lang w:val="mk-MK"/>
        </w:rPr>
      </w:pPr>
    </w:p>
    <w:p w14:paraId="55ECE3D0" w14:textId="77777777" w:rsidR="00E92686" w:rsidRPr="00E92686" w:rsidRDefault="00E92686" w:rsidP="00E92686">
      <w:pPr>
        <w:rPr>
          <w:rFonts w:ascii="Times New Roman" w:hAnsi="Times New Roman"/>
          <w:sz w:val="24"/>
        </w:rPr>
      </w:pPr>
    </w:p>
    <w:p w14:paraId="7ACE2EE6" w14:textId="417C370C" w:rsidR="00C60EDB" w:rsidRDefault="00031D22" w:rsidP="00FD6F0B">
      <w:pPr>
        <w:pStyle w:val="Heading1"/>
        <w:rPr>
          <w:b/>
          <w:sz w:val="28"/>
          <w:lang w:val="mk-MK"/>
        </w:rPr>
      </w:pPr>
      <w:r w:rsidRPr="004E75F8">
        <w:rPr>
          <w:b/>
          <w:sz w:val="28"/>
          <w:lang w:val="mk-MK"/>
        </w:rPr>
        <w:t>Преглед на активностите во 202</w:t>
      </w:r>
      <w:r w:rsidR="00EC6ADD" w:rsidRPr="004E75F8">
        <w:rPr>
          <w:b/>
          <w:sz w:val="28"/>
          <w:lang w:val="mk-MK"/>
        </w:rPr>
        <w:t>2</w:t>
      </w:r>
      <w:r w:rsidRPr="004E75F8">
        <w:rPr>
          <w:b/>
          <w:sz w:val="28"/>
          <w:lang w:val="mk-MK"/>
        </w:rPr>
        <w:t xml:space="preserve"> година</w:t>
      </w:r>
      <w:bookmarkEnd w:id="5"/>
      <w:bookmarkEnd w:id="4"/>
    </w:p>
    <w:p w14:paraId="52EA35D9" w14:textId="77777777" w:rsidR="00FD6F0B" w:rsidRPr="00FD6F0B" w:rsidRDefault="00FD6F0B" w:rsidP="00FD6F0B">
      <w:pPr>
        <w:rPr>
          <w:lang w:val="mk-MK"/>
        </w:rPr>
      </w:pPr>
    </w:p>
    <w:p w14:paraId="7E20AF41" w14:textId="77777777" w:rsidR="00EC6ADD" w:rsidRPr="00F972A7" w:rsidRDefault="00EC6ADD" w:rsidP="00F972A7">
      <w:pPr>
        <w:jc w:val="both"/>
        <w:rPr>
          <w:rFonts w:ascii="Times New Roman" w:hAnsi="Times New Roman"/>
          <w:sz w:val="24"/>
          <w:szCs w:val="24"/>
          <w:shd w:val="clear" w:color="auto" w:fill="FFFFFF"/>
          <w:lang w:val="mk-MK"/>
        </w:rPr>
      </w:pPr>
      <w:r w:rsidRPr="00F972A7">
        <w:rPr>
          <w:rFonts w:ascii="Times New Roman" w:hAnsi="Times New Roman"/>
          <w:sz w:val="24"/>
          <w:szCs w:val="24"/>
          <w:shd w:val="clear" w:color="auto" w:fill="FFFFFF"/>
          <w:lang w:val="mk-MK"/>
        </w:rPr>
        <w:lastRenderedPageBreak/>
        <w:t xml:space="preserve">Минатата година беше одбележана со продолжување на неизвесноста, </w:t>
      </w:r>
      <w:r w:rsidR="00616494" w:rsidRPr="00F972A7">
        <w:rPr>
          <w:rFonts w:ascii="Times New Roman" w:hAnsi="Times New Roman"/>
          <w:sz w:val="24"/>
          <w:szCs w:val="24"/>
          <w:shd w:val="clear" w:color="auto" w:fill="FFFFFF"/>
          <w:lang w:val="mk-MK"/>
        </w:rPr>
        <w:t xml:space="preserve">која покрај </w:t>
      </w:r>
      <w:r w:rsidRPr="00F972A7">
        <w:rPr>
          <w:rFonts w:ascii="Times New Roman" w:hAnsi="Times New Roman"/>
          <w:sz w:val="24"/>
          <w:szCs w:val="24"/>
          <w:shd w:val="clear" w:color="auto" w:fill="FFFFFF"/>
          <w:lang w:val="mk-MK"/>
        </w:rPr>
        <w:t xml:space="preserve">постковид-ефектите </w:t>
      </w:r>
      <w:r w:rsidR="00616494" w:rsidRPr="00F972A7">
        <w:rPr>
          <w:rFonts w:ascii="Times New Roman" w:hAnsi="Times New Roman"/>
          <w:sz w:val="24"/>
          <w:szCs w:val="24"/>
          <w:shd w:val="clear" w:color="auto" w:fill="FFFFFF"/>
          <w:lang w:val="mk-MK"/>
        </w:rPr>
        <w:t xml:space="preserve">беше надополнета со почетокот на руско-украинската криза предизвикувајќи раст </w:t>
      </w:r>
      <w:r w:rsidRPr="00F972A7">
        <w:rPr>
          <w:rFonts w:ascii="Times New Roman" w:hAnsi="Times New Roman"/>
          <w:sz w:val="24"/>
          <w:szCs w:val="24"/>
          <w:shd w:val="clear" w:color="auto" w:fill="FFFFFF"/>
          <w:lang w:val="mk-MK"/>
        </w:rPr>
        <w:t>на инф</w:t>
      </w:r>
      <w:r w:rsidR="00616494" w:rsidRPr="00F972A7">
        <w:rPr>
          <w:rFonts w:ascii="Times New Roman" w:hAnsi="Times New Roman"/>
          <w:sz w:val="24"/>
          <w:szCs w:val="24"/>
          <w:shd w:val="clear" w:color="auto" w:fill="FFFFFF"/>
          <w:lang w:val="mk-MK"/>
        </w:rPr>
        <w:t xml:space="preserve">лацијата (особено зголемување </w:t>
      </w:r>
      <w:r w:rsidRPr="00F972A7">
        <w:rPr>
          <w:rFonts w:ascii="Times New Roman" w:hAnsi="Times New Roman"/>
          <w:sz w:val="24"/>
          <w:szCs w:val="24"/>
          <w:shd w:val="clear" w:color="auto" w:fill="FFFFFF"/>
          <w:lang w:val="mk-MK"/>
        </w:rPr>
        <w:t>на цените на храната и еле</w:t>
      </w:r>
      <w:r w:rsidR="00616494" w:rsidRPr="00F972A7">
        <w:rPr>
          <w:rFonts w:ascii="Times New Roman" w:hAnsi="Times New Roman"/>
          <w:sz w:val="24"/>
          <w:szCs w:val="24"/>
          <w:shd w:val="clear" w:color="auto" w:fill="FFFFFF"/>
          <w:lang w:val="mk-MK"/>
        </w:rPr>
        <w:t xml:space="preserve">ктричната енергија). Сите овие фактори </w:t>
      </w:r>
      <w:r w:rsidR="00FE54E8" w:rsidRPr="00F972A7">
        <w:rPr>
          <w:rFonts w:ascii="Times New Roman" w:hAnsi="Times New Roman"/>
          <w:sz w:val="24"/>
          <w:szCs w:val="24"/>
          <w:shd w:val="clear" w:color="auto" w:fill="FFFFFF"/>
          <w:lang w:val="mk-MK"/>
        </w:rPr>
        <w:t xml:space="preserve">ги влошија изгледите </w:t>
      </w:r>
      <w:r w:rsidRPr="00F972A7">
        <w:rPr>
          <w:rFonts w:ascii="Times New Roman" w:hAnsi="Times New Roman"/>
          <w:sz w:val="24"/>
          <w:szCs w:val="24"/>
          <w:shd w:val="clear" w:color="auto" w:fill="FFFFFF"/>
          <w:lang w:val="mk-MK"/>
        </w:rPr>
        <w:t>за глобален економски раст</w:t>
      </w:r>
      <w:r w:rsidR="00FE54E8" w:rsidRPr="00F972A7">
        <w:rPr>
          <w:rFonts w:ascii="Times New Roman" w:hAnsi="Times New Roman"/>
          <w:sz w:val="24"/>
          <w:szCs w:val="24"/>
          <w:shd w:val="clear" w:color="auto" w:fill="FFFFFF"/>
          <w:lang w:val="mk-MK"/>
        </w:rPr>
        <w:t xml:space="preserve"> во изминатата година</w:t>
      </w:r>
      <w:r w:rsidRPr="00F972A7">
        <w:rPr>
          <w:rFonts w:ascii="Times New Roman" w:hAnsi="Times New Roman"/>
          <w:sz w:val="24"/>
          <w:szCs w:val="24"/>
          <w:shd w:val="clear" w:color="auto" w:fill="FFFFFF"/>
          <w:lang w:val="mk-MK"/>
        </w:rPr>
        <w:t>. Соочени со глобалната инфлација која достигна повеќедецениски максимум, централните банки ширум светот се фокусираа на заострување на монетарната политика, поточно на зголемување на каматните стапки, со што се заострија финансиските услови и се зголемија трошоците за задолжување. Банкарскиот сектор покажа дека поседува висок капацитет за справување со кризата, притоа преземајќи мерки и активности за амортизирање на шоковите, со што се поддржуваат клиентите и се обезбедува деловниот континуитет во новото опкружување. Новите услови за работа наметнаа зголемени трошоци за работење и потреба од прилагодување на деловниот модел на сите стопански субјекти, вклучително и на банките.</w:t>
      </w:r>
    </w:p>
    <w:p w14:paraId="46F04042" w14:textId="77777777" w:rsidR="00EC6ADD" w:rsidRPr="00F972A7" w:rsidRDefault="00EC6ADD" w:rsidP="00F972A7">
      <w:pPr>
        <w:jc w:val="both"/>
        <w:rPr>
          <w:rFonts w:ascii="Times New Roman" w:hAnsi="Times New Roman"/>
          <w:sz w:val="24"/>
          <w:szCs w:val="24"/>
          <w:shd w:val="clear" w:color="auto" w:fill="FFFFFF"/>
          <w:lang w:val="mk-MK"/>
        </w:rPr>
      </w:pPr>
      <w:r w:rsidRPr="00F972A7">
        <w:rPr>
          <w:rFonts w:ascii="Times New Roman" w:hAnsi="Times New Roman"/>
          <w:sz w:val="24"/>
          <w:szCs w:val="24"/>
          <w:shd w:val="clear" w:color="auto" w:fill="FFFFFF"/>
          <w:lang w:val="mk-MK"/>
        </w:rPr>
        <w:t>Генерално, домашната економска активност е во согласност со проекциите и очекувањата за натамошно забавување на растот како последица на енергетската криза, ограничувањата во понудата и зголемувањето на трошоците на животот, фактори кои наметнаа заострување на финансиските услови на глобално ниво. Продолжи кредитната поддршка на домашната економија од страна на деловните банки, која забрза во последниот квартал од годината како карактеристичен тренд за крајот на годината. Надворешната позиција на економијата овозможува девизните резерви правилно да се одржуваат во безбедната зона. Сепак, неизвесноста и ризиците за глобалната и домашната економија на краток и среден рок остануваат високи, а војната во Украина останува главен извор на нарушувања, особено на пазарите на енергија и храна.</w:t>
      </w:r>
    </w:p>
    <w:p w14:paraId="09DDF055" w14:textId="77777777" w:rsidR="00EC6ADD" w:rsidRPr="00F972A7" w:rsidRDefault="00EC6ADD" w:rsidP="00F972A7">
      <w:pPr>
        <w:jc w:val="both"/>
        <w:rPr>
          <w:rFonts w:ascii="Times New Roman" w:hAnsi="Times New Roman"/>
          <w:sz w:val="24"/>
          <w:szCs w:val="24"/>
          <w:shd w:val="clear" w:color="auto" w:fill="FFFFFF"/>
          <w:lang w:val="mk-MK"/>
        </w:rPr>
      </w:pPr>
      <w:r w:rsidRPr="00F972A7">
        <w:rPr>
          <w:rFonts w:ascii="Times New Roman" w:hAnsi="Times New Roman"/>
          <w:sz w:val="24"/>
          <w:szCs w:val="24"/>
          <w:shd w:val="clear" w:color="auto" w:fill="FFFFFF"/>
          <w:lang w:val="mk-MK"/>
        </w:rPr>
        <w:t>Во вакво деловно о</w:t>
      </w:r>
      <w:r w:rsidR="00C075F9" w:rsidRPr="00F972A7">
        <w:rPr>
          <w:rFonts w:ascii="Times New Roman" w:hAnsi="Times New Roman"/>
          <w:sz w:val="24"/>
          <w:szCs w:val="24"/>
          <w:shd w:val="clear" w:color="auto" w:fill="FFFFFF"/>
          <w:lang w:val="mk-MK"/>
        </w:rPr>
        <w:t>п</w:t>
      </w:r>
      <w:r w:rsidRPr="00F972A7">
        <w:rPr>
          <w:rFonts w:ascii="Times New Roman" w:hAnsi="Times New Roman"/>
          <w:sz w:val="24"/>
          <w:szCs w:val="24"/>
          <w:shd w:val="clear" w:color="auto" w:fill="FFFFFF"/>
          <w:lang w:val="mk-MK"/>
        </w:rPr>
        <w:t>кружување, раководството на Банката и сите вработени беа активно ангажирани за обезбедување континуитет во извршување на оперативните активности, потребите на клиентите, економијата и општеството во целина. Главниот фокус беше ставен на подобрување на дигиталната инфраструктура, која во денешно време е повеќе од неопходен начин на комуникација. Банката останува посветена и тесно поврзана со своите клиенти, секогаш обидувајќи се да ги предвиди и процени нивните потреби нудејќи разумни и одржливи решенија и финансиски совети. Банката продолжува да го следи развојот на кризата и да ги презема сите потребни мерки.</w:t>
      </w:r>
    </w:p>
    <w:p w14:paraId="2259A3E1" w14:textId="178E9E80" w:rsidR="004E75F8" w:rsidRPr="00F972A7" w:rsidRDefault="00EC6ADD" w:rsidP="00F972A7">
      <w:pPr>
        <w:jc w:val="both"/>
        <w:rPr>
          <w:rFonts w:ascii="Times New Roman" w:hAnsi="Times New Roman"/>
          <w:sz w:val="24"/>
          <w:szCs w:val="24"/>
          <w:shd w:val="clear" w:color="auto" w:fill="FFFFFF"/>
          <w:lang w:val="mk-MK"/>
        </w:rPr>
      </w:pPr>
      <w:r w:rsidRPr="00F972A7">
        <w:rPr>
          <w:rFonts w:ascii="Times New Roman" w:hAnsi="Times New Roman"/>
          <w:sz w:val="24"/>
          <w:szCs w:val="24"/>
          <w:shd w:val="clear" w:color="auto" w:fill="FFFFFF"/>
          <w:lang w:val="mk-MK"/>
        </w:rPr>
        <w:t>Како една од системски значајните банки, Стопанска банка продолжи со успешни резултати и во 2022 година, слично како и претходните години, односно добивк</w:t>
      </w:r>
      <w:r w:rsidR="008E4317" w:rsidRPr="00F972A7">
        <w:rPr>
          <w:rFonts w:ascii="Times New Roman" w:hAnsi="Times New Roman"/>
          <w:sz w:val="24"/>
          <w:szCs w:val="24"/>
          <w:shd w:val="clear" w:color="auto" w:fill="FFFFFF"/>
          <w:lang w:val="mk-MK"/>
        </w:rPr>
        <w:t>ата пред оданочување изнесува 2.</w:t>
      </w:r>
      <w:r w:rsidRPr="00F972A7">
        <w:rPr>
          <w:rFonts w:ascii="Times New Roman" w:hAnsi="Times New Roman"/>
          <w:sz w:val="24"/>
          <w:szCs w:val="24"/>
          <w:shd w:val="clear" w:color="auto" w:fill="FFFFFF"/>
          <w:lang w:val="mk-MK"/>
        </w:rPr>
        <w:t>617 милиони денари. Вкупната актива на Банката бележи з</w:t>
      </w:r>
      <w:r w:rsidR="008E4317" w:rsidRPr="00F972A7">
        <w:rPr>
          <w:rFonts w:ascii="Times New Roman" w:hAnsi="Times New Roman"/>
          <w:sz w:val="24"/>
          <w:szCs w:val="24"/>
          <w:shd w:val="clear" w:color="auto" w:fill="FFFFFF"/>
          <w:lang w:val="mk-MK"/>
        </w:rPr>
        <w:t>големување од 8% и изнесува 122.</w:t>
      </w:r>
      <w:r w:rsidR="004B6E1D" w:rsidRPr="001C5B17">
        <w:rPr>
          <w:rFonts w:ascii="Times New Roman" w:hAnsi="Times New Roman"/>
          <w:sz w:val="24"/>
          <w:szCs w:val="24"/>
          <w:shd w:val="clear" w:color="auto" w:fill="FFFFFF"/>
          <w:lang w:val="mk-MK"/>
        </w:rPr>
        <w:t>783</w:t>
      </w:r>
      <w:r w:rsidR="004B6E1D" w:rsidRPr="00F972A7">
        <w:rPr>
          <w:rFonts w:ascii="Times New Roman" w:hAnsi="Times New Roman"/>
          <w:sz w:val="24"/>
          <w:szCs w:val="24"/>
          <w:shd w:val="clear" w:color="auto" w:fill="FFFFFF"/>
          <w:lang w:val="mk-MK"/>
        </w:rPr>
        <w:t xml:space="preserve"> </w:t>
      </w:r>
      <w:r w:rsidRPr="00F972A7">
        <w:rPr>
          <w:rFonts w:ascii="Times New Roman" w:hAnsi="Times New Roman"/>
          <w:sz w:val="24"/>
          <w:szCs w:val="24"/>
          <w:shd w:val="clear" w:color="auto" w:fill="FFFFFF"/>
          <w:lang w:val="mk-MK"/>
        </w:rPr>
        <w:t xml:space="preserve">милиони денари. Со вкупен капитал и резерви од </w:t>
      </w:r>
      <w:r w:rsidR="008E4317" w:rsidRPr="00F972A7">
        <w:rPr>
          <w:rFonts w:ascii="Times New Roman" w:hAnsi="Times New Roman"/>
          <w:sz w:val="24"/>
          <w:szCs w:val="24"/>
          <w:shd w:val="clear" w:color="auto" w:fill="FFFFFF"/>
          <w:lang w:val="mk-MK"/>
        </w:rPr>
        <w:t>22.</w:t>
      </w:r>
      <w:r w:rsidRPr="00F972A7">
        <w:rPr>
          <w:rFonts w:ascii="Times New Roman" w:hAnsi="Times New Roman"/>
          <w:sz w:val="24"/>
          <w:szCs w:val="24"/>
          <w:shd w:val="clear" w:color="auto" w:fill="FFFFFF"/>
          <w:lang w:val="mk-MK"/>
        </w:rPr>
        <w:t>202 милиони денари, Стопанска банка останува највисоко капитализирана банка со стапка на адекватност на капиталот од 16,6%.</w:t>
      </w:r>
    </w:p>
    <w:p w14:paraId="63F0AEA6" w14:textId="77777777" w:rsidR="00A65440" w:rsidRPr="00A75476" w:rsidRDefault="009613BF" w:rsidP="00A75476">
      <w:pPr>
        <w:jc w:val="center"/>
        <w:rPr>
          <w:rFonts w:ascii="Times New Roman" w:hAnsi="Times New Roman"/>
          <w:b/>
          <w:sz w:val="24"/>
          <w:lang w:val="mk-MK"/>
        </w:rPr>
      </w:pPr>
      <w:r w:rsidRPr="00A75476">
        <w:rPr>
          <w:rFonts w:ascii="Times New Roman" w:hAnsi="Times New Roman"/>
          <w:b/>
          <w:sz w:val="24"/>
          <w:lang w:val="mk-MK"/>
        </w:rPr>
        <w:t>Финансиски показатели</w:t>
      </w:r>
    </w:p>
    <w:tbl>
      <w:tblPr>
        <w:tblW w:w="8695" w:type="dxa"/>
        <w:jc w:val="center"/>
        <w:tblLook w:val="04A0" w:firstRow="1" w:lastRow="0" w:firstColumn="1" w:lastColumn="0" w:noHBand="0" w:noVBand="1"/>
      </w:tblPr>
      <w:tblGrid>
        <w:gridCol w:w="3853"/>
        <w:gridCol w:w="1391"/>
        <w:gridCol w:w="25"/>
        <w:gridCol w:w="1728"/>
        <w:gridCol w:w="25"/>
        <w:gridCol w:w="1673"/>
        <w:gridCol w:w="21"/>
        <w:gridCol w:w="12"/>
      </w:tblGrid>
      <w:tr w:rsidR="001211DB" w:rsidRPr="00801024" w14:paraId="44F3E864" w14:textId="77777777" w:rsidTr="001211DB">
        <w:trPr>
          <w:gridAfter w:val="1"/>
          <w:wAfter w:w="25" w:type="dxa"/>
          <w:trHeight w:val="627"/>
          <w:jc w:val="center"/>
        </w:trPr>
        <w:tc>
          <w:tcPr>
            <w:tcW w:w="3853" w:type="dxa"/>
            <w:tcBorders>
              <w:top w:val="single" w:sz="4" w:space="0" w:color="auto"/>
              <w:left w:val="nil"/>
              <w:bottom w:val="single" w:sz="8" w:space="0" w:color="auto"/>
              <w:right w:val="nil"/>
            </w:tcBorders>
            <w:shd w:val="clear" w:color="auto" w:fill="auto"/>
            <w:noWrap/>
            <w:vAlign w:val="bottom"/>
            <w:hideMark/>
          </w:tcPr>
          <w:p w14:paraId="23691430" w14:textId="77777777" w:rsidR="001211DB" w:rsidRPr="009613BF" w:rsidRDefault="001211DB" w:rsidP="001211DB">
            <w:pPr>
              <w:pStyle w:val="Heading1"/>
              <w:rPr>
                <w:sz w:val="20"/>
                <w:lang w:val="mk-MK"/>
              </w:rPr>
            </w:pPr>
            <w:bookmarkStart w:id="6" w:name="_Toc132974467"/>
            <w:bookmarkStart w:id="7" w:name="_Toc132974643"/>
            <w:bookmarkStart w:id="8" w:name="_Toc132978827"/>
            <w:r>
              <w:rPr>
                <w:sz w:val="20"/>
                <w:lang w:val="mk-MK"/>
              </w:rPr>
              <w:lastRenderedPageBreak/>
              <w:t>во милиони евра</w:t>
            </w:r>
            <w:bookmarkEnd w:id="6"/>
            <w:bookmarkEnd w:id="7"/>
            <w:bookmarkEnd w:id="8"/>
          </w:p>
        </w:tc>
        <w:tc>
          <w:tcPr>
            <w:tcW w:w="1391" w:type="dxa"/>
            <w:gridSpan w:val="2"/>
            <w:tcBorders>
              <w:top w:val="single" w:sz="4" w:space="0" w:color="auto"/>
              <w:left w:val="nil"/>
              <w:bottom w:val="single" w:sz="8" w:space="0" w:color="auto"/>
              <w:right w:val="nil"/>
            </w:tcBorders>
            <w:shd w:val="clear" w:color="auto" w:fill="auto"/>
            <w:vAlign w:val="center"/>
            <w:hideMark/>
          </w:tcPr>
          <w:p w14:paraId="11382EE9" w14:textId="77777777" w:rsidR="001211DB" w:rsidRPr="001211DB" w:rsidRDefault="001211DB" w:rsidP="001211DB">
            <w:pPr>
              <w:pStyle w:val="Heading1"/>
              <w:jc w:val="center"/>
              <w:rPr>
                <w:b/>
                <w:bCs/>
                <w:sz w:val="20"/>
              </w:rPr>
            </w:pPr>
            <w:bookmarkStart w:id="9" w:name="_Toc132974468"/>
            <w:bookmarkStart w:id="10" w:name="_Toc132974644"/>
            <w:bookmarkStart w:id="11" w:name="_Toc132978828"/>
            <w:r w:rsidRPr="00372BD2">
              <w:rPr>
                <w:sz w:val="20"/>
              </w:rPr>
              <w:t>2021</w:t>
            </w:r>
            <w:bookmarkEnd w:id="9"/>
            <w:bookmarkEnd w:id="10"/>
            <w:bookmarkEnd w:id="11"/>
          </w:p>
        </w:tc>
        <w:tc>
          <w:tcPr>
            <w:tcW w:w="1753" w:type="dxa"/>
            <w:gridSpan w:val="2"/>
            <w:tcBorders>
              <w:top w:val="single" w:sz="4" w:space="0" w:color="auto"/>
              <w:left w:val="nil"/>
              <w:bottom w:val="single" w:sz="8" w:space="0" w:color="auto"/>
              <w:right w:val="nil"/>
            </w:tcBorders>
            <w:shd w:val="clear" w:color="auto" w:fill="auto"/>
            <w:vAlign w:val="center"/>
            <w:hideMark/>
          </w:tcPr>
          <w:p w14:paraId="336C6056" w14:textId="77777777" w:rsidR="001211DB" w:rsidRPr="001211DB" w:rsidRDefault="001211DB" w:rsidP="001211DB">
            <w:pPr>
              <w:pStyle w:val="Heading1"/>
              <w:jc w:val="center"/>
              <w:rPr>
                <w:b/>
                <w:bCs/>
                <w:sz w:val="20"/>
              </w:rPr>
            </w:pPr>
            <w:bookmarkStart w:id="12" w:name="_Toc132974469"/>
            <w:bookmarkStart w:id="13" w:name="_Toc132974645"/>
            <w:bookmarkStart w:id="14" w:name="_Toc132978829"/>
            <w:r w:rsidRPr="00372BD2">
              <w:rPr>
                <w:sz w:val="20"/>
              </w:rPr>
              <w:t>2022</w:t>
            </w:r>
            <w:bookmarkEnd w:id="12"/>
            <w:bookmarkEnd w:id="13"/>
            <w:bookmarkEnd w:id="14"/>
          </w:p>
        </w:tc>
        <w:tc>
          <w:tcPr>
            <w:tcW w:w="1698" w:type="dxa"/>
            <w:gridSpan w:val="2"/>
            <w:tcBorders>
              <w:top w:val="single" w:sz="4" w:space="0" w:color="auto"/>
              <w:left w:val="nil"/>
              <w:bottom w:val="single" w:sz="8" w:space="0" w:color="auto"/>
              <w:right w:val="nil"/>
            </w:tcBorders>
            <w:shd w:val="clear" w:color="auto" w:fill="auto"/>
            <w:vAlign w:val="center"/>
            <w:hideMark/>
          </w:tcPr>
          <w:p w14:paraId="5FB885DA" w14:textId="77777777" w:rsidR="001211DB" w:rsidRPr="00A65440" w:rsidRDefault="001211DB" w:rsidP="001211DB">
            <w:pPr>
              <w:pStyle w:val="Heading1"/>
              <w:jc w:val="center"/>
              <w:rPr>
                <w:b/>
                <w:bCs/>
                <w:sz w:val="20"/>
              </w:rPr>
            </w:pPr>
            <w:bookmarkStart w:id="15" w:name="_Toc132974470"/>
            <w:bookmarkStart w:id="16" w:name="_Toc132974646"/>
            <w:bookmarkStart w:id="17" w:name="_Toc132978830"/>
            <w:r>
              <w:rPr>
                <w:b/>
                <w:bCs/>
                <w:sz w:val="20"/>
                <w:lang w:val="mk-MK"/>
              </w:rPr>
              <w:t>промена</w:t>
            </w:r>
            <w:r w:rsidRPr="00A65440">
              <w:rPr>
                <w:b/>
                <w:bCs/>
                <w:sz w:val="20"/>
              </w:rPr>
              <w:t xml:space="preserve"> %</w:t>
            </w:r>
            <w:bookmarkEnd w:id="15"/>
            <w:bookmarkEnd w:id="16"/>
            <w:bookmarkEnd w:id="17"/>
          </w:p>
        </w:tc>
      </w:tr>
      <w:tr w:rsidR="001211DB" w:rsidRPr="00801024" w14:paraId="5143BF6A" w14:textId="77777777" w:rsidTr="00372BD2">
        <w:trPr>
          <w:trHeight w:val="403"/>
          <w:jc w:val="center"/>
        </w:trPr>
        <w:tc>
          <w:tcPr>
            <w:tcW w:w="3853" w:type="dxa"/>
            <w:tcBorders>
              <w:top w:val="nil"/>
              <w:left w:val="nil"/>
              <w:bottom w:val="nil"/>
              <w:right w:val="nil"/>
            </w:tcBorders>
            <w:shd w:val="clear" w:color="auto" w:fill="auto"/>
            <w:noWrap/>
            <w:vAlign w:val="bottom"/>
            <w:hideMark/>
          </w:tcPr>
          <w:p w14:paraId="5C272941" w14:textId="77777777" w:rsidR="001211DB" w:rsidRPr="009613BF" w:rsidRDefault="001211DB" w:rsidP="001211DB">
            <w:pPr>
              <w:spacing w:after="0" w:line="240" w:lineRule="auto"/>
              <w:rPr>
                <w:rFonts w:ascii="Times New Roman" w:eastAsia="Times New Roman" w:hAnsi="Times New Roman"/>
                <w:b/>
                <w:bCs/>
                <w:sz w:val="20"/>
                <w:szCs w:val="20"/>
                <w:lang w:val="mk-MK"/>
              </w:rPr>
            </w:pPr>
            <w:r>
              <w:rPr>
                <w:rFonts w:ascii="Times New Roman" w:eastAsia="Times New Roman" w:hAnsi="Times New Roman"/>
                <w:b/>
                <w:bCs/>
                <w:sz w:val="20"/>
                <w:szCs w:val="20"/>
                <w:lang w:val="mk-MK"/>
              </w:rPr>
              <w:t>Индикатори на Билансот на успех</w:t>
            </w:r>
          </w:p>
        </w:tc>
        <w:tc>
          <w:tcPr>
            <w:tcW w:w="1416" w:type="dxa"/>
            <w:gridSpan w:val="2"/>
            <w:tcBorders>
              <w:top w:val="nil"/>
              <w:left w:val="nil"/>
              <w:bottom w:val="nil"/>
              <w:right w:val="nil"/>
            </w:tcBorders>
            <w:shd w:val="clear" w:color="auto" w:fill="auto"/>
            <w:hideMark/>
          </w:tcPr>
          <w:p w14:paraId="65669627" w14:textId="77777777" w:rsidR="001211DB" w:rsidRPr="001211DB" w:rsidRDefault="001211DB" w:rsidP="001211DB">
            <w:pPr>
              <w:spacing w:after="0" w:line="240" w:lineRule="auto"/>
              <w:jc w:val="center"/>
              <w:rPr>
                <w:rFonts w:ascii="Times New Roman" w:eastAsia="Times New Roman" w:hAnsi="Times New Roman"/>
                <w:b/>
                <w:bCs/>
                <w:sz w:val="20"/>
                <w:szCs w:val="20"/>
              </w:rPr>
            </w:pPr>
          </w:p>
        </w:tc>
        <w:tc>
          <w:tcPr>
            <w:tcW w:w="1753" w:type="dxa"/>
            <w:gridSpan w:val="2"/>
            <w:tcBorders>
              <w:top w:val="nil"/>
              <w:left w:val="nil"/>
              <w:bottom w:val="nil"/>
              <w:right w:val="nil"/>
            </w:tcBorders>
            <w:shd w:val="clear" w:color="auto" w:fill="auto"/>
            <w:hideMark/>
          </w:tcPr>
          <w:p w14:paraId="2B9B3375" w14:textId="77777777" w:rsidR="001211DB" w:rsidRPr="001211DB" w:rsidRDefault="001211DB" w:rsidP="001211DB">
            <w:pPr>
              <w:spacing w:after="0" w:line="240" w:lineRule="auto"/>
              <w:jc w:val="center"/>
              <w:rPr>
                <w:rFonts w:ascii="Times New Roman" w:eastAsia="Times New Roman" w:hAnsi="Times New Roman"/>
                <w:sz w:val="20"/>
                <w:szCs w:val="20"/>
              </w:rPr>
            </w:pPr>
          </w:p>
        </w:tc>
        <w:tc>
          <w:tcPr>
            <w:tcW w:w="1698" w:type="dxa"/>
            <w:gridSpan w:val="3"/>
            <w:tcBorders>
              <w:top w:val="nil"/>
              <w:left w:val="nil"/>
              <w:bottom w:val="nil"/>
              <w:right w:val="nil"/>
            </w:tcBorders>
            <w:shd w:val="clear" w:color="auto" w:fill="auto"/>
            <w:hideMark/>
          </w:tcPr>
          <w:p w14:paraId="7C11C872" w14:textId="77777777" w:rsidR="001211DB" w:rsidRPr="00801024" w:rsidRDefault="001211DB" w:rsidP="001211DB">
            <w:pPr>
              <w:spacing w:after="0" w:line="240" w:lineRule="auto"/>
              <w:jc w:val="center"/>
              <w:rPr>
                <w:rFonts w:ascii="Times New Roman" w:eastAsia="Times New Roman" w:hAnsi="Times New Roman"/>
                <w:sz w:val="20"/>
                <w:szCs w:val="20"/>
              </w:rPr>
            </w:pPr>
          </w:p>
        </w:tc>
      </w:tr>
      <w:tr w:rsidR="001211DB" w:rsidRPr="00801024" w14:paraId="27EDA567" w14:textId="77777777" w:rsidTr="00372BD2">
        <w:trPr>
          <w:trHeight w:val="358"/>
          <w:jc w:val="center"/>
        </w:trPr>
        <w:tc>
          <w:tcPr>
            <w:tcW w:w="3853" w:type="dxa"/>
            <w:tcBorders>
              <w:top w:val="nil"/>
              <w:left w:val="nil"/>
              <w:bottom w:val="nil"/>
              <w:right w:val="nil"/>
            </w:tcBorders>
            <w:shd w:val="clear" w:color="auto" w:fill="auto"/>
            <w:noWrap/>
            <w:vAlign w:val="bottom"/>
            <w:hideMark/>
          </w:tcPr>
          <w:p w14:paraId="2F13250B" w14:textId="77777777" w:rsidR="001211DB" w:rsidRPr="009613BF" w:rsidRDefault="001211DB" w:rsidP="001211DB">
            <w:pPr>
              <w:spacing w:after="0" w:line="240" w:lineRule="auto"/>
              <w:rPr>
                <w:rFonts w:ascii="Times New Roman" w:eastAsia="Times New Roman" w:hAnsi="Times New Roman"/>
                <w:sz w:val="20"/>
                <w:szCs w:val="20"/>
                <w:lang w:val="mk-MK"/>
              </w:rPr>
            </w:pPr>
            <w:r>
              <w:rPr>
                <w:rFonts w:ascii="Times New Roman" w:eastAsia="Times New Roman" w:hAnsi="Times New Roman"/>
                <w:sz w:val="20"/>
                <w:szCs w:val="20"/>
                <w:lang w:val="mk-MK"/>
              </w:rPr>
              <w:t>Нето приходи од камати</w:t>
            </w:r>
          </w:p>
        </w:tc>
        <w:tc>
          <w:tcPr>
            <w:tcW w:w="1416" w:type="dxa"/>
            <w:gridSpan w:val="2"/>
            <w:tcBorders>
              <w:top w:val="nil"/>
              <w:left w:val="nil"/>
              <w:bottom w:val="nil"/>
              <w:right w:val="nil"/>
            </w:tcBorders>
            <w:shd w:val="clear" w:color="auto" w:fill="auto"/>
            <w:noWrap/>
            <w:hideMark/>
          </w:tcPr>
          <w:p w14:paraId="0C80E12E"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62.4</w:t>
            </w:r>
          </w:p>
        </w:tc>
        <w:tc>
          <w:tcPr>
            <w:tcW w:w="1753" w:type="dxa"/>
            <w:gridSpan w:val="2"/>
            <w:tcBorders>
              <w:top w:val="nil"/>
              <w:left w:val="nil"/>
              <w:bottom w:val="nil"/>
              <w:right w:val="nil"/>
            </w:tcBorders>
            <w:shd w:val="clear" w:color="auto" w:fill="auto"/>
            <w:noWrap/>
            <w:hideMark/>
          </w:tcPr>
          <w:p w14:paraId="474B4E71"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68.4</w:t>
            </w:r>
          </w:p>
        </w:tc>
        <w:tc>
          <w:tcPr>
            <w:tcW w:w="1698" w:type="dxa"/>
            <w:gridSpan w:val="3"/>
            <w:tcBorders>
              <w:top w:val="nil"/>
              <w:left w:val="nil"/>
              <w:bottom w:val="nil"/>
              <w:right w:val="nil"/>
            </w:tcBorders>
            <w:shd w:val="clear" w:color="auto" w:fill="auto"/>
            <w:noWrap/>
            <w:hideMark/>
          </w:tcPr>
          <w:p w14:paraId="2F0D2FC0"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9.6%</w:t>
            </w:r>
          </w:p>
        </w:tc>
      </w:tr>
      <w:tr w:rsidR="001211DB" w:rsidRPr="00801024" w14:paraId="56E52F43" w14:textId="77777777" w:rsidTr="00372BD2">
        <w:trPr>
          <w:trHeight w:val="283"/>
          <w:jc w:val="center"/>
        </w:trPr>
        <w:tc>
          <w:tcPr>
            <w:tcW w:w="3853" w:type="dxa"/>
            <w:tcBorders>
              <w:top w:val="nil"/>
              <w:left w:val="nil"/>
              <w:bottom w:val="nil"/>
              <w:right w:val="nil"/>
            </w:tcBorders>
            <w:shd w:val="clear" w:color="auto" w:fill="auto"/>
            <w:noWrap/>
            <w:vAlign w:val="bottom"/>
            <w:hideMark/>
          </w:tcPr>
          <w:p w14:paraId="62EF3349" w14:textId="77777777" w:rsidR="001211DB" w:rsidRPr="009613BF" w:rsidRDefault="001211DB" w:rsidP="001211DB">
            <w:pPr>
              <w:spacing w:after="0" w:line="240" w:lineRule="auto"/>
              <w:rPr>
                <w:rFonts w:ascii="Times New Roman" w:eastAsia="Times New Roman" w:hAnsi="Times New Roman"/>
                <w:sz w:val="20"/>
                <w:szCs w:val="20"/>
                <w:lang w:val="mk-MK"/>
              </w:rPr>
            </w:pPr>
            <w:r>
              <w:rPr>
                <w:rFonts w:ascii="Times New Roman" w:eastAsia="Times New Roman" w:hAnsi="Times New Roman"/>
                <w:sz w:val="20"/>
                <w:szCs w:val="20"/>
                <w:lang w:val="mk-MK"/>
              </w:rPr>
              <w:t>Нето приходи од провизии</w:t>
            </w:r>
          </w:p>
        </w:tc>
        <w:tc>
          <w:tcPr>
            <w:tcW w:w="1416" w:type="dxa"/>
            <w:gridSpan w:val="2"/>
            <w:tcBorders>
              <w:top w:val="nil"/>
              <w:left w:val="nil"/>
              <w:bottom w:val="nil"/>
              <w:right w:val="nil"/>
            </w:tcBorders>
            <w:shd w:val="clear" w:color="auto" w:fill="auto"/>
            <w:noWrap/>
            <w:hideMark/>
          </w:tcPr>
          <w:p w14:paraId="0D8F73AE"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13.5</w:t>
            </w:r>
          </w:p>
        </w:tc>
        <w:tc>
          <w:tcPr>
            <w:tcW w:w="1753" w:type="dxa"/>
            <w:gridSpan w:val="2"/>
            <w:tcBorders>
              <w:top w:val="nil"/>
              <w:left w:val="nil"/>
              <w:bottom w:val="nil"/>
              <w:right w:val="nil"/>
            </w:tcBorders>
            <w:shd w:val="clear" w:color="auto" w:fill="auto"/>
            <w:noWrap/>
            <w:hideMark/>
          </w:tcPr>
          <w:p w14:paraId="53558CDD"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14.6</w:t>
            </w:r>
          </w:p>
        </w:tc>
        <w:tc>
          <w:tcPr>
            <w:tcW w:w="1698" w:type="dxa"/>
            <w:gridSpan w:val="3"/>
            <w:tcBorders>
              <w:top w:val="nil"/>
              <w:left w:val="nil"/>
              <w:bottom w:val="nil"/>
              <w:right w:val="nil"/>
            </w:tcBorders>
            <w:shd w:val="clear" w:color="auto" w:fill="auto"/>
            <w:noWrap/>
            <w:hideMark/>
          </w:tcPr>
          <w:p w14:paraId="1409CC09"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8.1%</w:t>
            </w:r>
          </w:p>
        </w:tc>
      </w:tr>
      <w:tr w:rsidR="001211DB" w:rsidRPr="00801024" w14:paraId="6501AEB0" w14:textId="77777777" w:rsidTr="00372BD2">
        <w:trPr>
          <w:trHeight w:val="283"/>
          <w:jc w:val="center"/>
        </w:trPr>
        <w:tc>
          <w:tcPr>
            <w:tcW w:w="3853" w:type="dxa"/>
            <w:tcBorders>
              <w:top w:val="nil"/>
              <w:left w:val="nil"/>
              <w:bottom w:val="nil"/>
              <w:right w:val="nil"/>
            </w:tcBorders>
            <w:shd w:val="clear" w:color="auto" w:fill="auto"/>
            <w:noWrap/>
            <w:vAlign w:val="bottom"/>
            <w:hideMark/>
          </w:tcPr>
          <w:p w14:paraId="31530DCF" w14:textId="77777777" w:rsidR="001211DB" w:rsidRPr="009613BF" w:rsidRDefault="001211DB" w:rsidP="001211DB">
            <w:pPr>
              <w:spacing w:after="0" w:line="240" w:lineRule="auto"/>
              <w:rPr>
                <w:rFonts w:ascii="Times New Roman" w:eastAsia="Times New Roman" w:hAnsi="Times New Roman"/>
                <w:sz w:val="20"/>
                <w:szCs w:val="20"/>
                <w:lang w:val="mk-MK"/>
              </w:rPr>
            </w:pPr>
            <w:r>
              <w:rPr>
                <w:rFonts w:ascii="Times New Roman" w:eastAsia="Times New Roman" w:hAnsi="Times New Roman"/>
                <w:sz w:val="20"/>
                <w:szCs w:val="20"/>
                <w:lang w:val="mk-MK"/>
              </w:rPr>
              <w:t>Вкупни приходи</w:t>
            </w:r>
          </w:p>
        </w:tc>
        <w:tc>
          <w:tcPr>
            <w:tcW w:w="1416" w:type="dxa"/>
            <w:gridSpan w:val="2"/>
            <w:tcBorders>
              <w:top w:val="nil"/>
              <w:left w:val="nil"/>
              <w:bottom w:val="nil"/>
              <w:right w:val="nil"/>
            </w:tcBorders>
            <w:shd w:val="clear" w:color="auto" w:fill="auto"/>
            <w:noWrap/>
            <w:hideMark/>
          </w:tcPr>
          <w:p w14:paraId="5A458A53"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85.2</w:t>
            </w:r>
          </w:p>
        </w:tc>
        <w:tc>
          <w:tcPr>
            <w:tcW w:w="1753" w:type="dxa"/>
            <w:gridSpan w:val="2"/>
            <w:tcBorders>
              <w:top w:val="nil"/>
              <w:left w:val="nil"/>
              <w:bottom w:val="nil"/>
              <w:right w:val="nil"/>
            </w:tcBorders>
            <w:shd w:val="clear" w:color="auto" w:fill="auto"/>
            <w:noWrap/>
            <w:hideMark/>
          </w:tcPr>
          <w:p w14:paraId="38D880F9"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95.2</w:t>
            </w:r>
          </w:p>
        </w:tc>
        <w:tc>
          <w:tcPr>
            <w:tcW w:w="1698" w:type="dxa"/>
            <w:gridSpan w:val="3"/>
            <w:tcBorders>
              <w:top w:val="nil"/>
              <w:left w:val="nil"/>
              <w:bottom w:val="nil"/>
              <w:right w:val="nil"/>
            </w:tcBorders>
            <w:shd w:val="clear" w:color="auto" w:fill="auto"/>
            <w:noWrap/>
            <w:hideMark/>
          </w:tcPr>
          <w:p w14:paraId="64D89CBB"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11.7%</w:t>
            </w:r>
          </w:p>
        </w:tc>
      </w:tr>
      <w:tr w:rsidR="001211DB" w:rsidRPr="00801024" w14:paraId="13298DB7" w14:textId="77777777" w:rsidTr="00372BD2">
        <w:trPr>
          <w:trHeight w:val="283"/>
          <w:jc w:val="center"/>
        </w:trPr>
        <w:tc>
          <w:tcPr>
            <w:tcW w:w="3853" w:type="dxa"/>
            <w:tcBorders>
              <w:top w:val="nil"/>
              <w:left w:val="nil"/>
              <w:bottom w:val="nil"/>
              <w:right w:val="nil"/>
            </w:tcBorders>
            <w:shd w:val="clear" w:color="auto" w:fill="auto"/>
            <w:noWrap/>
            <w:vAlign w:val="bottom"/>
            <w:hideMark/>
          </w:tcPr>
          <w:p w14:paraId="0C978057" w14:textId="77777777" w:rsidR="001211DB" w:rsidRPr="009613BF" w:rsidRDefault="001211DB" w:rsidP="001211DB">
            <w:pPr>
              <w:spacing w:after="0" w:line="240" w:lineRule="auto"/>
              <w:rPr>
                <w:rFonts w:ascii="Times New Roman" w:eastAsia="Times New Roman" w:hAnsi="Times New Roman"/>
                <w:sz w:val="20"/>
                <w:szCs w:val="20"/>
                <w:lang w:val="mk-MK"/>
              </w:rPr>
            </w:pPr>
            <w:r>
              <w:rPr>
                <w:rFonts w:ascii="Times New Roman" w:eastAsia="Times New Roman" w:hAnsi="Times New Roman"/>
                <w:sz w:val="20"/>
                <w:szCs w:val="20"/>
                <w:lang w:val="mk-MK"/>
              </w:rPr>
              <w:t>Оперативни трошоци</w:t>
            </w:r>
          </w:p>
        </w:tc>
        <w:tc>
          <w:tcPr>
            <w:tcW w:w="1416" w:type="dxa"/>
            <w:gridSpan w:val="2"/>
            <w:tcBorders>
              <w:top w:val="nil"/>
              <w:left w:val="nil"/>
              <w:bottom w:val="nil"/>
              <w:right w:val="nil"/>
            </w:tcBorders>
            <w:shd w:val="clear" w:color="auto" w:fill="auto"/>
            <w:noWrap/>
            <w:hideMark/>
          </w:tcPr>
          <w:p w14:paraId="2B233A63"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-29.4</w:t>
            </w:r>
          </w:p>
        </w:tc>
        <w:tc>
          <w:tcPr>
            <w:tcW w:w="1753" w:type="dxa"/>
            <w:gridSpan w:val="2"/>
            <w:tcBorders>
              <w:top w:val="nil"/>
              <w:left w:val="nil"/>
              <w:bottom w:val="nil"/>
              <w:right w:val="nil"/>
            </w:tcBorders>
            <w:shd w:val="clear" w:color="auto" w:fill="auto"/>
            <w:noWrap/>
            <w:hideMark/>
          </w:tcPr>
          <w:p w14:paraId="0183A4F6"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-32.1</w:t>
            </w:r>
          </w:p>
        </w:tc>
        <w:tc>
          <w:tcPr>
            <w:tcW w:w="1698" w:type="dxa"/>
            <w:gridSpan w:val="3"/>
            <w:tcBorders>
              <w:top w:val="nil"/>
              <w:left w:val="nil"/>
              <w:bottom w:val="nil"/>
              <w:right w:val="nil"/>
            </w:tcBorders>
            <w:shd w:val="clear" w:color="auto" w:fill="auto"/>
            <w:noWrap/>
            <w:hideMark/>
          </w:tcPr>
          <w:p w14:paraId="325C1F4D"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9.2%</w:t>
            </w:r>
          </w:p>
        </w:tc>
      </w:tr>
      <w:tr w:rsidR="001211DB" w:rsidRPr="00801024" w14:paraId="6748841A" w14:textId="77777777" w:rsidTr="00372BD2">
        <w:trPr>
          <w:trHeight w:val="283"/>
          <w:jc w:val="center"/>
        </w:trPr>
        <w:tc>
          <w:tcPr>
            <w:tcW w:w="3853" w:type="dxa"/>
            <w:tcBorders>
              <w:top w:val="nil"/>
              <w:left w:val="nil"/>
              <w:bottom w:val="nil"/>
              <w:right w:val="nil"/>
            </w:tcBorders>
            <w:shd w:val="clear" w:color="auto" w:fill="auto"/>
            <w:noWrap/>
            <w:vAlign w:val="bottom"/>
            <w:hideMark/>
          </w:tcPr>
          <w:p w14:paraId="3C2E6210" w14:textId="77777777" w:rsidR="001211DB" w:rsidRPr="009613BF" w:rsidRDefault="001211DB" w:rsidP="001211DB">
            <w:pPr>
              <w:spacing w:after="0" w:line="240" w:lineRule="auto"/>
              <w:rPr>
                <w:rFonts w:ascii="Times New Roman" w:eastAsia="Times New Roman" w:hAnsi="Times New Roman"/>
                <w:sz w:val="20"/>
                <w:szCs w:val="20"/>
                <w:lang w:val="mk-MK"/>
              </w:rPr>
            </w:pPr>
            <w:r>
              <w:rPr>
                <w:rFonts w:ascii="Times New Roman" w:eastAsia="Times New Roman" w:hAnsi="Times New Roman"/>
                <w:sz w:val="20"/>
                <w:szCs w:val="20"/>
                <w:lang w:val="mk-MK"/>
              </w:rPr>
              <w:t>Нето оперативни приходи</w:t>
            </w:r>
          </w:p>
        </w:tc>
        <w:tc>
          <w:tcPr>
            <w:tcW w:w="1416" w:type="dxa"/>
            <w:gridSpan w:val="2"/>
            <w:tcBorders>
              <w:top w:val="nil"/>
              <w:left w:val="nil"/>
              <w:bottom w:val="nil"/>
              <w:right w:val="nil"/>
            </w:tcBorders>
            <w:shd w:val="clear" w:color="auto" w:fill="auto"/>
            <w:noWrap/>
            <w:hideMark/>
          </w:tcPr>
          <w:p w14:paraId="5A74C0F6"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55.7</w:t>
            </w:r>
          </w:p>
        </w:tc>
        <w:tc>
          <w:tcPr>
            <w:tcW w:w="1753" w:type="dxa"/>
            <w:gridSpan w:val="2"/>
            <w:tcBorders>
              <w:top w:val="nil"/>
              <w:left w:val="nil"/>
              <w:bottom w:val="nil"/>
              <w:right w:val="nil"/>
            </w:tcBorders>
            <w:shd w:val="clear" w:color="auto" w:fill="auto"/>
            <w:noWrap/>
            <w:hideMark/>
          </w:tcPr>
          <w:p w14:paraId="4C1B87EA"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63.1</w:t>
            </w:r>
          </w:p>
        </w:tc>
        <w:tc>
          <w:tcPr>
            <w:tcW w:w="1698" w:type="dxa"/>
            <w:gridSpan w:val="3"/>
            <w:tcBorders>
              <w:top w:val="nil"/>
              <w:left w:val="nil"/>
              <w:bottom w:val="nil"/>
              <w:right w:val="nil"/>
            </w:tcBorders>
            <w:shd w:val="clear" w:color="auto" w:fill="auto"/>
            <w:noWrap/>
            <w:hideMark/>
          </w:tcPr>
          <w:p w14:paraId="573A0116"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13.3%</w:t>
            </w:r>
          </w:p>
        </w:tc>
      </w:tr>
      <w:tr w:rsidR="001211DB" w:rsidRPr="00801024" w14:paraId="0C21F19C" w14:textId="77777777" w:rsidTr="00372BD2">
        <w:trPr>
          <w:trHeight w:val="283"/>
          <w:jc w:val="center"/>
        </w:trPr>
        <w:tc>
          <w:tcPr>
            <w:tcW w:w="3853" w:type="dxa"/>
            <w:tcBorders>
              <w:top w:val="nil"/>
              <w:left w:val="nil"/>
              <w:bottom w:val="nil"/>
              <w:right w:val="nil"/>
            </w:tcBorders>
            <w:shd w:val="clear" w:color="auto" w:fill="auto"/>
            <w:noWrap/>
            <w:vAlign w:val="bottom"/>
            <w:hideMark/>
          </w:tcPr>
          <w:p w14:paraId="6400D4DA" w14:textId="77777777" w:rsidR="001211DB" w:rsidRPr="00801024" w:rsidRDefault="001211DB" w:rsidP="001211DB">
            <w:pPr>
              <w:spacing w:after="0" w:line="240" w:lineRule="auto"/>
              <w:rPr>
                <w:rFonts w:ascii="Times New Roman" w:eastAsia="Times New Roman" w:hAnsi="Times New Roman"/>
                <w:sz w:val="20"/>
                <w:szCs w:val="20"/>
              </w:rPr>
            </w:pPr>
            <w:r>
              <w:rPr>
                <w:rFonts w:ascii="Times New Roman" w:eastAsia="Times New Roman" w:hAnsi="Times New Roman"/>
                <w:sz w:val="20"/>
                <w:szCs w:val="20"/>
                <w:lang w:val="mk-MK"/>
              </w:rPr>
              <w:t>Исправка на вредност</w:t>
            </w:r>
            <w:r w:rsidRPr="00801024">
              <w:rPr>
                <w:rFonts w:ascii="Times New Roman" w:eastAsia="Times New Roman" w:hAnsi="Times New Roman"/>
                <w:sz w:val="20"/>
                <w:szCs w:val="20"/>
              </w:rPr>
              <w:t xml:space="preserve"> </w:t>
            </w:r>
          </w:p>
        </w:tc>
        <w:tc>
          <w:tcPr>
            <w:tcW w:w="1416" w:type="dxa"/>
            <w:gridSpan w:val="2"/>
            <w:tcBorders>
              <w:top w:val="nil"/>
              <w:left w:val="nil"/>
              <w:bottom w:val="nil"/>
              <w:right w:val="nil"/>
            </w:tcBorders>
            <w:shd w:val="clear" w:color="auto" w:fill="auto"/>
            <w:noWrap/>
            <w:hideMark/>
          </w:tcPr>
          <w:p w14:paraId="0EF28F42"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-11.5</w:t>
            </w:r>
          </w:p>
        </w:tc>
        <w:tc>
          <w:tcPr>
            <w:tcW w:w="1753" w:type="dxa"/>
            <w:gridSpan w:val="2"/>
            <w:tcBorders>
              <w:top w:val="nil"/>
              <w:left w:val="nil"/>
              <w:bottom w:val="nil"/>
              <w:right w:val="nil"/>
            </w:tcBorders>
            <w:shd w:val="clear" w:color="auto" w:fill="auto"/>
            <w:noWrap/>
            <w:hideMark/>
          </w:tcPr>
          <w:p w14:paraId="0A6E8536"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-20.5</w:t>
            </w:r>
          </w:p>
        </w:tc>
        <w:tc>
          <w:tcPr>
            <w:tcW w:w="1698" w:type="dxa"/>
            <w:gridSpan w:val="3"/>
            <w:tcBorders>
              <w:top w:val="nil"/>
              <w:left w:val="nil"/>
              <w:bottom w:val="nil"/>
              <w:right w:val="nil"/>
            </w:tcBorders>
            <w:shd w:val="clear" w:color="auto" w:fill="auto"/>
            <w:noWrap/>
            <w:hideMark/>
          </w:tcPr>
          <w:p w14:paraId="4CF91EDD"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78.3%</w:t>
            </w:r>
          </w:p>
        </w:tc>
      </w:tr>
      <w:tr w:rsidR="001211DB" w:rsidRPr="00801024" w14:paraId="19720C62" w14:textId="77777777" w:rsidTr="00372BD2">
        <w:trPr>
          <w:trHeight w:val="283"/>
          <w:jc w:val="center"/>
        </w:trPr>
        <w:tc>
          <w:tcPr>
            <w:tcW w:w="3853" w:type="dxa"/>
            <w:tcBorders>
              <w:top w:val="nil"/>
              <w:left w:val="nil"/>
              <w:bottom w:val="nil"/>
              <w:right w:val="nil"/>
            </w:tcBorders>
            <w:shd w:val="clear" w:color="auto" w:fill="auto"/>
            <w:noWrap/>
            <w:vAlign w:val="bottom"/>
            <w:hideMark/>
          </w:tcPr>
          <w:p w14:paraId="0D3EA1AD" w14:textId="77777777" w:rsidR="001211DB" w:rsidRPr="00AC26D1" w:rsidRDefault="001211DB" w:rsidP="001211DB">
            <w:pPr>
              <w:spacing w:after="0" w:line="240" w:lineRule="auto"/>
              <w:rPr>
                <w:rFonts w:ascii="Times New Roman" w:eastAsia="Times New Roman" w:hAnsi="Times New Roman"/>
                <w:sz w:val="20"/>
                <w:szCs w:val="20"/>
                <w:lang w:val="mk-MK"/>
              </w:rPr>
            </w:pPr>
            <w:r>
              <w:rPr>
                <w:rFonts w:ascii="Times New Roman" w:eastAsia="Times New Roman" w:hAnsi="Times New Roman"/>
                <w:sz w:val="20"/>
                <w:szCs w:val="20"/>
                <w:lang w:val="mk-MK"/>
              </w:rPr>
              <w:t>Добивка пред оданочување</w:t>
            </w:r>
          </w:p>
        </w:tc>
        <w:tc>
          <w:tcPr>
            <w:tcW w:w="1416" w:type="dxa"/>
            <w:gridSpan w:val="2"/>
            <w:tcBorders>
              <w:top w:val="nil"/>
              <w:left w:val="nil"/>
              <w:bottom w:val="nil"/>
              <w:right w:val="nil"/>
            </w:tcBorders>
            <w:shd w:val="clear" w:color="auto" w:fill="auto"/>
            <w:noWrap/>
            <w:hideMark/>
          </w:tcPr>
          <w:p w14:paraId="36CD1F92"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44.3</w:t>
            </w:r>
          </w:p>
        </w:tc>
        <w:tc>
          <w:tcPr>
            <w:tcW w:w="1753" w:type="dxa"/>
            <w:gridSpan w:val="2"/>
            <w:tcBorders>
              <w:top w:val="nil"/>
              <w:left w:val="nil"/>
              <w:bottom w:val="nil"/>
              <w:right w:val="nil"/>
            </w:tcBorders>
            <w:shd w:val="clear" w:color="auto" w:fill="auto"/>
            <w:noWrap/>
            <w:hideMark/>
          </w:tcPr>
          <w:p w14:paraId="764106F1"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42.6</w:t>
            </w:r>
          </w:p>
        </w:tc>
        <w:tc>
          <w:tcPr>
            <w:tcW w:w="1698" w:type="dxa"/>
            <w:gridSpan w:val="3"/>
            <w:tcBorders>
              <w:top w:val="nil"/>
              <w:left w:val="nil"/>
              <w:bottom w:val="nil"/>
              <w:right w:val="nil"/>
            </w:tcBorders>
            <w:shd w:val="clear" w:color="auto" w:fill="auto"/>
            <w:noWrap/>
            <w:hideMark/>
          </w:tcPr>
          <w:p w14:paraId="37B442C3"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-3.8%</w:t>
            </w:r>
          </w:p>
        </w:tc>
      </w:tr>
      <w:tr w:rsidR="001211DB" w:rsidRPr="00801024" w14:paraId="57EC6E8A" w14:textId="77777777" w:rsidTr="00372BD2">
        <w:trPr>
          <w:trHeight w:val="283"/>
          <w:jc w:val="center"/>
        </w:trPr>
        <w:tc>
          <w:tcPr>
            <w:tcW w:w="3853" w:type="dxa"/>
            <w:tcBorders>
              <w:top w:val="nil"/>
              <w:left w:val="nil"/>
              <w:bottom w:val="double" w:sz="6" w:space="0" w:color="auto"/>
              <w:right w:val="nil"/>
            </w:tcBorders>
            <w:shd w:val="clear" w:color="auto" w:fill="auto"/>
            <w:noWrap/>
            <w:vAlign w:val="bottom"/>
            <w:hideMark/>
          </w:tcPr>
          <w:p w14:paraId="4751C166" w14:textId="77777777" w:rsidR="001211DB" w:rsidRPr="00231790" w:rsidRDefault="001211DB" w:rsidP="001211DB">
            <w:pPr>
              <w:spacing w:after="0" w:line="240" w:lineRule="auto"/>
              <w:rPr>
                <w:rFonts w:ascii="Times New Roman" w:eastAsia="Times New Roman" w:hAnsi="Times New Roman"/>
                <w:sz w:val="20"/>
                <w:szCs w:val="20"/>
                <w:lang w:val="mk-MK"/>
              </w:rPr>
            </w:pPr>
            <w:r>
              <w:rPr>
                <w:rFonts w:ascii="Times New Roman" w:eastAsia="Times New Roman" w:hAnsi="Times New Roman"/>
                <w:b/>
                <w:bCs/>
                <w:sz w:val="20"/>
                <w:szCs w:val="20"/>
                <w:lang w:val="mk-MK"/>
              </w:rPr>
              <w:t>Нето добивка</w:t>
            </w:r>
          </w:p>
        </w:tc>
        <w:tc>
          <w:tcPr>
            <w:tcW w:w="1416" w:type="dxa"/>
            <w:gridSpan w:val="2"/>
            <w:tcBorders>
              <w:top w:val="nil"/>
              <w:left w:val="nil"/>
              <w:bottom w:val="double" w:sz="6" w:space="0" w:color="auto"/>
              <w:right w:val="nil"/>
            </w:tcBorders>
            <w:shd w:val="clear" w:color="auto" w:fill="auto"/>
            <w:noWrap/>
            <w:hideMark/>
          </w:tcPr>
          <w:p w14:paraId="26754FEE"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40.0</w:t>
            </w:r>
          </w:p>
        </w:tc>
        <w:tc>
          <w:tcPr>
            <w:tcW w:w="1753" w:type="dxa"/>
            <w:gridSpan w:val="2"/>
            <w:tcBorders>
              <w:top w:val="nil"/>
              <w:left w:val="nil"/>
              <w:bottom w:val="double" w:sz="6" w:space="0" w:color="auto"/>
              <w:right w:val="nil"/>
            </w:tcBorders>
            <w:shd w:val="clear" w:color="auto" w:fill="auto"/>
            <w:noWrap/>
            <w:hideMark/>
          </w:tcPr>
          <w:p w14:paraId="7D882A2F"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38.6</w:t>
            </w:r>
          </w:p>
        </w:tc>
        <w:tc>
          <w:tcPr>
            <w:tcW w:w="1698" w:type="dxa"/>
            <w:gridSpan w:val="3"/>
            <w:tcBorders>
              <w:top w:val="nil"/>
              <w:left w:val="nil"/>
              <w:bottom w:val="double" w:sz="6" w:space="0" w:color="auto"/>
              <w:right w:val="nil"/>
            </w:tcBorders>
            <w:shd w:val="clear" w:color="auto" w:fill="auto"/>
            <w:noWrap/>
            <w:hideMark/>
          </w:tcPr>
          <w:p w14:paraId="6BC74D46"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-3.5%</w:t>
            </w:r>
          </w:p>
        </w:tc>
      </w:tr>
      <w:tr w:rsidR="001211DB" w:rsidRPr="00801024" w14:paraId="29FD5E75" w14:textId="77777777" w:rsidTr="00372BD2">
        <w:trPr>
          <w:trHeight w:val="387"/>
          <w:jc w:val="center"/>
        </w:trPr>
        <w:tc>
          <w:tcPr>
            <w:tcW w:w="3853" w:type="dxa"/>
            <w:tcBorders>
              <w:top w:val="nil"/>
              <w:left w:val="nil"/>
              <w:bottom w:val="nil"/>
              <w:right w:val="nil"/>
            </w:tcBorders>
            <w:shd w:val="clear" w:color="auto" w:fill="auto"/>
            <w:noWrap/>
            <w:vAlign w:val="bottom"/>
            <w:hideMark/>
          </w:tcPr>
          <w:p w14:paraId="24598491" w14:textId="77777777" w:rsidR="001211DB" w:rsidRPr="00801024" w:rsidRDefault="001211DB" w:rsidP="001211DB">
            <w:pPr>
              <w:spacing w:after="0" w:line="240" w:lineRule="auto"/>
              <w:rPr>
                <w:rFonts w:ascii="Times New Roman" w:eastAsia="Times New Roman" w:hAnsi="Times New Roman"/>
                <w:b/>
                <w:bCs/>
                <w:sz w:val="20"/>
                <w:szCs w:val="20"/>
              </w:rPr>
            </w:pPr>
          </w:p>
        </w:tc>
        <w:tc>
          <w:tcPr>
            <w:tcW w:w="1416" w:type="dxa"/>
            <w:gridSpan w:val="2"/>
            <w:tcBorders>
              <w:top w:val="nil"/>
              <w:left w:val="nil"/>
              <w:bottom w:val="nil"/>
              <w:right w:val="nil"/>
            </w:tcBorders>
            <w:shd w:val="clear" w:color="auto" w:fill="auto"/>
            <w:noWrap/>
            <w:hideMark/>
          </w:tcPr>
          <w:p w14:paraId="193F7FC0" w14:textId="77777777" w:rsidR="001211DB" w:rsidRPr="00D0343C" w:rsidRDefault="001211DB" w:rsidP="001211DB">
            <w:pPr>
              <w:spacing w:after="0" w:line="240" w:lineRule="auto"/>
              <w:jc w:val="center"/>
              <w:rPr>
                <w:rFonts w:ascii="Times New Roman" w:eastAsia="Times New Roman" w:hAnsi="Times New Roman"/>
                <w:b/>
                <w:bCs/>
                <w:sz w:val="20"/>
                <w:szCs w:val="20"/>
              </w:rPr>
            </w:pPr>
          </w:p>
        </w:tc>
        <w:tc>
          <w:tcPr>
            <w:tcW w:w="1753" w:type="dxa"/>
            <w:gridSpan w:val="2"/>
            <w:tcBorders>
              <w:top w:val="nil"/>
              <w:left w:val="nil"/>
              <w:bottom w:val="nil"/>
              <w:right w:val="nil"/>
            </w:tcBorders>
            <w:shd w:val="clear" w:color="auto" w:fill="auto"/>
            <w:noWrap/>
            <w:hideMark/>
          </w:tcPr>
          <w:p w14:paraId="3414B0C2" w14:textId="77777777" w:rsidR="001211DB" w:rsidRPr="005C54D3" w:rsidRDefault="001211DB" w:rsidP="001211DB">
            <w:pPr>
              <w:spacing w:after="0" w:line="240" w:lineRule="auto"/>
              <w:jc w:val="center"/>
              <w:rPr>
                <w:rFonts w:ascii="Times New Roman" w:eastAsia="Times New Roman" w:hAnsi="Times New Roman"/>
                <w:b/>
                <w:bCs/>
                <w:sz w:val="20"/>
                <w:szCs w:val="20"/>
              </w:rPr>
            </w:pPr>
          </w:p>
        </w:tc>
        <w:tc>
          <w:tcPr>
            <w:tcW w:w="1698" w:type="dxa"/>
            <w:gridSpan w:val="3"/>
            <w:tcBorders>
              <w:top w:val="nil"/>
              <w:left w:val="nil"/>
              <w:bottom w:val="nil"/>
              <w:right w:val="nil"/>
            </w:tcBorders>
            <w:shd w:val="clear" w:color="auto" w:fill="auto"/>
            <w:noWrap/>
            <w:hideMark/>
          </w:tcPr>
          <w:p w14:paraId="18CDCB4F" w14:textId="77777777" w:rsidR="001211DB" w:rsidRPr="00912869" w:rsidRDefault="001211DB" w:rsidP="001211DB">
            <w:pPr>
              <w:spacing w:after="0" w:line="240" w:lineRule="auto"/>
              <w:jc w:val="center"/>
              <w:rPr>
                <w:rFonts w:ascii="Times New Roman" w:eastAsia="Times New Roman" w:hAnsi="Times New Roman"/>
                <w:b/>
                <w:bCs/>
                <w:sz w:val="20"/>
                <w:szCs w:val="20"/>
              </w:rPr>
            </w:pPr>
          </w:p>
        </w:tc>
      </w:tr>
      <w:tr w:rsidR="001211DB" w:rsidRPr="00801024" w14:paraId="27E462FD" w14:textId="77777777" w:rsidTr="00D0343C">
        <w:trPr>
          <w:gridAfter w:val="2"/>
          <w:wAfter w:w="25" w:type="dxa"/>
          <w:trHeight w:val="124"/>
          <w:jc w:val="center"/>
        </w:trPr>
        <w:tc>
          <w:tcPr>
            <w:tcW w:w="3853" w:type="dxa"/>
            <w:tcBorders>
              <w:top w:val="nil"/>
              <w:left w:val="nil"/>
              <w:bottom w:val="nil"/>
              <w:right w:val="nil"/>
            </w:tcBorders>
            <w:shd w:val="clear" w:color="auto" w:fill="auto"/>
            <w:noWrap/>
            <w:vAlign w:val="bottom"/>
            <w:hideMark/>
          </w:tcPr>
          <w:p w14:paraId="781D704A" w14:textId="77777777" w:rsidR="001211DB" w:rsidRPr="00231790" w:rsidRDefault="001211DB" w:rsidP="001211DB">
            <w:pPr>
              <w:spacing w:after="0" w:line="240" w:lineRule="auto"/>
              <w:rPr>
                <w:rFonts w:ascii="Times New Roman" w:eastAsia="Times New Roman" w:hAnsi="Times New Roman"/>
                <w:b/>
                <w:bCs/>
                <w:sz w:val="20"/>
                <w:szCs w:val="20"/>
                <w:lang w:val="mk-MK"/>
              </w:rPr>
            </w:pPr>
            <w:r>
              <w:rPr>
                <w:rFonts w:ascii="Times New Roman" w:eastAsia="Times New Roman" w:hAnsi="Times New Roman"/>
                <w:b/>
                <w:bCs/>
                <w:sz w:val="20"/>
                <w:szCs w:val="20"/>
                <w:lang w:val="mk-MK"/>
              </w:rPr>
              <w:t>Индикатори на Билансот на состојба</w:t>
            </w:r>
          </w:p>
        </w:tc>
        <w:tc>
          <w:tcPr>
            <w:tcW w:w="1391" w:type="dxa"/>
            <w:tcBorders>
              <w:top w:val="nil"/>
              <w:left w:val="nil"/>
              <w:bottom w:val="nil"/>
              <w:right w:val="nil"/>
            </w:tcBorders>
            <w:shd w:val="clear" w:color="auto" w:fill="auto"/>
            <w:noWrap/>
            <w:vAlign w:val="bottom"/>
            <w:hideMark/>
          </w:tcPr>
          <w:p w14:paraId="1C69B328"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2021</w:t>
            </w:r>
          </w:p>
        </w:tc>
        <w:tc>
          <w:tcPr>
            <w:tcW w:w="1753" w:type="dxa"/>
            <w:gridSpan w:val="2"/>
            <w:tcBorders>
              <w:top w:val="nil"/>
              <w:left w:val="nil"/>
              <w:bottom w:val="nil"/>
              <w:right w:val="nil"/>
            </w:tcBorders>
            <w:shd w:val="clear" w:color="auto" w:fill="auto"/>
            <w:noWrap/>
            <w:vAlign w:val="bottom"/>
            <w:hideMark/>
          </w:tcPr>
          <w:p w14:paraId="1E0ACB24"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2022</w:t>
            </w:r>
          </w:p>
        </w:tc>
        <w:tc>
          <w:tcPr>
            <w:tcW w:w="1698" w:type="dxa"/>
            <w:gridSpan w:val="2"/>
            <w:tcBorders>
              <w:top w:val="nil"/>
              <w:left w:val="nil"/>
              <w:bottom w:val="nil"/>
              <w:right w:val="nil"/>
            </w:tcBorders>
            <w:shd w:val="clear" w:color="auto" w:fill="auto"/>
            <w:noWrap/>
            <w:vAlign w:val="bottom"/>
            <w:hideMark/>
          </w:tcPr>
          <w:p w14:paraId="1F1FF41B" w14:textId="77777777" w:rsidR="001211DB" w:rsidRPr="00D0343C" w:rsidRDefault="001211DB" w:rsidP="001211DB">
            <w:pPr>
              <w:spacing w:after="0" w:line="240" w:lineRule="auto"/>
              <w:jc w:val="center"/>
              <w:rPr>
                <w:rFonts w:ascii="Times New Roman" w:eastAsia="Times New Roman" w:hAnsi="Times New Roman"/>
                <w:sz w:val="20"/>
                <w:szCs w:val="20"/>
              </w:rPr>
            </w:pPr>
            <w:r w:rsidRPr="00D0343C">
              <w:rPr>
                <w:rFonts w:ascii="Times New Roman" w:eastAsia="Times New Roman" w:hAnsi="Times New Roman"/>
                <w:b/>
                <w:bCs/>
                <w:sz w:val="20"/>
                <w:szCs w:val="20"/>
                <w:lang w:val="mk-MK"/>
              </w:rPr>
              <w:t>промена</w:t>
            </w:r>
            <w:r w:rsidRPr="00D0343C">
              <w:rPr>
                <w:rFonts w:ascii="Times New Roman" w:eastAsia="Times New Roman" w:hAnsi="Times New Roman"/>
                <w:b/>
                <w:bCs/>
                <w:sz w:val="20"/>
                <w:szCs w:val="20"/>
              </w:rPr>
              <w:t xml:space="preserve"> %</w:t>
            </w:r>
          </w:p>
        </w:tc>
      </w:tr>
      <w:tr w:rsidR="001211DB" w:rsidRPr="00801024" w14:paraId="5600D9DA" w14:textId="77777777" w:rsidTr="00701C5A">
        <w:trPr>
          <w:trHeight w:val="459"/>
          <w:jc w:val="center"/>
        </w:trPr>
        <w:tc>
          <w:tcPr>
            <w:tcW w:w="3853" w:type="dxa"/>
            <w:tcBorders>
              <w:top w:val="nil"/>
              <w:left w:val="nil"/>
              <w:bottom w:val="nil"/>
              <w:right w:val="nil"/>
            </w:tcBorders>
            <w:shd w:val="clear" w:color="auto" w:fill="auto"/>
            <w:noWrap/>
            <w:vAlign w:val="bottom"/>
            <w:hideMark/>
          </w:tcPr>
          <w:p w14:paraId="7FB639B5" w14:textId="77777777" w:rsidR="001211DB" w:rsidRPr="00231790" w:rsidRDefault="001211DB" w:rsidP="001211DB">
            <w:pPr>
              <w:spacing w:after="0" w:line="240" w:lineRule="auto"/>
              <w:rPr>
                <w:rFonts w:ascii="Times New Roman" w:eastAsia="Times New Roman" w:hAnsi="Times New Roman"/>
                <w:b/>
                <w:bCs/>
                <w:sz w:val="20"/>
                <w:szCs w:val="20"/>
                <w:lang w:val="mk-MK"/>
              </w:rPr>
            </w:pPr>
            <w:r>
              <w:rPr>
                <w:rFonts w:ascii="Times New Roman" w:eastAsia="Times New Roman" w:hAnsi="Times New Roman"/>
                <w:b/>
                <w:bCs/>
                <w:sz w:val="20"/>
                <w:szCs w:val="20"/>
                <w:lang w:val="mk-MK"/>
              </w:rPr>
              <w:t>Вкупна актива</w:t>
            </w:r>
          </w:p>
        </w:tc>
        <w:tc>
          <w:tcPr>
            <w:tcW w:w="1416" w:type="dxa"/>
            <w:gridSpan w:val="2"/>
            <w:tcBorders>
              <w:top w:val="nil"/>
              <w:left w:val="nil"/>
              <w:bottom w:val="nil"/>
              <w:right w:val="nil"/>
            </w:tcBorders>
            <w:shd w:val="clear" w:color="auto" w:fill="auto"/>
            <w:hideMark/>
          </w:tcPr>
          <w:p w14:paraId="0CD0BEA2" w14:textId="77777777" w:rsidR="001211DB" w:rsidRPr="00D0343C" w:rsidRDefault="001211DB" w:rsidP="001211DB">
            <w:pPr>
              <w:spacing w:after="0" w:line="240" w:lineRule="auto"/>
              <w:jc w:val="center"/>
              <w:rPr>
                <w:rFonts w:ascii="Times New Roman" w:eastAsia="Times New Roman" w:hAnsi="Times New Roman"/>
                <w:b/>
                <w:bCs/>
                <w:sz w:val="20"/>
                <w:szCs w:val="20"/>
              </w:rPr>
            </w:pPr>
            <w:r w:rsidRPr="00372BD2">
              <w:rPr>
                <w:rFonts w:ascii="Times New Roman" w:hAnsi="Times New Roman"/>
                <w:sz w:val="20"/>
                <w:szCs w:val="20"/>
              </w:rPr>
              <w:t>1,851.5</w:t>
            </w:r>
          </w:p>
        </w:tc>
        <w:tc>
          <w:tcPr>
            <w:tcW w:w="1753" w:type="dxa"/>
            <w:gridSpan w:val="2"/>
            <w:tcBorders>
              <w:top w:val="nil"/>
              <w:left w:val="nil"/>
              <w:bottom w:val="nil"/>
              <w:right w:val="nil"/>
            </w:tcBorders>
            <w:shd w:val="clear" w:color="auto" w:fill="auto"/>
            <w:hideMark/>
          </w:tcPr>
          <w:p w14:paraId="3F2DF34A" w14:textId="77777777" w:rsidR="001211DB" w:rsidRPr="00D0343C" w:rsidRDefault="001211DB" w:rsidP="001211DB">
            <w:pPr>
              <w:spacing w:after="0" w:line="240" w:lineRule="auto"/>
              <w:jc w:val="center"/>
              <w:rPr>
                <w:rFonts w:ascii="Times New Roman" w:eastAsia="Times New Roman" w:hAnsi="Times New Roman"/>
                <w:b/>
                <w:bCs/>
                <w:sz w:val="20"/>
                <w:szCs w:val="20"/>
              </w:rPr>
            </w:pPr>
            <w:r w:rsidRPr="00372BD2">
              <w:rPr>
                <w:rFonts w:ascii="Times New Roman" w:hAnsi="Times New Roman"/>
                <w:sz w:val="20"/>
                <w:szCs w:val="20"/>
              </w:rPr>
              <w:t>1,996.7</w:t>
            </w:r>
          </w:p>
        </w:tc>
        <w:tc>
          <w:tcPr>
            <w:tcW w:w="1698" w:type="dxa"/>
            <w:gridSpan w:val="3"/>
            <w:tcBorders>
              <w:top w:val="nil"/>
              <w:left w:val="nil"/>
              <w:bottom w:val="nil"/>
              <w:right w:val="nil"/>
            </w:tcBorders>
            <w:shd w:val="clear" w:color="auto" w:fill="auto"/>
            <w:hideMark/>
          </w:tcPr>
          <w:p w14:paraId="60DB3EB0" w14:textId="77777777" w:rsidR="001211DB" w:rsidRPr="00D0343C" w:rsidRDefault="001211DB" w:rsidP="001211DB">
            <w:pPr>
              <w:spacing w:after="0" w:line="240" w:lineRule="auto"/>
              <w:jc w:val="center"/>
              <w:rPr>
                <w:rFonts w:ascii="Times New Roman" w:eastAsia="Times New Roman" w:hAnsi="Times New Roman"/>
                <w:b/>
                <w:bCs/>
                <w:sz w:val="20"/>
                <w:szCs w:val="20"/>
              </w:rPr>
            </w:pPr>
            <w:r w:rsidRPr="00372BD2">
              <w:rPr>
                <w:rFonts w:ascii="Times New Roman" w:hAnsi="Times New Roman"/>
                <w:sz w:val="20"/>
                <w:szCs w:val="20"/>
              </w:rPr>
              <w:t>7.8%</w:t>
            </w:r>
          </w:p>
        </w:tc>
      </w:tr>
      <w:tr w:rsidR="001211DB" w:rsidRPr="00801024" w14:paraId="426F0191" w14:textId="77777777" w:rsidTr="00372BD2">
        <w:trPr>
          <w:trHeight w:val="367"/>
          <w:jc w:val="center"/>
        </w:trPr>
        <w:tc>
          <w:tcPr>
            <w:tcW w:w="3853" w:type="dxa"/>
            <w:tcBorders>
              <w:top w:val="nil"/>
              <w:left w:val="nil"/>
              <w:bottom w:val="nil"/>
              <w:right w:val="nil"/>
            </w:tcBorders>
            <w:shd w:val="clear" w:color="auto" w:fill="auto"/>
            <w:noWrap/>
            <w:vAlign w:val="bottom"/>
            <w:hideMark/>
          </w:tcPr>
          <w:p w14:paraId="79B259F5" w14:textId="77777777" w:rsidR="001211DB" w:rsidRPr="00801024" w:rsidRDefault="001211DB" w:rsidP="001211DB">
            <w:pPr>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lang w:val="mk-MK"/>
              </w:rPr>
              <w:t>Вкупен капитал</w:t>
            </w:r>
            <w:r w:rsidRPr="00801024">
              <w:rPr>
                <w:rFonts w:ascii="Times New Roman" w:eastAsia="Times New Roman" w:hAnsi="Times New Roman"/>
                <w:b/>
                <w:bCs/>
                <w:sz w:val="20"/>
                <w:szCs w:val="20"/>
              </w:rPr>
              <w:t xml:space="preserve"> </w:t>
            </w:r>
          </w:p>
        </w:tc>
        <w:tc>
          <w:tcPr>
            <w:tcW w:w="1416" w:type="dxa"/>
            <w:gridSpan w:val="2"/>
            <w:tcBorders>
              <w:top w:val="nil"/>
              <w:left w:val="nil"/>
              <w:bottom w:val="nil"/>
              <w:right w:val="nil"/>
            </w:tcBorders>
            <w:shd w:val="clear" w:color="auto" w:fill="auto"/>
            <w:noWrap/>
            <w:hideMark/>
          </w:tcPr>
          <w:p w14:paraId="4A31FD12" w14:textId="77777777" w:rsidR="001211DB" w:rsidRPr="00D0343C" w:rsidRDefault="001211DB" w:rsidP="001211DB">
            <w:pPr>
              <w:spacing w:after="0" w:line="240" w:lineRule="auto"/>
              <w:jc w:val="center"/>
              <w:rPr>
                <w:rFonts w:ascii="Times New Roman" w:eastAsia="Times New Roman" w:hAnsi="Times New Roman"/>
                <w:b/>
                <w:bCs/>
                <w:sz w:val="20"/>
                <w:szCs w:val="20"/>
              </w:rPr>
            </w:pPr>
            <w:r w:rsidRPr="00372BD2">
              <w:rPr>
                <w:rFonts w:ascii="Times New Roman" w:hAnsi="Times New Roman"/>
                <w:sz w:val="20"/>
                <w:szCs w:val="20"/>
              </w:rPr>
              <w:t>321.2</w:t>
            </w:r>
          </w:p>
        </w:tc>
        <w:tc>
          <w:tcPr>
            <w:tcW w:w="1753" w:type="dxa"/>
            <w:gridSpan w:val="2"/>
            <w:tcBorders>
              <w:top w:val="nil"/>
              <w:left w:val="nil"/>
              <w:bottom w:val="nil"/>
              <w:right w:val="nil"/>
            </w:tcBorders>
            <w:shd w:val="clear" w:color="auto" w:fill="auto"/>
            <w:noWrap/>
            <w:hideMark/>
          </w:tcPr>
          <w:p w14:paraId="7AC6791F" w14:textId="77777777" w:rsidR="001211DB" w:rsidRPr="00D0343C" w:rsidRDefault="001211DB" w:rsidP="001211DB">
            <w:pPr>
              <w:spacing w:after="0" w:line="240" w:lineRule="auto"/>
              <w:jc w:val="center"/>
              <w:rPr>
                <w:rFonts w:ascii="Times New Roman" w:eastAsia="Times New Roman" w:hAnsi="Times New Roman"/>
                <w:b/>
                <w:bCs/>
                <w:sz w:val="20"/>
                <w:szCs w:val="20"/>
              </w:rPr>
            </w:pPr>
            <w:r w:rsidRPr="00372BD2">
              <w:rPr>
                <w:rFonts w:ascii="Times New Roman" w:hAnsi="Times New Roman"/>
                <w:sz w:val="20"/>
                <w:szCs w:val="20"/>
              </w:rPr>
              <w:t>361.0</w:t>
            </w:r>
          </w:p>
        </w:tc>
        <w:tc>
          <w:tcPr>
            <w:tcW w:w="1698" w:type="dxa"/>
            <w:gridSpan w:val="3"/>
            <w:tcBorders>
              <w:top w:val="nil"/>
              <w:left w:val="nil"/>
              <w:bottom w:val="nil"/>
              <w:right w:val="nil"/>
            </w:tcBorders>
            <w:shd w:val="clear" w:color="auto" w:fill="auto"/>
            <w:noWrap/>
            <w:hideMark/>
          </w:tcPr>
          <w:p w14:paraId="2B219572" w14:textId="77777777" w:rsidR="001211DB" w:rsidRPr="00D0343C" w:rsidRDefault="001211DB" w:rsidP="001211DB">
            <w:pPr>
              <w:spacing w:after="0" w:line="240" w:lineRule="auto"/>
              <w:jc w:val="center"/>
              <w:rPr>
                <w:rFonts w:ascii="Times New Roman" w:eastAsia="Times New Roman" w:hAnsi="Times New Roman"/>
                <w:b/>
                <w:bCs/>
                <w:sz w:val="20"/>
                <w:szCs w:val="20"/>
              </w:rPr>
            </w:pPr>
            <w:r w:rsidRPr="00372BD2">
              <w:rPr>
                <w:rFonts w:ascii="Times New Roman" w:hAnsi="Times New Roman"/>
                <w:sz w:val="20"/>
                <w:szCs w:val="20"/>
              </w:rPr>
              <w:t>12.4%</w:t>
            </w:r>
          </w:p>
        </w:tc>
      </w:tr>
      <w:tr w:rsidR="001211DB" w:rsidRPr="00801024" w14:paraId="0D008385" w14:textId="77777777" w:rsidTr="00372BD2">
        <w:trPr>
          <w:trHeight w:val="297"/>
          <w:jc w:val="center"/>
        </w:trPr>
        <w:tc>
          <w:tcPr>
            <w:tcW w:w="3853" w:type="dxa"/>
            <w:tcBorders>
              <w:top w:val="nil"/>
              <w:left w:val="nil"/>
              <w:bottom w:val="nil"/>
              <w:right w:val="nil"/>
            </w:tcBorders>
            <w:shd w:val="clear" w:color="auto" w:fill="auto"/>
            <w:noWrap/>
            <w:vAlign w:val="bottom"/>
            <w:hideMark/>
          </w:tcPr>
          <w:p w14:paraId="379BF8A2" w14:textId="77777777" w:rsidR="001211DB" w:rsidRPr="00231790" w:rsidRDefault="001211DB" w:rsidP="001211DB">
            <w:pPr>
              <w:spacing w:after="0" w:line="240" w:lineRule="auto"/>
              <w:rPr>
                <w:rFonts w:ascii="Times New Roman" w:eastAsia="Times New Roman" w:hAnsi="Times New Roman"/>
                <w:b/>
                <w:bCs/>
                <w:sz w:val="20"/>
                <w:szCs w:val="20"/>
                <w:lang w:val="mk-MK"/>
              </w:rPr>
            </w:pPr>
            <w:r>
              <w:rPr>
                <w:rFonts w:ascii="Times New Roman" w:eastAsia="Times New Roman" w:hAnsi="Times New Roman"/>
                <w:sz w:val="20"/>
                <w:szCs w:val="20"/>
                <w:lang w:val="mk-MK"/>
              </w:rPr>
              <w:t>Регулаторен капитал</w:t>
            </w:r>
          </w:p>
        </w:tc>
        <w:tc>
          <w:tcPr>
            <w:tcW w:w="1416" w:type="dxa"/>
            <w:gridSpan w:val="2"/>
            <w:tcBorders>
              <w:top w:val="nil"/>
              <w:left w:val="nil"/>
              <w:bottom w:val="nil"/>
              <w:right w:val="nil"/>
            </w:tcBorders>
            <w:shd w:val="clear" w:color="auto" w:fill="auto"/>
            <w:noWrap/>
            <w:hideMark/>
          </w:tcPr>
          <w:p w14:paraId="759E3A56" w14:textId="77777777" w:rsidR="001211DB" w:rsidRPr="00D0343C" w:rsidRDefault="001211DB" w:rsidP="001211DB">
            <w:pPr>
              <w:spacing w:after="0" w:line="240" w:lineRule="auto"/>
              <w:jc w:val="center"/>
              <w:rPr>
                <w:rFonts w:ascii="Times New Roman" w:eastAsia="Times New Roman" w:hAnsi="Times New Roman"/>
                <w:b/>
                <w:bCs/>
                <w:sz w:val="20"/>
                <w:szCs w:val="20"/>
              </w:rPr>
            </w:pPr>
            <w:r w:rsidRPr="00372BD2">
              <w:rPr>
                <w:rFonts w:ascii="Times New Roman" w:hAnsi="Times New Roman"/>
                <w:sz w:val="20"/>
                <w:szCs w:val="20"/>
              </w:rPr>
              <w:t>241.8</w:t>
            </w:r>
          </w:p>
        </w:tc>
        <w:tc>
          <w:tcPr>
            <w:tcW w:w="1753" w:type="dxa"/>
            <w:gridSpan w:val="2"/>
            <w:tcBorders>
              <w:top w:val="nil"/>
              <w:left w:val="nil"/>
              <w:bottom w:val="nil"/>
              <w:right w:val="nil"/>
            </w:tcBorders>
            <w:shd w:val="clear" w:color="auto" w:fill="auto"/>
            <w:noWrap/>
            <w:hideMark/>
          </w:tcPr>
          <w:p w14:paraId="5230ED20" w14:textId="77777777" w:rsidR="001211DB" w:rsidRPr="00D0343C" w:rsidRDefault="001211DB" w:rsidP="001211DB">
            <w:pPr>
              <w:spacing w:after="0" w:line="240" w:lineRule="auto"/>
              <w:jc w:val="center"/>
              <w:rPr>
                <w:rFonts w:ascii="Times New Roman" w:eastAsia="Times New Roman" w:hAnsi="Times New Roman"/>
                <w:b/>
                <w:bCs/>
                <w:sz w:val="20"/>
                <w:szCs w:val="20"/>
              </w:rPr>
            </w:pPr>
            <w:r w:rsidRPr="00372BD2">
              <w:rPr>
                <w:rFonts w:ascii="Times New Roman" w:hAnsi="Times New Roman"/>
                <w:sz w:val="20"/>
                <w:szCs w:val="20"/>
              </w:rPr>
              <w:t>273.0</w:t>
            </w:r>
          </w:p>
        </w:tc>
        <w:tc>
          <w:tcPr>
            <w:tcW w:w="1698" w:type="dxa"/>
            <w:gridSpan w:val="3"/>
            <w:tcBorders>
              <w:top w:val="nil"/>
              <w:left w:val="nil"/>
              <w:bottom w:val="nil"/>
              <w:right w:val="nil"/>
            </w:tcBorders>
            <w:shd w:val="clear" w:color="auto" w:fill="auto"/>
            <w:noWrap/>
            <w:hideMark/>
          </w:tcPr>
          <w:p w14:paraId="3A05D671" w14:textId="77777777" w:rsidR="001211DB" w:rsidRPr="00D0343C" w:rsidRDefault="001211DB" w:rsidP="001211DB">
            <w:pPr>
              <w:spacing w:after="0" w:line="240" w:lineRule="auto"/>
              <w:jc w:val="center"/>
              <w:rPr>
                <w:rFonts w:ascii="Times New Roman" w:eastAsia="Times New Roman" w:hAnsi="Times New Roman"/>
                <w:b/>
                <w:bCs/>
                <w:sz w:val="20"/>
                <w:szCs w:val="20"/>
              </w:rPr>
            </w:pPr>
            <w:r w:rsidRPr="00372BD2">
              <w:rPr>
                <w:rFonts w:ascii="Times New Roman" w:hAnsi="Times New Roman"/>
                <w:sz w:val="20"/>
                <w:szCs w:val="20"/>
              </w:rPr>
              <w:t>12.9%</w:t>
            </w:r>
          </w:p>
        </w:tc>
      </w:tr>
      <w:tr w:rsidR="001211DB" w:rsidRPr="00801024" w14:paraId="22E6834C" w14:textId="77777777" w:rsidTr="00372BD2">
        <w:trPr>
          <w:trHeight w:val="283"/>
          <w:jc w:val="center"/>
        </w:trPr>
        <w:tc>
          <w:tcPr>
            <w:tcW w:w="3853" w:type="dxa"/>
            <w:tcBorders>
              <w:top w:val="nil"/>
              <w:left w:val="nil"/>
              <w:bottom w:val="nil"/>
              <w:right w:val="nil"/>
            </w:tcBorders>
            <w:shd w:val="clear" w:color="auto" w:fill="auto"/>
            <w:noWrap/>
            <w:vAlign w:val="bottom"/>
            <w:hideMark/>
          </w:tcPr>
          <w:p w14:paraId="67C25051" w14:textId="77777777" w:rsidR="001211DB" w:rsidRPr="00801024" w:rsidRDefault="001211DB" w:rsidP="001211DB">
            <w:pPr>
              <w:spacing w:after="0" w:line="240" w:lineRule="auto"/>
              <w:rPr>
                <w:rFonts w:ascii="Times New Roman" w:eastAsia="Times New Roman" w:hAnsi="Times New Roman"/>
                <w:sz w:val="20"/>
                <w:szCs w:val="20"/>
              </w:rPr>
            </w:pPr>
            <w:r>
              <w:rPr>
                <w:rFonts w:ascii="Times New Roman" w:eastAsia="Times New Roman" w:hAnsi="Times New Roman"/>
                <w:sz w:val="20"/>
                <w:szCs w:val="20"/>
                <w:lang w:val="mk-MK"/>
              </w:rPr>
              <w:t>Кредити на клиенти</w:t>
            </w:r>
            <w:r w:rsidRPr="00801024">
              <w:rPr>
                <w:rFonts w:ascii="Times New Roman" w:eastAsia="Times New Roman" w:hAnsi="Times New Roman"/>
                <w:sz w:val="20"/>
                <w:szCs w:val="20"/>
              </w:rPr>
              <w:t xml:space="preserve"> (</w:t>
            </w:r>
            <w:r>
              <w:rPr>
                <w:rFonts w:ascii="Times New Roman" w:eastAsia="Times New Roman" w:hAnsi="Times New Roman"/>
                <w:sz w:val="20"/>
                <w:szCs w:val="20"/>
                <w:lang w:val="mk-MK"/>
              </w:rPr>
              <w:t>нето</w:t>
            </w:r>
            <w:r w:rsidRPr="00801024">
              <w:rPr>
                <w:rFonts w:ascii="Times New Roman" w:eastAsia="Times New Roman" w:hAnsi="Times New Roman"/>
                <w:sz w:val="20"/>
                <w:szCs w:val="20"/>
              </w:rPr>
              <w:t>)</w:t>
            </w:r>
          </w:p>
        </w:tc>
        <w:tc>
          <w:tcPr>
            <w:tcW w:w="1416" w:type="dxa"/>
            <w:gridSpan w:val="2"/>
            <w:tcBorders>
              <w:top w:val="nil"/>
              <w:left w:val="nil"/>
              <w:bottom w:val="nil"/>
              <w:right w:val="nil"/>
            </w:tcBorders>
            <w:shd w:val="clear" w:color="auto" w:fill="auto"/>
            <w:noWrap/>
            <w:hideMark/>
          </w:tcPr>
          <w:p w14:paraId="24902CD0"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1,266.3</w:t>
            </w:r>
          </w:p>
        </w:tc>
        <w:tc>
          <w:tcPr>
            <w:tcW w:w="1753" w:type="dxa"/>
            <w:gridSpan w:val="2"/>
            <w:tcBorders>
              <w:top w:val="nil"/>
              <w:left w:val="nil"/>
              <w:bottom w:val="nil"/>
              <w:right w:val="nil"/>
            </w:tcBorders>
            <w:shd w:val="clear" w:color="auto" w:fill="auto"/>
            <w:noWrap/>
            <w:hideMark/>
          </w:tcPr>
          <w:p w14:paraId="4A13E4EE"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1,396.8</w:t>
            </w:r>
          </w:p>
        </w:tc>
        <w:tc>
          <w:tcPr>
            <w:tcW w:w="1698" w:type="dxa"/>
            <w:gridSpan w:val="3"/>
            <w:tcBorders>
              <w:top w:val="nil"/>
              <w:left w:val="nil"/>
              <w:bottom w:val="nil"/>
              <w:right w:val="nil"/>
            </w:tcBorders>
            <w:shd w:val="clear" w:color="auto" w:fill="auto"/>
            <w:noWrap/>
            <w:hideMark/>
          </w:tcPr>
          <w:p w14:paraId="78424F3B"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10.3%</w:t>
            </w:r>
          </w:p>
        </w:tc>
      </w:tr>
      <w:tr w:rsidR="001211DB" w:rsidRPr="00801024" w14:paraId="6A07239D" w14:textId="77777777" w:rsidTr="00372BD2">
        <w:trPr>
          <w:trHeight w:val="313"/>
          <w:jc w:val="center"/>
        </w:trPr>
        <w:tc>
          <w:tcPr>
            <w:tcW w:w="3853" w:type="dxa"/>
            <w:tcBorders>
              <w:top w:val="nil"/>
              <w:left w:val="nil"/>
              <w:bottom w:val="nil"/>
              <w:right w:val="nil"/>
            </w:tcBorders>
            <w:shd w:val="clear" w:color="auto" w:fill="auto"/>
            <w:noWrap/>
            <w:vAlign w:val="bottom"/>
            <w:hideMark/>
          </w:tcPr>
          <w:p w14:paraId="0047ADA4" w14:textId="77777777" w:rsidR="001211DB" w:rsidRPr="00801024" w:rsidRDefault="001211DB" w:rsidP="001211DB">
            <w:pPr>
              <w:spacing w:after="0" w:line="240" w:lineRule="auto"/>
              <w:rPr>
                <w:rFonts w:ascii="Times New Roman" w:eastAsia="Times New Roman" w:hAnsi="Times New Roman"/>
                <w:sz w:val="20"/>
                <w:szCs w:val="20"/>
              </w:rPr>
            </w:pPr>
            <w:r>
              <w:rPr>
                <w:rFonts w:ascii="Times New Roman" w:eastAsia="Times New Roman" w:hAnsi="Times New Roman"/>
                <w:b/>
                <w:bCs/>
                <w:sz w:val="20"/>
                <w:szCs w:val="20"/>
                <w:lang w:val="mk-MK"/>
              </w:rPr>
              <w:t>Вкупни кредити</w:t>
            </w:r>
            <w:r w:rsidRPr="00801024">
              <w:rPr>
                <w:rFonts w:ascii="Times New Roman" w:eastAsia="Times New Roman" w:hAnsi="Times New Roman"/>
                <w:b/>
                <w:bCs/>
                <w:sz w:val="20"/>
                <w:szCs w:val="20"/>
              </w:rPr>
              <w:t xml:space="preserve"> (</w:t>
            </w:r>
            <w:r>
              <w:rPr>
                <w:rFonts w:ascii="Times New Roman" w:eastAsia="Times New Roman" w:hAnsi="Times New Roman"/>
                <w:b/>
                <w:bCs/>
                <w:sz w:val="20"/>
                <w:szCs w:val="20"/>
                <w:lang w:val="mk-MK"/>
              </w:rPr>
              <w:t>бруто</w:t>
            </w:r>
            <w:r w:rsidRPr="00801024">
              <w:rPr>
                <w:rFonts w:ascii="Times New Roman" w:eastAsia="Times New Roman" w:hAnsi="Times New Roman"/>
                <w:b/>
                <w:bCs/>
                <w:sz w:val="20"/>
                <w:szCs w:val="20"/>
              </w:rPr>
              <w:t>)</w:t>
            </w:r>
          </w:p>
        </w:tc>
        <w:tc>
          <w:tcPr>
            <w:tcW w:w="1416" w:type="dxa"/>
            <w:gridSpan w:val="2"/>
            <w:tcBorders>
              <w:top w:val="nil"/>
              <w:left w:val="nil"/>
              <w:bottom w:val="nil"/>
              <w:right w:val="nil"/>
            </w:tcBorders>
            <w:shd w:val="clear" w:color="auto" w:fill="auto"/>
            <w:noWrap/>
            <w:hideMark/>
          </w:tcPr>
          <w:p w14:paraId="58DD1470"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1,309.4</w:t>
            </w:r>
          </w:p>
        </w:tc>
        <w:tc>
          <w:tcPr>
            <w:tcW w:w="1753" w:type="dxa"/>
            <w:gridSpan w:val="2"/>
            <w:tcBorders>
              <w:top w:val="nil"/>
              <w:left w:val="nil"/>
              <w:bottom w:val="nil"/>
              <w:right w:val="nil"/>
            </w:tcBorders>
            <w:shd w:val="clear" w:color="auto" w:fill="auto"/>
            <w:noWrap/>
            <w:hideMark/>
          </w:tcPr>
          <w:p w14:paraId="3465FECE"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1,449.1</w:t>
            </w:r>
          </w:p>
        </w:tc>
        <w:tc>
          <w:tcPr>
            <w:tcW w:w="1698" w:type="dxa"/>
            <w:gridSpan w:val="3"/>
            <w:tcBorders>
              <w:top w:val="nil"/>
              <w:left w:val="nil"/>
              <w:bottom w:val="nil"/>
              <w:right w:val="nil"/>
            </w:tcBorders>
            <w:shd w:val="clear" w:color="auto" w:fill="auto"/>
            <w:noWrap/>
            <w:hideMark/>
          </w:tcPr>
          <w:p w14:paraId="47ECFF33"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10.7%</w:t>
            </w:r>
          </w:p>
        </w:tc>
      </w:tr>
      <w:tr w:rsidR="001211DB" w:rsidRPr="00801024" w14:paraId="4A56C3AF" w14:textId="77777777" w:rsidTr="00372BD2">
        <w:trPr>
          <w:trHeight w:val="328"/>
          <w:jc w:val="center"/>
        </w:trPr>
        <w:tc>
          <w:tcPr>
            <w:tcW w:w="3853" w:type="dxa"/>
            <w:tcBorders>
              <w:top w:val="nil"/>
              <w:left w:val="nil"/>
              <w:bottom w:val="nil"/>
              <w:right w:val="nil"/>
            </w:tcBorders>
            <w:shd w:val="clear" w:color="auto" w:fill="auto"/>
            <w:noWrap/>
            <w:vAlign w:val="bottom"/>
            <w:hideMark/>
          </w:tcPr>
          <w:p w14:paraId="2EEE20F1" w14:textId="77777777" w:rsidR="001211DB" w:rsidRPr="00231790" w:rsidRDefault="001211DB" w:rsidP="001211DB">
            <w:pPr>
              <w:spacing w:after="0" w:line="240" w:lineRule="auto"/>
              <w:rPr>
                <w:rFonts w:ascii="Times New Roman" w:eastAsia="Times New Roman" w:hAnsi="Times New Roman"/>
                <w:b/>
                <w:bCs/>
                <w:sz w:val="20"/>
                <w:szCs w:val="20"/>
                <w:lang w:val="mk-MK"/>
              </w:rPr>
            </w:pPr>
            <w:r w:rsidRPr="00801024">
              <w:rPr>
                <w:rFonts w:ascii="Times New Roman" w:eastAsia="Times New Roman" w:hAnsi="Times New Roman"/>
                <w:sz w:val="20"/>
                <w:szCs w:val="20"/>
              </w:rPr>
              <w:t xml:space="preserve">  </w:t>
            </w:r>
            <w:r>
              <w:rPr>
                <w:rFonts w:ascii="Times New Roman" w:eastAsia="Times New Roman" w:hAnsi="Times New Roman"/>
                <w:sz w:val="20"/>
                <w:szCs w:val="20"/>
                <w:lang w:val="mk-MK"/>
              </w:rPr>
              <w:t>Кредити на население</w:t>
            </w:r>
          </w:p>
        </w:tc>
        <w:tc>
          <w:tcPr>
            <w:tcW w:w="1416" w:type="dxa"/>
            <w:gridSpan w:val="2"/>
            <w:tcBorders>
              <w:top w:val="nil"/>
              <w:left w:val="nil"/>
              <w:bottom w:val="nil"/>
              <w:right w:val="nil"/>
            </w:tcBorders>
            <w:shd w:val="clear" w:color="auto" w:fill="auto"/>
            <w:noWrap/>
            <w:hideMark/>
          </w:tcPr>
          <w:p w14:paraId="00728E67" w14:textId="77777777" w:rsidR="001211DB" w:rsidRPr="00D0343C" w:rsidRDefault="001211DB" w:rsidP="001211DB">
            <w:pPr>
              <w:spacing w:after="0" w:line="240" w:lineRule="auto"/>
              <w:jc w:val="center"/>
              <w:rPr>
                <w:rFonts w:ascii="Times New Roman" w:eastAsia="Times New Roman" w:hAnsi="Times New Roman"/>
                <w:b/>
                <w:bCs/>
                <w:sz w:val="20"/>
                <w:szCs w:val="20"/>
              </w:rPr>
            </w:pPr>
            <w:r w:rsidRPr="00372BD2">
              <w:rPr>
                <w:rFonts w:ascii="Times New Roman" w:hAnsi="Times New Roman"/>
                <w:sz w:val="20"/>
                <w:szCs w:val="20"/>
              </w:rPr>
              <w:t>850.2</w:t>
            </w:r>
          </w:p>
        </w:tc>
        <w:tc>
          <w:tcPr>
            <w:tcW w:w="1753" w:type="dxa"/>
            <w:gridSpan w:val="2"/>
            <w:tcBorders>
              <w:top w:val="nil"/>
              <w:left w:val="nil"/>
              <w:bottom w:val="nil"/>
              <w:right w:val="nil"/>
            </w:tcBorders>
            <w:shd w:val="clear" w:color="auto" w:fill="auto"/>
            <w:noWrap/>
            <w:hideMark/>
          </w:tcPr>
          <w:p w14:paraId="45CDB885" w14:textId="77777777" w:rsidR="001211DB" w:rsidRPr="00D0343C" w:rsidRDefault="001211DB" w:rsidP="001211DB">
            <w:pPr>
              <w:spacing w:after="0" w:line="240" w:lineRule="auto"/>
              <w:jc w:val="center"/>
              <w:rPr>
                <w:rFonts w:ascii="Times New Roman" w:eastAsia="Times New Roman" w:hAnsi="Times New Roman"/>
                <w:b/>
                <w:bCs/>
                <w:sz w:val="20"/>
                <w:szCs w:val="20"/>
              </w:rPr>
            </w:pPr>
            <w:r w:rsidRPr="00372BD2">
              <w:rPr>
                <w:rFonts w:ascii="Times New Roman" w:hAnsi="Times New Roman"/>
                <w:sz w:val="20"/>
                <w:szCs w:val="20"/>
              </w:rPr>
              <w:t>908.2</w:t>
            </w:r>
          </w:p>
        </w:tc>
        <w:tc>
          <w:tcPr>
            <w:tcW w:w="1698" w:type="dxa"/>
            <w:gridSpan w:val="3"/>
            <w:tcBorders>
              <w:top w:val="nil"/>
              <w:left w:val="nil"/>
              <w:bottom w:val="nil"/>
              <w:right w:val="nil"/>
            </w:tcBorders>
            <w:shd w:val="clear" w:color="auto" w:fill="auto"/>
            <w:noWrap/>
            <w:hideMark/>
          </w:tcPr>
          <w:p w14:paraId="002C9B84" w14:textId="77777777" w:rsidR="001211DB" w:rsidRPr="00D0343C" w:rsidRDefault="001211DB" w:rsidP="001211DB">
            <w:pPr>
              <w:spacing w:after="0" w:line="240" w:lineRule="auto"/>
              <w:jc w:val="center"/>
              <w:rPr>
                <w:rFonts w:ascii="Times New Roman" w:eastAsia="Times New Roman" w:hAnsi="Times New Roman"/>
                <w:b/>
                <w:bCs/>
                <w:sz w:val="20"/>
                <w:szCs w:val="20"/>
              </w:rPr>
            </w:pPr>
            <w:r w:rsidRPr="00372BD2">
              <w:rPr>
                <w:rFonts w:ascii="Times New Roman" w:hAnsi="Times New Roman"/>
                <w:sz w:val="20"/>
                <w:szCs w:val="20"/>
              </w:rPr>
              <w:t>6.8%</w:t>
            </w:r>
          </w:p>
        </w:tc>
      </w:tr>
      <w:tr w:rsidR="001211DB" w:rsidRPr="00801024" w14:paraId="64B1303B" w14:textId="77777777" w:rsidTr="00372BD2">
        <w:trPr>
          <w:trHeight w:val="268"/>
          <w:jc w:val="center"/>
        </w:trPr>
        <w:tc>
          <w:tcPr>
            <w:tcW w:w="3853" w:type="dxa"/>
            <w:tcBorders>
              <w:top w:val="nil"/>
              <w:left w:val="nil"/>
              <w:bottom w:val="nil"/>
              <w:right w:val="nil"/>
            </w:tcBorders>
            <w:shd w:val="clear" w:color="auto" w:fill="auto"/>
            <w:noWrap/>
            <w:vAlign w:val="bottom"/>
            <w:hideMark/>
          </w:tcPr>
          <w:p w14:paraId="7D9DFB45" w14:textId="77777777" w:rsidR="001211DB" w:rsidRPr="00231790" w:rsidRDefault="001211DB" w:rsidP="001211DB">
            <w:pPr>
              <w:spacing w:after="0" w:line="240" w:lineRule="auto"/>
              <w:rPr>
                <w:rFonts w:ascii="Times New Roman" w:eastAsia="Times New Roman" w:hAnsi="Times New Roman"/>
                <w:sz w:val="20"/>
                <w:szCs w:val="20"/>
                <w:lang w:val="mk-MK"/>
              </w:rPr>
            </w:pPr>
            <w:r w:rsidRPr="00801024">
              <w:rPr>
                <w:rFonts w:ascii="Times New Roman" w:eastAsia="Times New Roman" w:hAnsi="Times New Roman"/>
                <w:sz w:val="20"/>
                <w:szCs w:val="20"/>
              </w:rPr>
              <w:t xml:space="preserve">  </w:t>
            </w:r>
            <w:r>
              <w:rPr>
                <w:rFonts w:ascii="Times New Roman" w:eastAsia="Times New Roman" w:hAnsi="Times New Roman"/>
                <w:sz w:val="20"/>
                <w:szCs w:val="20"/>
                <w:lang w:val="mk-MK"/>
              </w:rPr>
              <w:t>Корпоративни кредити</w:t>
            </w:r>
          </w:p>
        </w:tc>
        <w:tc>
          <w:tcPr>
            <w:tcW w:w="1416" w:type="dxa"/>
            <w:gridSpan w:val="2"/>
            <w:tcBorders>
              <w:top w:val="nil"/>
              <w:left w:val="nil"/>
              <w:bottom w:val="nil"/>
              <w:right w:val="nil"/>
            </w:tcBorders>
            <w:shd w:val="clear" w:color="auto" w:fill="auto"/>
            <w:noWrap/>
            <w:hideMark/>
          </w:tcPr>
          <w:p w14:paraId="30BD8778"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459.2</w:t>
            </w:r>
          </w:p>
        </w:tc>
        <w:tc>
          <w:tcPr>
            <w:tcW w:w="1753" w:type="dxa"/>
            <w:gridSpan w:val="2"/>
            <w:tcBorders>
              <w:top w:val="nil"/>
              <w:left w:val="nil"/>
              <w:bottom w:val="nil"/>
              <w:right w:val="nil"/>
            </w:tcBorders>
            <w:shd w:val="clear" w:color="auto" w:fill="auto"/>
            <w:noWrap/>
            <w:hideMark/>
          </w:tcPr>
          <w:p w14:paraId="7202D4BE"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540.9</w:t>
            </w:r>
          </w:p>
        </w:tc>
        <w:tc>
          <w:tcPr>
            <w:tcW w:w="1698" w:type="dxa"/>
            <w:gridSpan w:val="3"/>
            <w:tcBorders>
              <w:top w:val="nil"/>
              <w:left w:val="nil"/>
              <w:bottom w:val="nil"/>
              <w:right w:val="nil"/>
            </w:tcBorders>
            <w:shd w:val="clear" w:color="auto" w:fill="auto"/>
            <w:noWrap/>
            <w:hideMark/>
          </w:tcPr>
          <w:p w14:paraId="71A8682B"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17.8%</w:t>
            </w:r>
          </w:p>
        </w:tc>
      </w:tr>
      <w:tr w:rsidR="001211DB" w:rsidRPr="00801024" w14:paraId="4C5BA878" w14:textId="77777777" w:rsidTr="00372BD2">
        <w:trPr>
          <w:trHeight w:val="283"/>
          <w:jc w:val="center"/>
        </w:trPr>
        <w:tc>
          <w:tcPr>
            <w:tcW w:w="3853" w:type="dxa"/>
            <w:tcBorders>
              <w:top w:val="nil"/>
              <w:left w:val="nil"/>
              <w:bottom w:val="nil"/>
              <w:right w:val="nil"/>
            </w:tcBorders>
            <w:shd w:val="clear" w:color="auto" w:fill="auto"/>
            <w:noWrap/>
            <w:vAlign w:val="bottom"/>
            <w:hideMark/>
          </w:tcPr>
          <w:p w14:paraId="7C9435F3" w14:textId="77777777" w:rsidR="001211DB" w:rsidRPr="00231790" w:rsidRDefault="001211DB" w:rsidP="001211DB">
            <w:pPr>
              <w:spacing w:after="0" w:line="240" w:lineRule="auto"/>
              <w:rPr>
                <w:rFonts w:ascii="Times New Roman" w:eastAsia="Times New Roman" w:hAnsi="Times New Roman"/>
                <w:sz w:val="20"/>
                <w:szCs w:val="20"/>
                <w:lang w:val="mk-MK"/>
              </w:rPr>
            </w:pPr>
            <w:r>
              <w:rPr>
                <w:rFonts w:ascii="Times New Roman" w:eastAsia="Times New Roman" w:hAnsi="Times New Roman"/>
                <w:sz w:val="20"/>
                <w:szCs w:val="20"/>
                <w:lang w:val="mk-MK"/>
              </w:rPr>
              <w:t>Резервации</w:t>
            </w:r>
          </w:p>
        </w:tc>
        <w:tc>
          <w:tcPr>
            <w:tcW w:w="1416" w:type="dxa"/>
            <w:gridSpan w:val="2"/>
            <w:tcBorders>
              <w:top w:val="nil"/>
              <w:left w:val="nil"/>
              <w:bottom w:val="nil"/>
              <w:right w:val="nil"/>
            </w:tcBorders>
            <w:shd w:val="clear" w:color="auto" w:fill="auto"/>
            <w:noWrap/>
            <w:hideMark/>
          </w:tcPr>
          <w:p w14:paraId="5CE6A868"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43.2</w:t>
            </w:r>
          </w:p>
        </w:tc>
        <w:tc>
          <w:tcPr>
            <w:tcW w:w="1753" w:type="dxa"/>
            <w:gridSpan w:val="2"/>
            <w:tcBorders>
              <w:top w:val="nil"/>
              <w:left w:val="nil"/>
              <w:bottom w:val="nil"/>
              <w:right w:val="nil"/>
            </w:tcBorders>
            <w:shd w:val="clear" w:color="auto" w:fill="auto"/>
            <w:noWrap/>
            <w:hideMark/>
          </w:tcPr>
          <w:p w14:paraId="17D784CF"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52.3</w:t>
            </w:r>
          </w:p>
        </w:tc>
        <w:tc>
          <w:tcPr>
            <w:tcW w:w="1698" w:type="dxa"/>
            <w:gridSpan w:val="3"/>
            <w:tcBorders>
              <w:top w:val="nil"/>
              <w:left w:val="nil"/>
              <w:bottom w:val="nil"/>
              <w:right w:val="nil"/>
            </w:tcBorders>
            <w:shd w:val="clear" w:color="auto" w:fill="auto"/>
            <w:noWrap/>
            <w:hideMark/>
          </w:tcPr>
          <w:p w14:paraId="420EC9AC"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21.1%</w:t>
            </w:r>
          </w:p>
        </w:tc>
      </w:tr>
      <w:tr w:rsidR="001211DB" w:rsidRPr="00801024" w14:paraId="1C1471D0" w14:textId="77777777" w:rsidTr="00372BD2">
        <w:trPr>
          <w:trHeight w:val="283"/>
          <w:jc w:val="center"/>
        </w:trPr>
        <w:tc>
          <w:tcPr>
            <w:tcW w:w="3853" w:type="dxa"/>
            <w:tcBorders>
              <w:top w:val="nil"/>
              <w:left w:val="nil"/>
              <w:bottom w:val="nil"/>
              <w:right w:val="nil"/>
            </w:tcBorders>
            <w:shd w:val="clear" w:color="auto" w:fill="auto"/>
            <w:noWrap/>
            <w:vAlign w:val="bottom"/>
            <w:hideMark/>
          </w:tcPr>
          <w:p w14:paraId="735AED64" w14:textId="77777777" w:rsidR="001211DB" w:rsidRPr="00231790" w:rsidRDefault="001211DB" w:rsidP="001211DB">
            <w:pPr>
              <w:spacing w:after="0" w:line="240" w:lineRule="auto"/>
              <w:rPr>
                <w:rFonts w:ascii="Times New Roman" w:eastAsia="Times New Roman" w:hAnsi="Times New Roman"/>
                <w:sz w:val="20"/>
                <w:szCs w:val="20"/>
                <w:lang w:val="mk-MK"/>
              </w:rPr>
            </w:pPr>
            <w:r>
              <w:rPr>
                <w:rFonts w:ascii="Times New Roman" w:eastAsia="Times New Roman" w:hAnsi="Times New Roman"/>
                <w:b/>
                <w:bCs/>
                <w:sz w:val="20"/>
                <w:szCs w:val="20"/>
                <w:lang w:val="mk-MK"/>
              </w:rPr>
              <w:t>Вкупни депозити</w:t>
            </w:r>
          </w:p>
        </w:tc>
        <w:tc>
          <w:tcPr>
            <w:tcW w:w="1416" w:type="dxa"/>
            <w:gridSpan w:val="2"/>
            <w:tcBorders>
              <w:top w:val="nil"/>
              <w:left w:val="nil"/>
              <w:bottom w:val="nil"/>
              <w:right w:val="nil"/>
            </w:tcBorders>
            <w:shd w:val="clear" w:color="auto" w:fill="auto"/>
            <w:noWrap/>
            <w:hideMark/>
          </w:tcPr>
          <w:p w14:paraId="02520174"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1,455.1</w:t>
            </w:r>
          </w:p>
        </w:tc>
        <w:tc>
          <w:tcPr>
            <w:tcW w:w="1753" w:type="dxa"/>
            <w:gridSpan w:val="2"/>
            <w:tcBorders>
              <w:top w:val="nil"/>
              <w:left w:val="nil"/>
              <w:bottom w:val="nil"/>
              <w:right w:val="nil"/>
            </w:tcBorders>
            <w:shd w:val="clear" w:color="auto" w:fill="auto"/>
            <w:noWrap/>
            <w:hideMark/>
          </w:tcPr>
          <w:p w14:paraId="1F0E76D1"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1,535.0</w:t>
            </w:r>
          </w:p>
        </w:tc>
        <w:tc>
          <w:tcPr>
            <w:tcW w:w="1698" w:type="dxa"/>
            <w:gridSpan w:val="3"/>
            <w:tcBorders>
              <w:top w:val="nil"/>
              <w:left w:val="nil"/>
              <w:bottom w:val="nil"/>
              <w:right w:val="nil"/>
            </w:tcBorders>
            <w:shd w:val="clear" w:color="auto" w:fill="auto"/>
            <w:noWrap/>
            <w:hideMark/>
          </w:tcPr>
          <w:p w14:paraId="08F0E1D6"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5.5%</w:t>
            </w:r>
          </w:p>
        </w:tc>
      </w:tr>
      <w:tr w:rsidR="001211DB" w:rsidRPr="00801024" w14:paraId="36914636" w14:textId="77777777" w:rsidTr="00372BD2">
        <w:trPr>
          <w:trHeight w:val="297"/>
          <w:jc w:val="center"/>
        </w:trPr>
        <w:tc>
          <w:tcPr>
            <w:tcW w:w="3853" w:type="dxa"/>
            <w:tcBorders>
              <w:top w:val="nil"/>
              <w:left w:val="nil"/>
              <w:bottom w:val="nil"/>
              <w:right w:val="nil"/>
            </w:tcBorders>
            <w:shd w:val="clear" w:color="auto" w:fill="auto"/>
            <w:noWrap/>
            <w:vAlign w:val="bottom"/>
            <w:hideMark/>
          </w:tcPr>
          <w:p w14:paraId="575EEC56" w14:textId="77777777" w:rsidR="001211DB" w:rsidRPr="00231790" w:rsidRDefault="001211DB" w:rsidP="001211DB">
            <w:pPr>
              <w:spacing w:after="0" w:line="240" w:lineRule="auto"/>
              <w:rPr>
                <w:rFonts w:ascii="Times New Roman" w:eastAsia="Times New Roman" w:hAnsi="Times New Roman"/>
                <w:b/>
                <w:bCs/>
                <w:sz w:val="20"/>
                <w:szCs w:val="20"/>
                <w:lang w:val="mk-MK"/>
              </w:rPr>
            </w:pPr>
            <w:r w:rsidRPr="00801024">
              <w:rPr>
                <w:rFonts w:ascii="Times New Roman" w:eastAsia="Times New Roman" w:hAnsi="Times New Roman"/>
                <w:sz w:val="20"/>
                <w:szCs w:val="20"/>
              </w:rPr>
              <w:t xml:space="preserve">  </w:t>
            </w:r>
            <w:r>
              <w:rPr>
                <w:rFonts w:ascii="Times New Roman" w:eastAsia="Times New Roman" w:hAnsi="Times New Roman"/>
                <w:sz w:val="20"/>
                <w:szCs w:val="20"/>
                <w:lang w:val="mk-MK"/>
              </w:rPr>
              <w:t>Депозити на население</w:t>
            </w:r>
          </w:p>
        </w:tc>
        <w:tc>
          <w:tcPr>
            <w:tcW w:w="1416" w:type="dxa"/>
            <w:gridSpan w:val="2"/>
            <w:tcBorders>
              <w:top w:val="nil"/>
              <w:left w:val="nil"/>
              <w:bottom w:val="nil"/>
              <w:right w:val="nil"/>
            </w:tcBorders>
            <w:shd w:val="clear" w:color="auto" w:fill="auto"/>
            <w:noWrap/>
            <w:hideMark/>
          </w:tcPr>
          <w:p w14:paraId="6F9D8CC9" w14:textId="77777777" w:rsidR="001211DB" w:rsidRPr="00D0343C" w:rsidRDefault="001211DB" w:rsidP="001211DB">
            <w:pPr>
              <w:spacing w:after="0" w:line="240" w:lineRule="auto"/>
              <w:jc w:val="center"/>
              <w:rPr>
                <w:rFonts w:ascii="Times New Roman" w:eastAsia="Times New Roman" w:hAnsi="Times New Roman"/>
                <w:b/>
                <w:bCs/>
                <w:sz w:val="20"/>
                <w:szCs w:val="20"/>
              </w:rPr>
            </w:pPr>
            <w:r w:rsidRPr="00372BD2">
              <w:rPr>
                <w:rFonts w:ascii="Times New Roman" w:hAnsi="Times New Roman"/>
                <w:sz w:val="20"/>
                <w:szCs w:val="20"/>
              </w:rPr>
              <w:t>1,077.4</w:t>
            </w:r>
          </w:p>
        </w:tc>
        <w:tc>
          <w:tcPr>
            <w:tcW w:w="1753" w:type="dxa"/>
            <w:gridSpan w:val="2"/>
            <w:tcBorders>
              <w:top w:val="nil"/>
              <w:left w:val="nil"/>
              <w:bottom w:val="nil"/>
              <w:right w:val="nil"/>
            </w:tcBorders>
            <w:shd w:val="clear" w:color="auto" w:fill="auto"/>
            <w:noWrap/>
            <w:hideMark/>
          </w:tcPr>
          <w:p w14:paraId="0A2EEA4B" w14:textId="77777777" w:rsidR="001211DB" w:rsidRPr="00D0343C" w:rsidRDefault="001211DB" w:rsidP="001211DB">
            <w:pPr>
              <w:spacing w:after="0" w:line="240" w:lineRule="auto"/>
              <w:jc w:val="center"/>
              <w:rPr>
                <w:rFonts w:ascii="Times New Roman" w:eastAsia="Times New Roman" w:hAnsi="Times New Roman"/>
                <w:b/>
                <w:bCs/>
                <w:sz w:val="20"/>
                <w:szCs w:val="20"/>
              </w:rPr>
            </w:pPr>
            <w:r w:rsidRPr="00372BD2">
              <w:rPr>
                <w:rFonts w:ascii="Times New Roman" w:hAnsi="Times New Roman"/>
                <w:sz w:val="20"/>
                <w:szCs w:val="20"/>
              </w:rPr>
              <w:t>1,138.1</w:t>
            </w:r>
          </w:p>
        </w:tc>
        <w:tc>
          <w:tcPr>
            <w:tcW w:w="1698" w:type="dxa"/>
            <w:gridSpan w:val="3"/>
            <w:tcBorders>
              <w:top w:val="nil"/>
              <w:left w:val="nil"/>
              <w:bottom w:val="nil"/>
              <w:right w:val="nil"/>
            </w:tcBorders>
            <w:shd w:val="clear" w:color="auto" w:fill="auto"/>
            <w:noWrap/>
            <w:hideMark/>
          </w:tcPr>
          <w:p w14:paraId="44DEE8AE" w14:textId="77777777" w:rsidR="001211DB" w:rsidRPr="00D0343C" w:rsidRDefault="001211DB" w:rsidP="001211DB">
            <w:pPr>
              <w:spacing w:after="0" w:line="240" w:lineRule="auto"/>
              <w:jc w:val="center"/>
              <w:rPr>
                <w:rFonts w:ascii="Times New Roman" w:eastAsia="Times New Roman" w:hAnsi="Times New Roman"/>
                <w:b/>
                <w:bCs/>
                <w:sz w:val="20"/>
                <w:szCs w:val="20"/>
              </w:rPr>
            </w:pPr>
            <w:r w:rsidRPr="00372BD2">
              <w:rPr>
                <w:rFonts w:ascii="Times New Roman" w:hAnsi="Times New Roman"/>
                <w:sz w:val="20"/>
                <w:szCs w:val="20"/>
              </w:rPr>
              <w:t>5.5%</w:t>
            </w:r>
          </w:p>
        </w:tc>
      </w:tr>
      <w:tr w:rsidR="001211DB" w:rsidRPr="00801024" w14:paraId="009C4B66" w14:textId="77777777" w:rsidTr="00372BD2">
        <w:trPr>
          <w:trHeight w:val="268"/>
          <w:jc w:val="center"/>
        </w:trPr>
        <w:tc>
          <w:tcPr>
            <w:tcW w:w="3853" w:type="dxa"/>
            <w:tcBorders>
              <w:top w:val="nil"/>
              <w:left w:val="nil"/>
              <w:bottom w:val="double" w:sz="6" w:space="0" w:color="auto"/>
              <w:right w:val="nil"/>
            </w:tcBorders>
            <w:shd w:val="clear" w:color="auto" w:fill="auto"/>
            <w:noWrap/>
            <w:vAlign w:val="bottom"/>
            <w:hideMark/>
          </w:tcPr>
          <w:p w14:paraId="7E3F47C7" w14:textId="77777777" w:rsidR="001211DB" w:rsidRPr="00231790" w:rsidRDefault="001211DB" w:rsidP="001211DB">
            <w:pPr>
              <w:spacing w:after="0" w:line="240" w:lineRule="auto"/>
              <w:rPr>
                <w:rFonts w:ascii="Times New Roman" w:eastAsia="Times New Roman" w:hAnsi="Times New Roman"/>
                <w:sz w:val="20"/>
                <w:szCs w:val="20"/>
                <w:lang w:val="mk-MK"/>
              </w:rPr>
            </w:pPr>
            <w:r w:rsidRPr="00801024">
              <w:rPr>
                <w:rFonts w:ascii="Times New Roman" w:eastAsia="Times New Roman" w:hAnsi="Times New Roman"/>
                <w:sz w:val="20"/>
                <w:szCs w:val="20"/>
              </w:rPr>
              <w:t xml:space="preserve">  </w:t>
            </w:r>
            <w:r>
              <w:rPr>
                <w:rFonts w:ascii="Times New Roman" w:eastAsia="Times New Roman" w:hAnsi="Times New Roman"/>
                <w:sz w:val="20"/>
                <w:szCs w:val="20"/>
                <w:lang w:val="mk-MK"/>
              </w:rPr>
              <w:t>Корпоративни депозити</w:t>
            </w:r>
          </w:p>
        </w:tc>
        <w:tc>
          <w:tcPr>
            <w:tcW w:w="1416" w:type="dxa"/>
            <w:gridSpan w:val="2"/>
            <w:tcBorders>
              <w:top w:val="nil"/>
              <w:left w:val="nil"/>
              <w:bottom w:val="double" w:sz="6" w:space="0" w:color="auto"/>
              <w:right w:val="nil"/>
            </w:tcBorders>
            <w:shd w:val="clear" w:color="auto" w:fill="auto"/>
            <w:noWrap/>
            <w:hideMark/>
          </w:tcPr>
          <w:p w14:paraId="5CB1860B"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377.7</w:t>
            </w:r>
          </w:p>
        </w:tc>
        <w:tc>
          <w:tcPr>
            <w:tcW w:w="1753" w:type="dxa"/>
            <w:gridSpan w:val="2"/>
            <w:tcBorders>
              <w:top w:val="nil"/>
              <w:left w:val="nil"/>
              <w:bottom w:val="double" w:sz="6" w:space="0" w:color="auto"/>
              <w:right w:val="nil"/>
            </w:tcBorders>
            <w:shd w:val="clear" w:color="auto" w:fill="auto"/>
            <w:noWrap/>
            <w:hideMark/>
          </w:tcPr>
          <w:p w14:paraId="21702B71"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396.9</w:t>
            </w:r>
          </w:p>
        </w:tc>
        <w:tc>
          <w:tcPr>
            <w:tcW w:w="1698" w:type="dxa"/>
            <w:gridSpan w:val="3"/>
            <w:tcBorders>
              <w:top w:val="nil"/>
              <w:left w:val="nil"/>
              <w:bottom w:val="double" w:sz="6" w:space="0" w:color="auto"/>
              <w:right w:val="nil"/>
            </w:tcBorders>
            <w:shd w:val="clear" w:color="auto" w:fill="auto"/>
            <w:noWrap/>
            <w:hideMark/>
          </w:tcPr>
          <w:p w14:paraId="673F408D"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5.5%</w:t>
            </w:r>
          </w:p>
        </w:tc>
      </w:tr>
      <w:tr w:rsidR="001211DB" w:rsidRPr="00801024" w14:paraId="248D4A93" w14:textId="77777777" w:rsidTr="00372BD2">
        <w:trPr>
          <w:trHeight w:val="283"/>
          <w:jc w:val="center"/>
        </w:trPr>
        <w:tc>
          <w:tcPr>
            <w:tcW w:w="3853" w:type="dxa"/>
            <w:tcBorders>
              <w:top w:val="nil"/>
              <w:left w:val="nil"/>
              <w:bottom w:val="nil"/>
              <w:right w:val="nil"/>
            </w:tcBorders>
            <w:shd w:val="clear" w:color="auto" w:fill="auto"/>
            <w:noWrap/>
            <w:vAlign w:val="bottom"/>
            <w:hideMark/>
          </w:tcPr>
          <w:p w14:paraId="07054A4C" w14:textId="77777777" w:rsidR="001211DB" w:rsidRPr="00801024" w:rsidRDefault="001211DB" w:rsidP="001211DB">
            <w:pPr>
              <w:spacing w:after="0" w:line="240" w:lineRule="auto"/>
              <w:rPr>
                <w:rFonts w:ascii="Times New Roman" w:eastAsia="Times New Roman" w:hAnsi="Times New Roman"/>
                <w:sz w:val="20"/>
                <w:szCs w:val="20"/>
              </w:rPr>
            </w:pPr>
          </w:p>
        </w:tc>
        <w:tc>
          <w:tcPr>
            <w:tcW w:w="1416" w:type="dxa"/>
            <w:gridSpan w:val="2"/>
            <w:tcBorders>
              <w:top w:val="nil"/>
              <w:left w:val="nil"/>
              <w:bottom w:val="nil"/>
              <w:right w:val="nil"/>
            </w:tcBorders>
            <w:shd w:val="clear" w:color="auto" w:fill="auto"/>
            <w:noWrap/>
            <w:hideMark/>
          </w:tcPr>
          <w:p w14:paraId="70FFE899" w14:textId="77777777" w:rsidR="001211DB" w:rsidRPr="001211DB" w:rsidRDefault="001211DB" w:rsidP="001211DB">
            <w:pPr>
              <w:spacing w:after="0" w:line="240" w:lineRule="auto"/>
              <w:jc w:val="center"/>
              <w:rPr>
                <w:rFonts w:ascii="Times New Roman" w:eastAsia="Times New Roman" w:hAnsi="Times New Roman"/>
                <w:sz w:val="20"/>
                <w:szCs w:val="20"/>
              </w:rPr>
            </w:pPr>
          </w:p>
        </w:tc>
        <w:tc>
          <w:tcPr>
            <w:tcW w:w="1753" w:type="dxa"/>
            <w:gridSpan w:val="2"/>
            <w:tcBorders>
              <w:top w:val="nil"/>
              <w:left w:val="nil"/>
              <w:bottom w:val="nil"/>
              <w:right w:val="nil"/>
            </w:tcBorders>
            <w:shd w:val="clear" w:color="auto" w:fill="auto"/>
            <w:noWrap/>
            <w:hideMark/>
          </w:tcPr>
          <w:p w14:paraId="248B3A9F" w14:textId="77777777" w:rsidR="001211DB" w:rsidRPr="001211DB" w:rsidRDefault="001211DB" w:rsidP="001211DB">
            <w:pPr>
              <w:spacing w:after="0" w:line="240" w:lineRule="auto"/>
              <w:jc w:val="center"/>
              <w:rPr>
                <w:rFonts w:ascii="Times New Roman" w:eastAsia="Times New Roman" w:hAnsi="Times New Roman"/>
                <w:sz w:val="20"/>
                <w:szCs w:val="20"/>
              </w:rPr>
            </w:pPr>
          </w:p>
        </w:tc>
        <w:tc>
          <w:tcPr>
            <w:tcW w:w="1698" w:type="dxa"/>
            <w:gridSpan w:val="3"/>
            <w:tcBorders>
              <w:top w:val="nil"/>
              <w:left w:val="nil"/>
              <w:bottom w:val="nil"/>
              <w:right w:val="nil"/>
            </w:tcBorders>
            <w:shd w:val="clear" w:color="auto" w:fill="auto"/>
            <w:noWrap/>
            <w:hideMark/>
          </w:tcPr>
          <w:p w14:paraId="0C549964" w14:textId="77777777" w:rsidR="001211DB" w:rsidRPr="00841B27" w:rsidRDefault="001211DB" w:rsidP="001211DB">
            <w:pPr>
              <w:spacing w:after="0" w:line="240" w:lineRule="auto"/>
              <w:jc w:val="center"/>
              <w:rPr>
                <w:rFonts w:ascii="Times New Roman" w:eastAsia="Times New Roman" w:hAnsi="Times New Roman"/>
                <w:sz w:val="20"/>
                <w:szCs w:val="20"/>
              </w:rPr>
            </w:pPr>
          </w:p>
        </w:tc>
      </w:tr>
      <w:tr w:rsidR="001211DB" w:rsidRPr="00801024" w14:paraId="4B720F83" w14:textId="77777777" w:rsidTr="00D0343C">
        <w:trPr>
          <w:gridAfter w:val="2"/>
          <w:wAfter w:w="33" w:type="dxa"/>
          <w:trHeight w:val="177"/>
          <w:jc w:val="center"/>
        </w:trPr>
        <w:tc>
          <w:tcPr>
            <w:tcW w:w="3853" w:type="dxa"/>
            <w:tcBorders>
              <w:top w:val="nil"/>
              <w:left w:val="nil"/>
              <w:bottom w:val="nil"/>
              <w:right w:val="nil"/>
            </w:tcBorders>
            <w:shd w:val="clear" w:color="auto" w:fill="auto"/>
            <w:noWrap/>
            <w:vAlign w:val="bottom"/>
            <w:hideMark/>
          </w:tcPr>
          <w:p w14:paraId="5B72BA8C" w14:textId="77777777" w:rsidR="001211DB" w:rsidRPr="00231790" w:rsidRDefault="001211DB" w:rsidP="001211DB">
            <w:pPr>
              <w:spacing w:after="0" w:line="240" w:lineRule="auto"/>
              <w:rPr>
                <w:rFonts w:ascii="Times New Roman" w:eastAsia="Times New Roman" w:hAnsi="Times New Roman"/>
                <w:sz w:val="20"/>
                <w:szCs w:val="20"/>
                <w:lang w:val="mk-MK"/>
              </w:rPr>
            </w:pPr>
            <w:r>
              <w:rPr>
                <w:rFonts w:ascii="Times New Roman" w:eastAsia="Times New Roman" w:hAnsi="Times New Roman"/>
                <w:b/>
                <w:bCs/>
                <w:sz w:val="20"/>
                <w:szCs w:val="20"/>
                <w:lang w:val="mk-MK"/>
              </w:rPr>
              <w:t>Финансиски коефициенти</w:t>
            </w:r>
          </w:p>
        </w:tc>
        <w:tc>
          <w:tcPr>
            <w:tcW w:w="1391" w:type="dxa"/>
            <w:tcBorders>
              <w:top w:val="nil"/>
              <w:left w:val="nil"/>
              <w:bottom w:val="nil"/>
              <w:right w:val="nil"/>
            </w:tcBorders>
            <w:shd w:val="clear" w:color="auto" w:fill="auto"/>
            <w:noWrap/>
            <w:vAlign w:val="bottom"/>
            <w:hideMark/>
          </w:tcPr>
          <w:p w14:paraId="5B6B8232"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2021</w:t>
            </w:r>
          </w:p>
        </w:tc>
        <w:tc>
          <w:tcPr>
            <w:tcW w:w="1753" w:type="dxa"/>
            <w:gridSpan w:val="2"/>
            <w:tcBorders>
              <w:top w:val="nil"/>
              <w:left w:val="nil"/>
              <w:bottom w:val="nil"/>
              <w:right w:val="nil"/>
            </w:tcBorders>
            <w:shd w:val="clear" w:color="auto" w:fill="auto"/>
            <w:noWrap/>
            <w:vAlign w:val="bottom"/>
            <w:hideMark/>
          </w:tcPr>
          <w:p w14:paraId="466EA33D"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2022</w:t>
            </w:r>
          </w:p>
        </w:tc>
        <w:tc>
          <w:tcPr>
            <w:tcW w:w="1698" w:type="dxa"/>
            <w:gridSpan w:val="2"/>
            <w:tcBorders>
              <w:top w:val="nil"/>
              <w:left w:val="nil"/>
              <w:bottom w:val="nil"/>
              <w:right w:val="nil"/>
            </w:tcBorders>
            <w:shd w:val="clear" w:color="auto" w:fill="auto"/>
            <w:noWrap/>
            <w:vAlign w:val="bottom"/>
            <w:hideMark/>
          </w:tcPr>
          <w:p w14:paraId="1D79244B" w14:textId="77777777" w:rsidR="001211DB" w:rsidRPr="00D0343C" w:rsidRDefault="001211DB" w:rsidP="001211DB">
            <w:pPr>
              <w:spacing w:after="0" w:line="240" w:lineRule="auto"/>
              <w:jc w:val="center"/>
              <w:rPr>
                <w:rFonts w:ascii="Times New Roman" w:eastAsia="Times New Roman" w:hAnsi="Times New Roman"/>
                <w:sz w:val="20"/>
                <w:szCs w:val="20"/>
              </w:rPr>
            </w:pPr>
            <w:r w:rsidRPr="00D0343C">
              <w:rPr>
                <w:rFonts w:ascii="Times New Roman" w:eastAsia="Times New Roman" w:hAnsi="Times New Roman"/>
                <w:b/>
                <w:bCs/>
                <w:sz w:val="20"/>
                <w:szCs w:val="20"/>
                <w:lang w:val="mk-MK"/>
              </w:rPr>
              <w:t>промена</w:t>
            </w:r>
            <w:r w:rsidRPr="00D0343C">
              <w:rPr>
                <w:rFonts w:ascii="Times New Roman" w:eastAsia="Times New Roman" w:hAnsi="Times New Roman"/>
                <w:b/>
                <w:bCs/>
                <w:sz w:val="20"/>
                <w:szCs w:val="20"/>
              </w:rPr>
              <w:t xml:space="preserve"> (</w:t>
            </w:r>
            <w:r w:rsidRPr="00D0343C">
              <w:rPr>
                <w:rFonts w:ascii="Times New Roman" w:eastAsia="Times New Roman" w:hAnsi="Times New Roman"/>
                <w:b/>
                <w:bCs/>
                <w:sz w:val="20"/>
                <w:szCs w:val="20"/>
                <w:lang w:val="mk-MK"/>
              </w:rPr>
              <w:t>бп</w:t>
            </w:r>
            <w:r w:rsidRPr="00D0343C">
              <w:rPr>
                <w:rFonts w:ascii="Times New Roman" w:eastAsia="Times New Roman" w:hAnsi="Times New Roman"/>
                <w:b/>
                <w:bCs/>
                <w:sz w:val="20"/>
                <w:szCs w:val="20"/>
              </w:rPr>
              <w:t>)</w:t>
            </w:r>
          </w:p>
        </w:tc>
      </w:tr>
      <w:tr w:rsidR="001211DB" w:rsidRPr="00801024" w14:paraId="47EC3CB1" w14:textId="77777777" w:rsidTr="00372BD2">
        <w:trPr>
          <w:trHeight w:val="492"/>
          <w:jc w:val="center"/>
        </w:trPr>
        <w:tc>
          <w:tcPr>
            <w:tcW w:w="3853" w:type="dxa"/>
            <w:tcBorders>
              <w:top w:val="nil"/>
              <w:left w:val="nil"/>
              <w:bottom w:val="nil"/>
              <w:right w:val="nil"/>
            </w:tcBorders>
            <w:shd w:val="clear" w:color="auto" w:fill="auto"/>
            <w:noWrap/>
            <w:vAlign w:val="bottom"/>
            <w:hideMark/>
          </w:tcPr>
          <w:p w14:paraId="71C9EC41" w14:textId="77777777" w:rsidR="001211DB" w:rsidRPr="00783F3A" w:rsidRDefault="001211DB" w:rsidP="001211DB">
            <w:pPr>
              <w:spacing w:after="0" w:line="240" w:lineRule="auto"/>
              <w:rPr>
                <w:rFonts w:ascii="Times New Roman" w:eastAsia="Times New Roman" w:hAnsi="Times New Roman"/>
                <w:b/>
                <w:bCs/>
                <w:sz w:val="20"/>
                <w:szCs w:val="20"/>
                <w:lang w:val="mk-MK"/>
              </w:rPr>
            </w:pPr>
            <w:r>
              <w:rPr>
                <w:rFonts w:ascii="Times New Roman" w:eastAsia="Times New Roman" w:hAnsi="Times New Roman"/>
                <w:sz w:val="20"/>
                <w:szCs w:val="20"/>
                <w:lang w:val="mk-MK"/>
              </w:rPr>
              <w:t>Нето каматна маргина</w:t>
            </w:r>
          </w:p>
        </w:tc>
        <w:tc>
          <w:tcPr>
            <w:tcW w:w="1416" w:type="dxa"/>
            <w:gridSpan w:val="2"/>
            <w:tcBorders>
              <w:top w:val="nil"/>
              <w:left w:val="nil"/>
              <w:bottom w:val="nil"/>
              <w:right w:val="nil"/>
            </w:tcBorders>
            <w:shd w:val="clear" w:color="auto" w:fill="auto"/>
            <w:hideMark/>
          </w:tcPr>
          <w:p w14:paraId="6A796762" w14:textId="77777777" w:rsidR="001211DB" w:rsidRPr="00D0343C" w:rsidRDefault="001211DB" w:rsidP="001211DB">
            <w:pPr>
              <w:spacing w:after="0" w:line="240" w:lineRule="auto"/>
              <w:jc w:val="center"/>
              <w:rPr>
                <w:rFonts w:ascii="Times New Roman" w:eastAsia="Times New Roman" w:hAnsi="Times New Roman"/>
                <w:b/>
                <w:bCs/>
                <w:sz w:val="20"/>
                <w:szCs w:val="20"/>
              </w:rPr>
            </w:pPr>
            <w:r w:rsidRPr="00372BD2">
              <w:rPr>
                <w:rFonts w:ascii="Times New Roman" w:hAnsi="Times New Roman"/>
                <w:sz w:val="20"/>
                <w:szCs w:val="20"/>
              </w:rPr>
              <w:t>4.1%</w:t>
            </w:r>
          </w:p>
        </w:tc>
        <w:tc>
          <w:tcPr>
            <w:tcW w:w="1753" w:type="dxa"/>
            <w:gridSpan w:val="2"/>
            <w:tcBorders>
              <w:top w:val="nil"/>
              <w:left w:val="nil"/>
              <w:bottom w:val="nil"/>
              <w:right w:val="nil"/>
            </w:tcBorders>
            <w:shd w:val="clear" w:color="auto" w:fill="auto"/>
            <w:hideMark/>
          </w:tcPr>
          <w:p w14:paraId="4E7FF87C" w14:textId="77777777" w:rsidR="001211DB" w:rsidRPr="00D0343C" w:rsidRDefault="001211DB" w:rsidP="001211DB">
            <w:pPr>
              <w:spacing w:after="0" w:line="240" w:lineRule="auto"/>
              <w:jc w:val="center"/>
              <w:rPr>
                <w:rFonts w:ascii="Times New Roman" w:eastAsia="Times New Roman" w:hAnsi="Times New Roman"/>
                <w:b/>
                <w:bCs/>
                <w:sz w:val="20"/>
                <w:szCs w:val="20"/>
              </w:rPr>
            </w:pPr>
            <w:r w:rsidRPr="00372BD2">
              <w:rPr>
                <w:rFonts w:ascii="Times New Roman" w:hAnsi="Times New Roman"/>
                <w:sz w:val="20"/>
                <w:szCs w:val="20"/>
              </w:rPr>
              <w:t>4.1%</w:t>
            </w:r>
          </w:p>
        </w:tc>
        <w:tc>
          <w:tcPr>
            <w:tcW w:w="1698" w:type="dxa"/>
            <w:gridSpan w:val="3"/>
            <w:tcBorders>
              <w:top w:val="nil"/>
              <w:left w:val="nil"/>
              <w:bottom w:val="nil"/>
              <w:right w:val="nil"/>
            </w:tcBorders>
            <w:shd w:val="clear" w:color="auto" w:fill="auto"/>
            <w:hideMark/>
          </w:tcPr>
          <w:p w14:paraId="1E6C9DBE" w14:textId="77777777" w:rsidR="001211DB" w:rsidRPr="00D0343C" w:rsidRDefault="001211DB" w:rsidP="001211DB">
            <w:pPr>
              <w:spacing w:after="0" w:line="240" w:lineRule="auto"/>
              <w:jc w:val="center"/>
              <w:rPr>
                <w:rFonts w:ascii="Times New Roman" w:eastAsia="Times New Roman" w:hAnsi="Times New Roman"/>
                <w:b/>
                <w:bCs/>
                <w:sz w:val="20"/>
                <w:szCs w:val="20"/>
              </w:rPr>
            </w:pPr>
            <w:r w:rsidRPr="00372BD2">
              <w:rPr>
                <w:rFonts w:ascii="Times New Roman" w:hAnsi="Times New Roman"/>
                <w:sz w:val="20"/>
                <w:szCs w:val="20"/>
              </w:rPr>
              <w:t>0.1</w:t>
            </w:r>
          </w:p>
        </w:tc>
      </w:tr>
      <w:tr w:rsidR="001211DB" w:rsidRPr="00801024" w14:paraId="6DAC9385" w14:textId="77777777" w:rsidTr="00372BD2">
        <w:trPr>
          <w:trHeight w:val="372"/>
          <w:jc w:val="center"/>
        </w:trPr>
        <w:tc>
          <w:tcPr>
            <w:tcW w:w="3853" w:type="dxa"/>
            <w:tcBorders>
              <w:top w:val="nil"/>
              <w:left w:val="nil"/>
              <w:bottom w:val="nil"/>
              <w:right w:val="nil"/>
            </w:tcBorders>
            <w:shd w:val="clear" w:color="auto" w:fill="auto"/>
            <w:noWrap/>
            <w:vAlign w:val="bottom"/>
            <w:hideMark/>
          </w:tcPr>
          <w:p w14:paraId="4CE134C2" w14:textId="77777777" w:rsidR="001211DB" w:rsidRPr="00783F3A" w:rsidRDefault="001211DB" w:rsidP="001211DB">
            <w:pPr>
              <w:spacing w:after="0" w:line="240" w:lineRule="auto"/>
              <w:rPr>
                <w:rFonts w:ascii="Times New Roman" w:eastAsia="Times New Roman" w:hAnsi="Times New Roman"/>
                <w:sz w:val="20"/>
                <w:szCs w:val="20"/>
                <w:lang w:val="mk-MK"/>
              </w:rPr>
            </w:pPr>
            <w:r>
              <w:rPr>
                <w:rFonts w:ascii="Times New Roman" w:eastAsia="Times New Roman" w:hAnsi="Times New Roman"/>
                <w:sz w:val="20"/>
                <w:szCs w:val="20"/>
                <w:lang w:val="mk-MK"/>
              </w:rPr>
              <w:t>Коефициент на расходи/приходи</w:t>
            </w:r>
          </w:p>
        </w:tc>
        <w:tc>
          <w:tcPr>
            <w:tcW w:w="1416" w:type="dxa"/>
            <w:gridSpan w:val="2"/>
            <w:tcBorders>
              <w:top w:val="nil"/>
              <w:left w:val="nil"/>
              <w:bottom w:val="nil"/>
              <w:right w:val="nil"/>
            </w:tcBorders>
            <w:shd w:val="clear" w:color="auto" w:fill="auto"/>
            <w:noWrap/>
            <w:hideMark/>
          </w:tcPr>
          <w:p w14:paraId="76B1C3E0"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34.5%</w:t>
            </w:r>
          </w:p>
        </w:tc>
        <w:tc>
          <w:tcPr>
            <w:tcW w:w="1753" w:type="dxa"/>
            <w:gridSpan w:val="2"/>
            <w:tcBorders>
              <w:top w:val="nil"/>
              <w:left w:val="nil"/>
              <w:bottom w:val="nil"/>
              <w:right w:val="nil"/>
            </w:tcBorders>
            <w:shd w:val="clear" w:color="auto" w:fill="auto"/>
            <w:noWrap/>
            <w:hideMark/>
          </w:tcPr>
          <w:p w14:paraId="1CB45A91"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33.8%</w:t>
            </w:r>
          </w:p>
        </w:tc>
        <w:tc>
          <w:tcPr>
            <w:tcW w:w="1698" w:type="dxa"/>
            <w:gridSpan w:val="3"/>
            <w:tcBorders>
              <w:top w:val="nil"/>
              <w:left w:val="nil"/>
              <w:bottom w:val="nil"/>
              <w:right w:val="nil"/>
            </w:tcBorders>
            <w:shd w:val="clear" w:color="auto" w:fill="auto"/>
            <w:noWrap/>
            <w:hideMark/>
          </w:tcPr>
          <w:p w14:paraId="4E033F9F"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-70.7</w:t>
            </w:r>
          </w:p>
        </w:tc>
      </w:tr>
      <w:tr w:rsidR="001211DB" w:rsidRPr="00801024" w14:paraId="0DDB6D22" w14:textId="77777777" w:rsidTr="00372BD2">
        <w:trPr>
          <w:trHeight w:val="283"/>
          <w:jc w:val="center"/>
        </w:trPr>
        <w:tc>
          <w:tcPr>
            <w:tcW w:w="3853" w:type="dxa"/>
            <w:tcBorders>
              <w:top w:val="nil"/>
              <w:left w:val="nil"/>
              <w:bottom w:val="nil"/>
              <w:right w:val="nil"/>
            </w:tcBorders>
            <w:shd w:val="clear" w:color="auto" w:fill="auto"/>
            <w:noWrap/>
            <w:vAlign w:val="bottom"/>
            <w:hideMark/>
          </w:tcPr>
          <w:p w14:paraId="10A45094" w14:textId="77777777" w:rsidR="001211DB" w:rsidRPr="00801024" w:rsidRDefault="001211DB" w:rsidP="001211DB">
            <w:pPr>
              <w:spacing w:after="0" w:line="240" w:lineRule="auto"/>
              <w:rPr>
                <w:rFonts w:ascii="Times New Roman" w:eastAsia="Times New Roman" w:hAnsi="Times New Roman"/>
                <w:sz w:val="20"/>
                <w:szCs w:val="20"/>
              </w:rPr>
            </w:pPr>
            <w:r>
              <w:rPr>
                <w:rFonts w:ascii="Times New Roman" w:eastAsia="Times New Roman" w:hAnsi="Times New Roman"/>
                <w:sz w:val="20"/>
                <w:szCs w:val="20"/>
                <w:lang w:val="mk-MK"/>
              </w:rPr>
              <w:t xml:space="preserve">Поврат на средства - </w:t>
            </w:r>
            <w:r w:rsidRPr="00801024">
              <w:rPr>
                <w:rFonts w:ascii="Times New Roman" w:eastAsia="Times New Roman" w:hAnsi="Times New Roman"/>
                <w:sz w:val="20"/>
                <w:szCs w:val="20"/>
              </w:rPr>
              <w:t>ROA</w:t>
            </w:r>
          </w:p>
        </w:tc>
        <w:tc>
          <w:tcPr>
            <w:tcW w:w="1416" w:type="dxa"/>
            <w:gridSpan w:val="2"/>
            <w:tcBorders>
              <w:top w:val="nil"/>
              <w:left w:val="nil"/>
              <w:bottom w:val="nil"/>
              <w:right w:val="nil"/>
            </w:tcBorders>
            <w:shd w:val="clear" w:color="auto" w:fill="auto"/>
            <w:noWrap/>
            <w:hideMark/>
          </w:tcPr>
          <w:p w14:paraId="0AB3E99A"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2.2%</w:t>
            </w:r>
          </w:p>
        </w:tc>
        <w:tc>
          <w:tcPr>
            <w:tcW w:w="1753" w:type="dxa"/>
            <w:gridSpan w:val="2"/>
            <w:tcBorders>
              <w:top w:val="nil"/>
              <w:left w:val="nil"/>
              <w:bottom w:val="nil"/>
              <w:right w:val="nil"/>
            </w:tcBorders>
            <w:shd w:val="clear" w:color="auto" w:fill="auto"/>
            <w:noWrap/>
            <w:hideMark/>
          </w:tcPr>
          <w:p w14:paraId="33157663"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2.0%</w:t>
            </w:r>
          </w:p>
        </w:tc>
        <w:tc>
          <w:tcPr>
            <w:tcW w:w="1698" w:type="dxa"/>
            <w:gridSpan w:val="3"/>
            <w:tcBorders>
              <w:top w:val="nil"/>
              <w:left w:val="nil"/>
              <w:bottom w:val="nil"/>
              <w:right w:val="nil"/>
            </w:tcBorders>
            <w:shd w:val="clear" w:color="auto" w:fill="auto"/>
            <w:noWrap/>
            <w:hideMark/>
          </w:tcPr>
          <w:p w14:paraId="596B8BB4"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-23.5</w:t>
            </w:r>
          </w:p>
        </w:tc>
      </w:tr>
      <w:tr w:rsidR="001211DB" w:rsidRPr="00801024" w14:paraId="284C3D0A" w14:textId="77777777" w:rsidTr="00372BD2">
        <w:trPr>
          <w:trHeight w:val="283"/>
          <w:jc w:val="center"/>
        </w:trPr>
        <w:tc>
          <w:tcPr>
            <w:tcW w:w="3853" w:type="dxa"/>
            <w:tcBorders>
              <w:top w:val="nil"/>
              <w:left w:val="nil"/>
              <w:bottom w:val="nil"/>
              <w:right w:val="nil"/>
            </w:tcBorders>
            <w:shd w:val="clear" w:color="auto" w:fill="auto"/>
            <w:noWrap/>
            <w:vAlign w:val="bottom"/>
            <w:hideMark/>
          </w:tcPr>
          <w:p w14:paraId="35F664AE" w14:textId="77777777" w:rsidR="001211DB" w:rsidRPr="00801024" w:rsidRDefault="001211DB" w:rsidP="001211DB">
            <w:pPr>
              <w:spacing w:after="0" w:line="240" w:lineRule="auto"/>
              <w:rPr>
                <w:rFonts w:ascii="Times New Roman" w:eastAsia="Times New Roman" w:hAnsi="Times New Roman"/>
                <w:sz w:val="20"/>
                <w:szCs w:val="20"/>
              </w:rPr>
            </w:pPr>
            <w:r>
              <w:rPr>
                <w:rFonts w:ascii="Times New Roman" w:eastAsia="Times New Roman" w:hAnsi="Times New Roman"/>
                <w:sz w:val="20"/>
                <w:szCs w:val="20"/>
                <w:lang w:val="mk-MK"/>
              </w:rPr>
              <w:t xml:space="preserve">Поврат на капитал - </w:t>
            </w:r>
            <w:r w:rsidRPr="00801024">
              <w:rPr>
                <w:rFonts w:ascii="Times New Roman" w:eastAsia="Times New Roman" w:hAnsi="Times New Roman"/>
                <w:sz w:val="20"/>
                <w:szCs w:val="20"/>
              </w:rPr>
              <w:t>ROE</w:t>
            </w:r>
          </w:p>
        </w:tc>
        <w:tc>
          <w:tcPr>
            <w:tcW w:w="1416" w:type="dxa"/>
            <w:gridSpan w:val="2"/>
            <w:tcBorders>
              <w:top w:val="nil"/>
              <w:left w:val="nil"/>
              <w:bottom w:val="nil"/>
              <w:right w:val="nil"/>
            </w:tcBorders>
            <w:shd w:val="clear" w:color="auto" w:fill="auto"/>
            <w:noWrap/>
            <w:hideMark/>
          </w:tcPr>
          <w:p w14:paraId="48812AF2"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13.3%</w:t>
            </w:r>
          </w:p>
        </w:tc>
        <w:tc>
          <w:tcPr>
            <w:tcW w:w="1753" w:type="dxa"/>
            <w:gridSpan w:val="2"/>
            <w:tcBorders>
              <w:top w:val="nil"/>
              <w:left w:val="nil"/>
              <w:bottom w:val="nil"/>
              <w:right w:val="nil"/>
            </w:tcBorders>
            <w:shd w:val="clear" w:color="auto" w:fill="auto"/>
            <w:noWrap/>
            <w:hideMark/>
          </w:tcPr>
          <w:p w14:paraId="1E59678C"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11.3%</w:t>
            </w:r>
          </w:p>
        </w:tc>
        <w:tc>
          <w:tcPr>
            <w:tcW w:w="1698" w:type="dxa"/>
            <w:gridSpan w:val="3"/>
            <w:tcBorders>
              <w:top w:val="nil"/>
              <w:left w:val="nil"/>
              <w:bottom w:val="nil"/>
              <w:right w:val="nil"/>
            </w:tcBorders>
            <w:shd w:val="clear" w:color="auto" w:fill="auto"/>
            <w:noWrap/>
            <w:hideMark/>
          </w:tcPr>
          <w:p w14:paraId="66E63355"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-195.5</w:t>
            </w:r>
          </w:p>
        </w:tc>
      </w:tr>
      <w:tr w:rsidR="001211DB" w:rsidRPr="00801024" w14:paraId="33B596FC" w14:textId="77777777" w:rsidTr="00372BD2">
        <w:trPr>
          <w:trHeight w:val="283"/>
          <w:jc w:val="center"/>
        </w:trPr>
        <w:tc>
          <w:tcPr>
            <w:tcW w:w="3853" w:type="dxa"/>
            <w:tcBorders>
              <w:top w:val="nil"/>
              <w:left w:val="nil"/>
              <w:bottom w:val="nil"/>
              <w:right w:val="nil"/>
            </w:tcBorders>
            <w:shd w:val="clear" w:color="auto" w:fill="auto"/>
            <w:noWrap/>
            <w:vAlign w:val="bottom"/>
            <w:hideMark/>
          </w:tcPr>
          <w:p w14:paraId="0FCE7776" w14:textId="77777777" w:rsidR="001211DB" w:rsidRPr="00801024" w:rsidRDefault="001211DB" w:rsidP="001211DB">
            <w:pPr>
              <w:spacing w:after="0" w:line="240" w:lineRule="auto"/>
              <w:rPr>
                <w:rFonts w:ascii="Times New Roman" w:eastAsia="Times New Roman" w:hAnsi="Times New Roman"/>
                <w:sz w:val="20"/>
                <w:szCs w:val="20"/>
              </w:rPr>
            </w:pPr>
            <w:r>
              <w:rPr>
                <w:rFonts w:ascii="Times New Roman" w:eastAsia="Times New Roman" w:hAnsi="Times New Roman"/>
                <w:sz w:val="20"/>
                <w:szCs w:val="20"/>
                <w:lang w:val="mk-MK"/>
              </w:rPr>
              <w:t>Коефициент на кредити/депозити</w:t>
            </w:r>
            <w:r w:rsidRPr="00801024">
              <w:rPr>
                <w:rFonts w:ascii="Times New Roman" w:eastAsia="Times New Roman" w:hAnsi="Times New Roman"/>
                <w:sz w:val="20"/>
                <w:szCs w:val="20"/>
              </w:rPr>
              <w:t xml:space="preserve"> (</w:t>
            </w:r>
            <w:r>
              <w:rPr>
                <w:rFonts w:ascii="Times New Roman" w:eastAsia="Times New Roman" w:hAnsi="Times New Roman"/>
                <w:sz w:val="20"/>
                <w:szCs w:val="20"/>
                <w:lang w:val="mk-MK"/>
              </w:rPr>
              <w:t>бруто</w:t>
            </w:r>
            <w:r w:rsidRPr="00801024">
              <w:rPr>
                <w:rFonts w:ascii="Times New Roman" w:eastAsia="Times New Roman" w:hAnsi="Times New Roman"/>
                <w:sz w:val="20"/>
                <w:szCs w:val="20"/>
              </w:rPr>
              <w:t>)</w:t>
            </w:r>
          </w:p>
        </w:tc>
        <w:tc>
          <w:tcPr>
            <w:tcW w:w="1416" w:type="dxa"/>
            <w:gridSpan w:val="2"/>
            <w:tcBorders>
              <w:top w:val="nil"/>
              <w:left w:val="nil"/>
              <w:bottom w:val="nil"/>
              <w:right w:val="nil"/>
            </w:tcBorders>
            <w:shd w:val="clear" w:color="auto" w:fill="auto"/>
            <w:noWrap/>
            <w:hideMark/>
          </w:tcPr>
          <w:p w14:paraId="7EC9A0A3"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90.0%</w:t>
            </w:r>
          </w:p>
        </w:tc>
        <w:tc>
          <w:tcPr>
            <w:tcW w:w="1753" w:type="dxa"/>
            <w:gridSpan w:val="2"/>
            <w:tcBorders>
              <w:top w:val="nil"/>
              <w:left w:val="nil"/>
              <w:bottom w:val="nil"/>
              <w:right w:val="nil"/>
            </w:tcBorders>
            <w:shd w:val="clear" w:color="auto" w:fill="auto"/>
            <w:noWrap/>
            <w:hideMark/>
          </w:tcPr>
          <w:p w14:paraId="182484F4"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94.4%</w:t>
            </w:r>
          </w:p>
        </w:tc>
        <w:tc>
          <w:tcPr>
            <w:tcW w:w="1698" w:type="dxa"/>
            <w:gridSpan w:val="3"/>
            <w:tcBorders>
              <w:top w:val="nil"/>
              <w:left w:val="nil"/>
              <w:bottom w:val="nil"/>
              <w:right w:val="nil"/>
            </w:tcBorders>
            <w:shd w:val="clear" w:color="auto" w:fill="auto"/>
            <w:noWrap/>
            <w:hideMark/>
          </w:tcPr>
          <w:p w14:paraId="4C0D424E"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441.7</w:t>
            </w:r>
          </w:p>
        </w:tc>
      </w:tr>
      <w:tr w:rsidR="001211DB" w:rsidRPr="00801024" w14:paraId="4951F855" w14:textId="77777777" w:rsidTr="00372BD2">
        <w:trPr>
          <w:trHeight w:val="283"/>
          <w:jc w:val="center"/>
        </w:trPr>
        <w:tc>
          <w:tcPr>
            <w:tcW w:w="3853" w:type="dxa"/>
            <w:tcBorders>
              <w:top w:val="nil"/>
              <w:left w:val="nil"/>
              <w:bottom w:val="double" w:sz="6" w:space="0" w:color="auto"/>
              <w:right w:val="nil"/>
            </w:tcBorders>
            <w:shd w:val="clear" w:color="auto" w:fill="auto"/>
            <w:noWrap/>
            <w:vAlign w:val="bottom"/>
            <w:hideMark/>
          </w:tcPr>
          <w:p w14:paraId="586E038F" w14:textId="77777777" w:rsidR="001211DB" w:rsidRPr="00783F3A" w:rsidRDefault="001211DB" w:rsidP="001211DB">
            <w:pPr>
              <w:spacing w:after="0" w:line="240" w:lineRule="auto"/>
              <w:rPr>
                <w:rFonts w:ascii="Times New Roman" w:eastAsia="Times New Roman" w:hAnsi="Times New Roman"/>
                <w:sz w:val="20"/>
                <w:szCs w:val="20"/>
                <w:lang w:val="mk-MK"/>
              </w:rPr>
            </w:pPr>
            <w:r>
              <w:rPr>
                <w:rFonts w:ascii="Times New Roman" w:eastAsia="Times New Roman" w:hAnsi="Times New Roman"/>
                <w:sz w:val="20"/>
                <w:szCs w:val="20"/>
                <w:lang w:val="mk-MK"/>
              </w:rPr>
              <w:t>Коефициент на адекватност на капиталот</w:t>
            </w:r>
          </w:p>
        </w:tc>
        <w:tc>
          <w:tcPr>
            <w:tcW w:w="1416" w:type="dxa"/>
            <w:gridSpan w:val="2"/>
            <w:tcBorders>
              <w:top w:val="nil"/>
              <w:left w:val="nil"/>
              <w:bottom w:val="double" w:sz="6" w:space="0" w:color="auto"/>
              <w:right w:val="nil"/>
            </w:tcBorders>
            <w:shd w:val="clear" w:color="auto" w:fill="auto"/>
            <w:noWrap/>
            <w:hideMark/>
          </w:tcPr>
          <w:p w14:paraId="0F8B5FC4"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16.5%</w:t>
            </w:r>
          </w:p>
        </w:tc>
        <w:tc>
          <w:tcPr>
            <w:tcW w:w="1753" w:type="dxa"/>
            <w:gridSpan w:val="2"/>
            <w:tcBorders>
              <w:top w:val="nil"/>
              <w:left w:val="nil"/>
              <w:bottom w:val="double" w:sz="6" w:space="0" w:color="auto"/>
              <w:right w:val="nil"/>
            </w:tcBorders>
            <w:shd w:val="clear" w:color="auto" w:fill="auto"/>
            <w:noWrap/>
            <w:hideMark/>
          </w:tcPr>
          <w:p w14:paraId="70E59B5F"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16.6%</w:t>
            </w:r>
          </w:p>
        </w:tc>
        <w:tc>
          <w:tcPr>
            <w:tcW w:w="1698" w:type="dxa"/>
            <w:gridSpan w:val="3"/>
            <w:tcBorders>
              <w:top w:val="nil"/>
              <w:left w:val="nil"/>
              <w:bottom w:val="double" w:sz="6" w:space="0" w:color="auto"/>
              <w:right w:val="nil"/>
            </w:tcBorders>
            <w:shd w:val="clear" w:color="auto" w:fill="auto"/>
            <w:noWrap/>
            <w:hideMark/>
          </w:tcPr>
          <w:p w14:paraId="33867C0E"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14.5</w:t>
            </w:r>
          </w:p>
        </w:tc>
      </w:tr>
      <w:tr w:rsidR="001211DB" w:rsidRPr="00801024" w14:paraId="046A02BA" w14:textId="77777777" w:rsidTr="00372BD2">
        <w:trPr>
          <w:trHeight w:val="283"/>
          <w:jc w:val="center"/>
        </w:trPr>
        <w:tc>
          <w:tcPr>
            <w:tcW w:w="3853" w:type="dxa"/>
            <w:tcBorders>
              <w:top w:val="nil"/>
              <w:left w:val="nil"/>
              <w:bottom w:val="nil"/>
              <w:right w:val="nil"/>
            </w:tcBorders>
            <w:shd w:val="clear" w:color="auto" w:fill="auto"/>
            <w:noWrap/>
            <w:vAlign w:val="bottom"/>
            <w:hideMark/>
          </w:tcPr>
          <w:p w14:paraId="68B0A726" w14:textId="77777777" w:rsidR="001211DB" w:rsidRPr="00801024" w:rsidRDefault="001211DB" w:rsidP="001211DB">
            <w:pPr>
              <w:spacing w:after="0" w:line="240" w:lineRule="auto"/>
              <w:rPr>
                <w:rFonts w:ascii="Times New Roman" w:eastAsia="Times New Roman" w:hAnsi="Times New Roman"/>
                <w:sz w:val="20"/>
                <w:szCs w:val="20"/>
              </w:rPr>
            </w:pPr>
          </w:p>
        </w:tc>
        <w:tc>
          <w:tcPr>
            <w:tcW w:w="1416" w:type="dxa"/>
            <w:gridSpan w:val="2"/>
            <w:tcBorders>
              <w:top w:val="nil"/>
              <w:left w:val="nil"/>
              <w:bottom w:val="nil"/>
              <w:right w:val="nil"/>
            </w:tcBorders>
            <w:shd w:val="clear" w:color="auto" w:fill="auto"/>
            <w:noWrap/>
            <w:hideMark/>
          </w:tcPr>
          <w:p w14:paraId="5C094793" w14:textId="77777777" w:rsidR="001211DB" w:rsidRPr="00D0343C" w:rsidRDefault="001211DB" w:rsidP="001211DB">
            <w:pPr>
              <w:spacing w:after="0" w:line="240" w:lineRule="auto"/>
              <w:jc w:val="center"/>
              <w:rPr>
                <w:rFonts w:ascii="Times New Roman" w:eastAsia="Times New Roman" w:hAnsi="Times New Roman"/>
                <w:sz w:val="20"/>
                <w:szCs w:val="20"/>
              </w:rPr>
            </w:pPr>
          </w:p>
        </w:tc>
        <w:tc>
          <w:tcPr>
            <w:tcW w:w="1753" w:type="dxa"/>
            <w:gridSpan w:val="2"/>
            <w:tcBorders>
              <w:top w:val="nil"/>
              <w:left w:val="nil"/>
              <w:bottom w:val="nil"/>
              <w:right w:val="nil"/>
            </w:tcBorders>
            <w:shd w:val="clear" w:color="auto" w:fill="auto"/>
            <w:noWrap/>
            <w:hideMark/>
          </w:tcPr>
          <w:p w14:paraId="6B0BCC62" w14:textId="77777777" w:rsidR="001211DB" w:rsidRPr="005C54D3" w:rsidRDefault="001211DB" w:rsidP="001211DB">
            <w:pPr>
              <w:spacing w:after="0" w:line="240" w:lineRule="auto"/>
              <w:jc w:val="center"/>
              <w:rPr>
                <w:rFonts w:ascii="Times New Roman" w:eastAsia="Times New Roman" w:hAnsi="Times New Roman"/>
                <w:sz w:val="20"/>
                <w:szCs w:val="20"/>
              </w:rPr>
            </w:pPr>
          </w:p>
        </w:tc>
        <w:tc>
          <w:tcPr>
            <w:tcW w:w="1698" w:type="dxa"/>
            <w:gridSpan w:val="3"/>
            <w:tcBorders>
              <w:top w:val="nil"/>
              <w:left w:val="nil"/>
              <w:bottom w:val="nil"/>
              <w:right w:val="nil"/>
            </w:tcBorders>
            <w:shd w:val="clear" w:color="auto" w:fill="auto"/>
            <w:noWrap/>
            <w:hideMark/>
          </w:tcPr>
          <w:p w14:paraId="3EACC0B7" w14:textId="77777777" w:rsidR="001211DB" w:rsidRPr="00912869" w:rsidRDefault="001211DB" w:rsidP="001211DB">
            <w:pPr>
              <w:spacing w:after="0" w:line="240" w:lineRule="auto"/>
              <w:jc w:val="center"/>
              <w:rPr>
                <w:rFonts w:ascii="Times New Roman" w:eastAsia="Times New Roman" w:hAnsi="Times New Roman"/>
                <w:sz w:val="20"/>
                <w:szCs w:val="20"/>
              </w:rPr>
            </w:pPr>
          </w:p>
        </w:tc>
      </w:tr>
      <w:tr w:rsidR="001211DB" w:rsidRPr="00801024" w14:paraId="48FDE54D" w14:textId="77777777" w:rsidTr="00372BD2">
        <w:trPr>
          <w:trHeight w:val="283"/>
          <w:jc w:val="center"/>
        </w:trPr>
        <w:tc>
          <w:tcPr>
            <w:tcW w:w="3853" w:type="dxa"/>
            <w:tcBorders>
              <w:top w:val="nil"/>
              <w:left w:val="nil"/>
              <w:bottom w:val="nil"/>
              <w:right w:val="nil"/>
            </w:tcBorders>
            <w:shd w:val="clear" w:color="auto" w:fill="auto"/>
            <w:noWrap/>
            <w:vAlign w:val="bottom"/>
            <w:hideMark/>
          </w:tcPr>
          <w:p w14:paraId="71F74FAA" w14:textId="77777777" w:rsidR="001211DB" w:rsidRPr="00783F3A" w:rsidRDefault="001211DB" w:rsidP="001211DB">
            <w:pPr>
              <w:spacing w:after="0" w:line="240" w:lineRule="auto"/>
              <w:rPr>
                <w:rFonts w:ascii="Times New Roman" w:eastAsia="Times New Roman" w:hAnsi="Times New Roman"/>
                <w:sz w:val="20"/>
                <w:szCs w:val="20"/>
                <w:lang w:val="mk-MK"/>
              </w:rPr>
            </w:pPr>
            <w:r>
              <w:rPr>
                <w:rFonts w:ascii="Times New Roman" w:eastAsia="Times New Roman" w:hAnsi="Times New Roman"/>
                <w:b/>
                <w:bCs/>
                <w:sz w:val="20"/>
                <w:szCs w:val="20"/>
                <w:lang w:val="mk-MK"/>
              </w:rPr>
              <w:t>Оперативни индикатори</w:t>
            </w:r>
          </w:p>
        </w:tc>
        <w:tc>
          <w:tcPr>
            <w:tcW w:w="1416" w:type="dxa"/>
            <w:gridSpan w:val="2"/>
            <w:tcBorders>
              <w:top w:val="nil"/>
              <w:left w:val="nil"/>
              <w:bottom w:val="nil"/>
              <w:right w:val="nil"/>
            </w:tcBorders>
            <w:shd w:val="clear" w:color="auto" w:fill="auto"/>
            <w:noWrap/>
            <w:hideMark/>
          </w:tcPr>
          <w:p w14:paraId="37B83281"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2021</w:t>
            </w:r>
          </w:p>
        </w:tc>
        <w:tc>
          <w:tcPr>
            <w:tcW w:w="1753" w:type="dxa"/>
            <w:gridSpan w:val="2"/>
            <w:tcBorders>
              <w:top w:val="nil"/>
              <w:left w:val="nil"/>
              <w:bottom w:val="nil"/>
              <w:right w:val="nil"/>
            </w:tcBorders>
            <w:shd w:val="clear" w:color="auto" w:fill="auto"/>
            <w:noWrap/>
            <w:hideMark/>
          </w:tcPr>
          <w:p w14:paraId="3076618C"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2022</w:t>
            </w:r>
          </w:p>
        </w:tc>
        <w:tc>
          <w:tcPr>
            <w:tcW w:w="1698" w:type="dxa"/>
            <w:gridSpan w:val="3"/>
            <w:tcBorders>
              <w:top w:val="nil"/>
              <w:left w:val="nil"/>
              <w:bottom w:val="nil"/>
              <w:right w:val="nil"/>
            </w:tcBorders>
            <w:shd w:val="clear" w:color="auto" w:fill="auto"/>
            <w:noWrap/>
            <w:hideMark/>
          </w:tcPr>
          <w:p w14:paraId="4888F3CD" w14:textId="77777777" w:rsidR="001211DB" w:rsidRPr="00D0343C" w:rsidRDefault="001211DB" w:rsidP="001211DB">
            <w:pPr>
              <w:spacing w:after="0" w:line="240" w:lineRule="auto"/>
              <w:jc w:val="center"/>
              <w:rPr>
                <w:rFonts w:ascii="Times New Roman" w:eastAsia="Times New Roman" w:hAnsi="Times New Roman"/>
                <w:sz w:val="20"/>
                <w:szCs w:val="20"/>
                <w:lang w:val="mk-MK"/>
              </w:rPr>
            </w:pPr>
            <w:r w:rsidRPr="00372BD2">
              <w:rPr>
                <w:rFonts w:ascii="Times New Roman" w:hAnsi="Times New Roman"/>
                <w:sz w:val="20"/>
                <w:szCs w:val="20"/>
              </w:rPr>
              <w:t xml:space="preserve">change </w:t>
            </w:r>
          </w:p>
        </w:tc>
      </w:tr>
      <w:tr w:rsidR="001211DB" w:rsidRPr="00801024" w14:paraId="203EB51A" w14:textId="77777777" w:rsidTr="00372BD2">
        <w:trPr>
          <w:trHeight w:val="297"/>
          <w:jc w:val="center"/>
        </w:trPr>
        <w:tc>
          <w:tcPr>
            <w:tcW w:w="3853" w:type="dxa"/>
            <w:tcBorders>
              <w:top w:val="nil"/>
              <w:left w:val="nil"/>
              <w:bottom w:val="nil"/>
              <w:right w:val="nil"/>
            </w:tcBorders>
            <w:shd w:val="clear" w:color="auto" w:fill="auto"/>
            <w:noWrap/>
            <w:vAlign w:val="bottom"/>
            <w:hideMark/>
          </w:tcPr>
          <w:p w14:paraId="4F528F0B" w14:textId="77777777" w:rsidR="001211DB" w:rsidRPr="00783F3A" w:rsidRDefault="001211DB" w:rsidP="001211DB">
            <w:pPr>
              <w:spacing w:after="0" w:line="240" w:lineRule="auto"/>
              <w:rPr>
                <w:rFonts w:ascii="Times New Roman" w:eastAsia="Times New Roman" w:hAnsi="Times New Roman"/>
                <w:b/>
                <w:bCs/>
                <w:sz w:val="20"/>
                <w:szCs w:val="20"/>
                <w:lang w:val="mk-MK"/>
              </w:rPr>
            </w:pPr>
            <w:r>
              <w:rPr>
                <w:rFonts w:ascii="Times New Roman" w:eastAsia="Times New Roman" w:hAnsi="Times New Roman"/>
                <w:sz w:val="20"/>
                <w:szCs w:val="20"/>
                <w:lang w:val="mk-MK"/>
              </w:rPr>
              <w:t>Број на филијали</w:t>
            </w:r>
          </w:p>
        </w:tc>
        <w:tc>
          <w:tcPr>
            <w:tcW w:w="1416" w:type="dxa"/>
            <w:gridSpan w:val="2"/>
            <w:tcBorders>
              <w:top w:val="nil"/>
              <w:left w:val="nil"/>
              <w:bottom w:val="nil"/>
              <w:right w:val="nil"/>
            </w:tcBorders>
            <w:shd w:val="clear" w:color="auto" w:fill="auto"/>
            <w:hideMark/>
          </w:tcPr>
          <w:p w14:paraId="2D466B32" w14:textId="77777777" w:rsidR="001211DB" w:rsidRPr="00D0343C" w:rsidRDefault="001211DB" w:rsidP="001211DB">
            <w:pPr>
              <w:spacing w:after="0" w:line="240" w:lineRule="auto"/>
              <w:jc w:val="center"/>
              <w:rPr>
                <w:rFonts w:ascii="Times New Roman" w:eastAsia="Times New Roman" w:hAnsi="Times New Roman"/>
                <w:b/>
                <w:bCs/>
                <w:sz w:val="20"/>
                <w:szCs w:val="20"/>
              </w:rPr>
            </w:pPr>
            <w:r w:rsidRPr="00372BD2">
              <w:rPr>
                <w:rFonts w:ascii="Times New Roman" w:hAnsi="Times New Roman"/>
                <w:sz w:val="20"/>
                <w:szCs w:val="20"/>
              </w:rPr>
              <w:t>64</w:t>
            </w:r>
          </w:p>
        </w:tc>
        <w:tc>
          <w:tcPr>
            <w:tcW w:w="1753" w:type="dxa"/>
            <w:gridSpan w:val="2"/>
            <w:tcBorders>
              <w:top w:val="nil"/>
              <w:left w:val="nil"/>
              <w:bottom w:val="nil"/>
              <w:right w:val="nil"/>
            </w:tcBorders>
            <w:shd w:val="clear" w:color="auto" w:fill="auto"/>
            <w:hideMark/>
          </w:tcPr>
          <w:p w14:paraId="018B1A9C" w14:textId="77777777" w:rsidR="001211DB" w:rsidRPr="00D0343C" w:rsidRDefault="001211DB" w:rsidP="001211DB">
            <w:pPr>
              <w:spacing w:after="0" w:line="240" w:lineRule="auto"/>
              <w:jc w:val="center"/>
              <w:rPr>
                <w:rFonts w:ascii="Times New Roman" w:eastAsia="Times New Roman" w:hAnsi="Times New Roman"/>
                <w:b/>
                <w:bCs/>
                <w:sz w:val="20"/>
                <w:szCs w:val="20"/>
              </w:rPr>
            </w:pPr>
            <w:r w:rsidRPr="00372BD2">
              <w:rPr>
                <w:rFonts w:ascii="Times New Roman" w:hAnsi="Times New Roman"/>
                <w:sz w:val="20"/>
                <w:szCs w:val="20"/>
              </w:rPr>
              <w:t>62</w:t>
            </w:r>
          </w:p>
        </w:tc>
        <w:tc>
          <w:tcPr>
            <w:tcW w:w="1698" w:type="dxa"/>
            <w:gridSpan w:val="3"/>
            <w:tcBorders>
              <w:top w:val="nil"/>
              <w:left w:val="nil"/>
              <w:bottom w:val="nil"/>
              <w:right w:val="nil"/>
            </w:tcBorders>
            <w:shd w:val="clear" w:color="auto" w:fill="auto"/>
            <w:hideMark/>
          </w:tcPr>
          <w:p w14:paraId="5088840D" w14:textId="77777777" w:rsidR="001211DB" w:rsidRPr="00D0343C" w:rsidRDefault="001211DB" w:rsidP="001211DB">
            <w:pPr>
              <w:spacing w:after="0" w:line="240" w:lineRule="auto"/>
              <w:jc w:val="center"/>
              <w:rPr>
                <w:rFonts w:ascii="Times New Roman" w:eastAsia="Times New Roman" w:hAnsi="Times New Roman"/>
                <w:b/>
                <w:bCs/>
                <w:sz w:val="20"/>
                <w:szCs w:val="20"/>
              </w:rPr>
            </w:pPr>
            <w:r w:rsidRPr="00372BD2">
              <w:rPr>
                <w:rFonts w:ascii="Times New Roman" w:hAnsi="Times New Roman"/>
                <w:sz w:val="20"/>
                <w:szCs w:val="20"/>
              </w:rPr>
              <w:t>-2</w:t>
            </w:r>
          </w:p>
        </w:tc>
      </w:tr>
      <w:tr w:rsidR="001211DB" w:rsidRPr="00801024" w14:paraId="6FC0B516" w14:textId="77777777" w:rsidTr="00372BD2">
        <w:trPr>
          <w:trHeight w:val="358"/>
          <w:jc w:val="center"/>
        </w:trPr>
        <w:tc>
          <w:tcPr>
            <w:tcW w:w="3853" w:type="dxa"/>
            <w:tcBorders>
              <w:top w:val="nil"/>
              <w:left w:val="nil"/>
              <w:bottom w:val="double" w:sz="6" w:space="0" w:color="auto"/>
              <w:right w:val="nil"/>
            </w:tcBorders>
            <w:shd w:val="clear" w:color="auto" w:fill="auto"/>
            <w:noWrap/>
            <w:vAlign w:val="bottom"/>
            <w:hideMark/>
          </w:tcPr>
          <w:p w14:paraId="20B6653D" w14:textId="77777777" w:rsidR="001211DB" w:rsidRPr="00801024" w:rsidRDefault="001211DB" w:rsidP="001211DB">
            <w:pPr>
              <w:spacing w:after="0" w:line="240" w:lineRule="auto"/>
              <w:rPr>
                <w:rFonts w:ascii="Times New Roman" w:eastAsia="Times New Roman" w:hAnsi="Times New Roman"/>
                <w:sz w:val="20"/>
                <w:szCs w:val="20"/>
              </w:rPr>
            </w:pPr>
            <w:r>
              <w:rPr>
                <w:rFonts w:ascii="Times New Roman" w:eastAsia="Times New Roman" w:hAnsi="Times New Roman"/>
                <w:sz w:val="20"/>
                <w:szCs w:val="20"/>
                <w:lang w:val="mk-MK"/>
              </w:rPr>
              <w:t>Број на вработени</w:t>
            </w:r>
            <w:r w:rsidRPr="00801024">
              <w:rPr>
                <w:rFonts w:ascii="Times New Roman" w:eastAsia="Times New Roman" w:hAnsi="Times New Roman"/>
                <w:sz w:val="20"/>
                <w:szCs w:val="20"/>
              </w:rPr>
              <w:t xml:space="preserve"> (</w:t>
            </w:r>
            <w:r>
              <w:rPr>
                <w:rFonts w:ascii="Times New Roman" w:eastAsia="Times New Roman" w:hAnsi="Times New Roman"/>
                <w:sz w:val="20"/>
                <w:szCs w:val="20"/>
                <w:lang w:val="mk-MK"/>
              </w:rPr>
              <w:t>крај на период</w:t>
            </w:r>
            <w:r w:rsidRPr="00801024">
              <w:rPr>
                <w:rFonts w:ascii="Times New Roman" w:eastAsia="Times New Roman" w:hAnsi="Times New Roman"/>
                <w:sz w:val="20"/>
                <w:szCs w:val="20"/>
              </w:rPr>
              <w:t>)</w:t>
            </w:r>
          </w:p>
        </w:tc>
        <w:tc>
          <w:tcPr>
            <w:tcW w:w="1416" w:type="dxa"/>
            <w:gridSpan w:val="2"/>
            <w:tcBorders>
              <w:top w:val="nil"/>
              <w:left w:val="nil"/>
              <w:bottom w:val="double" w:sz="6" w:space="0" w:color="auto"/>
              <w:right w:val="nil"/>
            </w:tcBorders>
            <w:shd w:val="clear" w:color="auto" w:fill="auto"/>
            <w:noWrap/>
            <w:hideMark/>
          </w:tcPr>
          <w:p w14:paraId="105690E2"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983</w:t>
            </w:r>
          </w:p>
        </w:tc>
        <w:tc>
          <w:tcPr>
            <w:tcW w:w="1753" w:type="dxa"/>
            <w:gridSpan w:val="2"/>
            <w:tcBorders>
              <w:top w:val="nil"/>
              <w:left w:val="nil"/>
              <w:bottom w:val="double" w:sz="6" w:space="0" w:color="auto"/>
              <w:right w:val="nil"/>
            </w:tcBorders>
            <w:shd w:val="clear" w:color="auto" w:fill="auto"/>
            <w:noWrap/>
            <w:hideMark/>
          </w:tcPr>
          <w:p w14:paraId="6400D8A9"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979</w:t>
            </w:r>
          </w:p>
        </w:tc>
        <w:tc>
          <w:tcPr>
            <w:tcW w:w="1698" w:type="dxa"/>
            <w:gridSpan w:val="3"/>
            <w:tcBorders>
              <w:top w:val="nil"/>
              <w:left w:val="nil"/>
              <w:bottom w:val="double" w:sz="6" w:space="0" w:color="auto"/>
              <w:right w:val="nil"/>
            </w:tcBorders>
            <w:shd w:val="clear" w:color="auto" w:fill="auto"/>
            <w:noWrap/>
            <w:hideMark/>
          </w:tcPr>
          <w:p w14:paraId="0F84ABD5" w14:textId="77777777" w:rsidR="001211DB" w:rsidRPr="00D0343C" w:rsidRDefault="001211DB" w:rsidP="001211DB">
            <w:pPr>
              <w:spacing w:after="0" w:line="240" w:lineRule="auto"/>
              <w:jc w:val="center"/>
              <w:rPr>
                <w:rFonts w:ascii="Times New Roman" w:eastAsia="Times New Roman" w:hAnsi="Times New Roman"/>
                <w:sz w:val="20"/>
                <w:szCs w:val="20"/>
              </w:rPr>
            </w:pPr>
            <w:r w:rsidRPr="00372BD2">
              <w:rPr>
                <w:rFonts w:ascii="Times New Roman" w:hAnsi="Times New Roman"/>
                <w:sz w:val="20"/>
                <w:szCs w:val="20"/>
              </w:rPr>
              <w:t>-4</w:t>
            </w:r>
          </w:p>
        </w:tc>
      </w:tr>
    </w:tbl>
    <w:p w14:paraId="4EEFFB5C" w14:textId="77777777" w:rsidR="000106A8" w:rsidRPr="00783F3A" w:rsidRDefault="00783F3A" w:rsidP="008975D5">
      <w:pPr>
        <w:spacing w:before="240"/>
        <w:jc w:val="both"/>
        <w:rPr>
          <w:rFonts w:ascii="Times New Roman" w:hAnsi="Times New Roman"/>
          <w:sz w:val="18"/>
          <w:lang w:val="mk-MK"/>
        </w:rPr>
      </w:pPr>
      <w:r>
        <w:rPr>
          <w:rFonts w:ascii="Times New Roman" w:hAnsi="Times New Roman"/>
          <w:sz w:val="18"/>
          <w:lang w:val="mk-MK"/>
        </w:rPr>
        <w:t>Забелешка</w:t>
      </w:r>
      <w:r w:rsidRPr="005D7358">
        <w:rPr>
          <w:rFonts w:ascii="Times New Roman" w:hAnsi="Times New Roman"/>
          <w:sz w:val="18"/>
        </w:rPr>
        <w:t xml:space="preserve">: </w:t>
      </w:r>
      <w:r>
        <w:rPr>
          <w:rFonts w:ascii="Times New Roman" w:hAnsi="Times New Roman"/>
          <w:sz w:val="18"/>
          <w:lang w:val="mk-MK"/>
        </w:rPr>
        <w:t xml:space="preserve">Сите податоци во овој Извештај што се однесуваат на Стопанска Банка АД – Скопје се врз основа на финансиските извештаи изготвени во согласност со сметководствените прописи кои се применуваат во земјата и регулативата на НБРСМ </w:t>
      </w:r>
    </w:p>
    <w:p w14:paraId="678AE7B0" w14:textId="77777777" w:rsidR="008975D5" w:rsidRPr="00A75476" w:rsidRDefault="002D4B5E" w:rsidP="00A75476">
      <w:pPr>
        <w:pStyle w:val="Heading1"/>
        <w:rPr>
          <w:b/>
          <w:sz w:val="28"/>
          <w:lang w:val="mk-MK"/>
        </w:rPr>
      </w:pPr>
      <w:bookmarkStart w:id="18" w:name="_Toc132974471"/>
      <w:bookmarkStart w:id="19" w:name="_Toc132978831"/>
      <w:r w:rsidRPr="00A75476">
        <w:rPr>
          <w:b/>
          <w:sz w:val="28"/>
          <w:lang w:val="mk-MK"/>
        </w:rPr>
        <w:lastRenderedPageBreak/>
        <w:t>Економско опкружување</w:t>
      </w:r>
      <w:bookmarkEnd w:id="18"/>
      <w:bookmarkEnd w:id="19"/>
    </w:p>
    <w:p w14:paraId="56E74106" w14:textId="77777777" w:rsidR="00475D7F" w:rsidRDefault="00475D7F" w:rsidP="008975D5">
      <w:pPr>
        <w:spacing w:before="240"/>
        <w:jc w:val="both"/>
        <w:rPr>
          <w:rFonts w:ascii="Times New Roman" w:hAnsi="Times New Roman"/>
          <w:i/>
          <w:sz w:val="24"/>
          <w:szCs w:val="24"/>
          <w:lang w:val="mk-MK"/>
        </w:rPr>
      </w:pPr>
      <w:r>
        <w:rPr>
          <w:rFonts w:ascii="Times New Roman" w:hAnsi="Times New Roman"/>
          <w:i/>
          <w:sz w:val="24"/>
          <w:szCs w:val="24"/>
          <w:lang w:val="mk-MK"/>
        </w:rPr>
        <w:t xml:space="preserve">Во 2022 година, банкарскиот систем работеше во услови на зголемени ризици </w:t>
      </w:r>
      <w:r w:rsidR="00C720BC">
        <w:rPr>
          <w:rFonts w:ascii="Times New Roman" w:hAnsi="Times New Roman"/>
          <w:i/>
          <w:sz w:val="24"/>
          <w:szCs w:val="24"/>
          <w:lang w:val="mk-MK"/>
        </w:rPr>
        <w:t>поради</w:t>
      </w:r>
      <w:r w:rsidR="009D5AAA">
        <w:rPr>
          <w:rFonts w:ascii="Times New Roman" w:hAnsi="Times New Roman"/>
          <w:i/>
          <w:sz w:val="24"/>
          <w:szCs w:val="24"/>
          <w:lang w:val="mk-MK"/>
        </w:rPr>
        <w:t xml:space="preserve"> руско-украинската криза</w:t>
      </w:r>
      <w:r>
        <w:rPr>
          <w:rFonts w:ascii="Times New Roman" w:hAnsi="Times New Roman"/>
          <w:i/>
          <w:sz w:val="24"/>
          <w:szCs w:val="24"/>
          <w:lang w:val="mk-MK"/>
        </w:rPr>
        <w:t xml:space="preserve"> и инфлациските притисоци поврзани со енергетската криза.</w:t>
      </w:r>
      <w:r w:rsidR="00D0343C">
        <w:rPr>
          <w:rFonts w:ascii="Times New Roman" w:hAnsi="Times New Roman"/>
          <w:i/>
          <w:sz w:val="24"/>
          <w:szCs w:val="24"/>
          <w:lang w:val="mk-MK"/>
        </w:rPr>
        <w:t xml:space="preserve"> </w:t>
      </w:r>
      <w:r>
        <w:rPr>
          <w:rFonts w:ascii="Times New Roman" w:hAnsi="Times New Roman"/>
          <w:i/>
          <w:sz w:val="24"/>
          <w:szCs w:val="24"/>
          <w:lang w:val="mk-MK"/>
        </w:rPr>
        <w:t xml:space="preserve">Неизвесноста </w:t>
      </w:r>
      <w:r w:rsidR="009D5AAA">
        <w:rPr>
          <w:rFonts w:ascii="Times New Roman" w:hAnsi="Times New Roman"/>
          <w:i/>
          <w:sz w:val="24"/>
          <w:szCs w:val="24"/>
          <w:lang w:val="mk-MK"/>
        </w:rPr>
        <w:t>од продолжената геополитичка криза</w:t>
      </w:r>
      <w:r w:rsidR="00C720BC">
        <w:rPr>
          <w:rFonts w:ascii="Times New Roman" w:hAnsi="Times New Roman"/>
          <w:i/>
          <w:sz w:val="24"/>
          <w:szCs w:val="24"/>
          <w:lang w:val="mk-MK"/>
        </w:rPr>
        <w:t xml:space="preserve"> </w:t>
      </w:r>
      <w:r>
        <w:rPr>
          <w:rFonts w:ascii="Times New Roman" w:hAnsi="Times New Roman"/>
          <w:i/>
          <w:sz w:val="24"/>
          <w:szCs w:val="24"/>
          <w:lang w:val="mk-MK"/>
        </w:rPr>
        <w:t xml:space="preserve">и растот на инфлацијата, особено во делот на цените на храната и енергијата, </w:t>
      </w:r>
      <w:r w:rsidR="00C720BC">
        <w:rPr>
          <w:rFonts w:ascii="Times New Roman" w:hAnsi="Times New Roman"/>
          <w:i/>
          <w:sz w:val="24"/>
          <w:szCs w:val="24"/>
          <w:lang w:val="mk-MK"/>
        </w:rPr>
        <w:t>предизвикуваат забавување на</w:t>
      </w:r>
      <w:r>
        <w:rPr>
          <w:rFonts w:ascii="Times New Roman" w:hAnsi="Times New Roman"/>
          <w:i/>
          <w:sz w:val="24"/>
          <w:szCs w:val="24"/>
          <w:lang w:val="mk-MK"/>
        </w:rPr>
        <w:t xml:space="preserve"> глобалната економска а</w:t>
      </w:r>
      <w:r w:rsidR="00C720BC">
        <w:rPr>
          <w:rFonts w:ascii="Times New Roman" w:hAnsi="Times New Roman"/>
          <w:i/>
          <w:sz w:val="24"/>
          <w:szCs w:val="24"/>
          <w:lang w:val="mk-MK"/>
        </w:rPr>
        <w:t xml:space="preserve">ктивност со </w:t>
      </w:r>
      <w:r w:rsidR="009D5AAA">
        <w:rPr>
          <w:rFonts w:ascii="Times New Roman" w:hAnsi="Times New Roman"/>
          <w:i/>
          <w:sz w:val="24"/>
          <w:szCs w:val="24"/>
          <w:lang w:val="mk-MK"/>
        </w:rPr>
        <w:t xml:space="preserve">потенцијални </w:t>
      </w:r>
      <w:r w:rsidR="006B26F9">
        <w:rPr>
          <w:rFonts w:ascii="Times New Roman" w:hAnsi="Times New Roman"/>
          <w:i/>
          <w:sz w:val="24"/>
          <w:szCs w:val="24"/>
          <w:lang w:val="mk-MK"/>
        </w:rPr>
        <w:t xml:space="preserve">негативни економски прелевања. </w:t>
      </w:r>
      <w:r w:rsidR="009D5AAA">
        <w:rPr>
          <w:rFonts w:ascii="Times New Roman" w:hAnsi="Times New Roman"/>
          <w:i/>
          <w:sz w:val="24"/>
          <w:szCs w:val="24"/>
          <w:lang w:val="mk-MK"/>
        </w:rPr>
        <w:t xml:space="preserve">Сето </w:t>
      </w:r>
      <w:r w:rsidR="006B26F9">
        <w:rPr>
          <w:rFonts w:ascii="Times New Roman" w:hAnsi="Times New Roman"/>
          <w:i/>
          <w:sz w:val="24"/>
          <w:szCs w:val="24"/>
          <w:lang w:val="mk-MK"/>
        </w:rPr>
        <w:t xml:space="preserve">ова </w:t>
      </w:r>
      <w:r w:rsidR="00C720BC">
        <w:rPr>
          <w:rFonts w:ascii="Times New Roman" w:hAnsi="Times New Roman"/>
          <w:i/>
          <w:sz w:val="24"/>
          <w:szCs w:val="24"/>
          <w:lang w:val="mk-MK"/>
        </w:rPr>
        <w:t>придонесе кон зголемување на каматните стапки од страна на банките низ целиот свет. Се очекува сите овие прашања да останат актуелни и во 2023 година.</w:t>
      </w:r>
    </w:p>
    <w:p w14:paraId="00B66737" w14:textId="77777777" w:rsidR="008975D5" w:rsidRPr="00CB48F2" w:rsidRDefault="006B26F9" w:rsidP="00215293">
      <w:pPr>
        <w:tabs>
          <w:tab w:val="left" w:pos="0"/>
        </w:tabs>
        <w:spacing w:before="240"/>
        <w:jc w:val="both"/>
        <w:rPr>
          <w:rFonts w:ascii="Times New Roman" w:hAnsi="Times New Roman"/>
          <w:noProof/>
          <w:sz w:val="24"/>
          <w:szCs w:val="24"/>
          <w:lang w:val="mk-MK"/>
        </w:rPr>
      </w:pPr>
      <w:r>
        <w:rPr>
          <w:rFonts w:ascii="Times New Roman" w:hAnsi="Times New Roman"/>
          <w:b/>
          <w:noProof/>
          <w:sz w:val="24"/>
          <w:szCs w:val="24"/>
        </w:rPr>
        <w:drawing>
          <wp:anchor distT="0" distB="0" distL="114300" distR="114300" simplePos="0" relativeHeight="251895296" behindDoc="1" locked="0" layoutInCell="1" allowOverlap="1" wp14:anchorId="0DEC2E44" wp14:editId="38B7ABDD">
            <wp:simplePos x="0" y="0"/>
            <wp:positionH relativeFrom="margin">
              <wp:align>right</wp:align>
            </wp:positionH>
            <wp:positionV relativeFrom="paragraph">
              <wp:posOffset>81280</wp:posOffset>
            </wp:positionV>
            <wp:extent cx="2075688" cy="1645920"/>
            <wp:effectExtent l="0" t="0" r="1270" b="0"/>
            <wp:wrapTight wrapText="bothSides">
              <wp:wrapPolygon edited="0">
                <wp:start x="0" y="0"/>
                <wp:lineTo x="0" y="21250"/>
                <wp:lineTo x="21415" y="21250"/>
                <wp:lineTo x="2141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5688" cy="1645920"/>
                    </a:xfrm>
                    <a:prstGeom prst="rect">
                      <a:avLst/>
                    </a:prstGeom>
                    <a:noFill/>
                  </pic:spPr>
                </pic:pic>
              </a:graphicData>
            </a:graphic>
            <wp14:sizeRelH relativeFrom="page">
              <wp14:pctWidth>0</wp14:pctWidth>
            </wp14:sizeRelH>
            <wp14:sizeRelV relativeFrom="page">
              <wp14:pctHeight>0</wp14:pctHeight>
            </wp14:sizeRelV>
          </wp:anchor>
        </w:drawing>
      </w:r>
      <w:r w:rsidR="004E539F">
        <w:rPr>
          <w:rFonts w:ascii="Times New Roman" w:hAnsi="Times New Roman"/>
          <w:b/>
          <w:noProof/>
          <w:sz w:val="24"/>
          <w:szCs w:val="24"/>
          <w:lang w:val="mk-MK"/>
        </w:rPr>
        <w:t xml:space="preserve">Во </w:t>
      </w:r>
      <w:r w:rsidR="009D5AAA">
        <w:rPr>
          <w:rFonts w:ascii="Times New Roman" w:hAnsi="Times New Roman"/>
          <w:b/>
          <w:noProof/>
          <w:sz w:val="24"/>
          <w:szCs w:val="24"/>
          <w:lang w:val="mk-MK"/>
        </w:rPr>
        <w:t xml:space="preserve">просек, </w:t>
      </w:r>
      <w:r w:rsidR="004E539F" w:rsidRPr="004E539F">
        <w:rPr>
          <w:rFonts w:ascii="Times New Roman" w:hAnsi="Times New Roman"/>
          <w:b/>
          <w:noProof/>
          <w:sz w:val="24"/>
          <w:szCs w:val="24"/>
          <w:lang w:val="mk-MK"/>
        </w:rPr>
        <w:t>домашната економија оствари реален раст од 2</w:t>
      </w:r>
      <w:r w:rsidR="004E539F">
        <w:rPr>
          <w:rFonts w:ascii="Times New Roman" w:hAnsi="Times New Roman"/>
          <w:b/>
          <w:noProof/>
          <w:sz w:val="24"/>
          <w:szCs w:val="24"/>
          <w:lang w:val="mk-MK"/>
        </w:rPr>
        <w:t>,1</w:t>
      </w:r>
      <w:r w:rsidR="004E539F" w:rsidRPr="004E539F">
        <w:rPr>
          <w:rFonts w:ascii="Times New Roman" w:hAnsi="Times New Roman"/>
          <w:b/>
          <w:noProof/>
          <w:sz w:val="24"/>
          <w:szCs w:val="24"/>
          <w:lang w:val="mk-MK"/>
        </w:rPr>
        <w:t xml:space="preserve">% на годишна основа, </w:t>
      </w:r>
      <w:r w:rsidR="009D5AAA">
        <w:rPr>
          <w:rFonts w:ascii="Times New Roman" w:hAnsi="Times New Roman"/>
          <w:b/>
          <w:noProof/>
          <w:sz w:val="24"/>
          <w:szCs w:val="24"/>
          <w:lang w:val="mk-MK"/>
        </w:rPr>
        <w:t xml:space="preserve">за целата 2022 година, </w:t>
      </w:r>
      <w:r w:rsidR="004E539F" w:rsidRPr="004E539F">
        <w:rPr>
          <w:rFonts w:ascii="Times New Roman" w:hAnsi="Times New Roman"/>
          <w:b/>
          <w:noProof/>
          <w:sz w:val="24"/>
          <w:szCs w:val="24"/>
          <w:lang w:val="mk-MK"/>
        </w:rPr>
        <w:t xml:space="preserve">што претставува забавување во однос на </w:t>
      </w:r>
      <w:r w:rsidR="004E539F">
        <w:rPr>
          <w:rFonts w:ascii="Times New Roman" w:hAnsi="Times New Roman"/>
          <w:b/>
          <w:noProof/>
          <w:sz w:val="24"/>
          <w:szCs w:val="24"/>
          <w:lang w:val="mk-MK"/>
        </w:rPr>
        <w:t xml:space="preserve">растот од 3,9% во претходната година </w:t>
      </w:r>
      <w:r w:rsidR="00701DCF">
        <w:rPr>
          <w:rFonts w:ascii="Times New Roman" w:hAnsi="Times New Roman"/>
          <w:b/>
          <w:noProof/>
          <w:sz w:val="24"/>
          <w:szCs w:val="24"/>
          <w:lang w:val="mk-MK"/>
        </w:rPr>
        <w:t xml:space="preserve">главно </w:t>
      </w:r>
      <w:r w:rsidR="004E539F">
        <w:rPr>
          <w:rFonts w:ascii="Times New Roman" w:hAnsi="Times New Roman"/>
          <w:b/>
          <w:noProof/>
          <w:sz w:val="24"/>
          <w:szCs w:val="24"/>
          <w:lang w:val="mk-MK"/>
        </w:rPr>
        <w:t>поради</w:t>
      </w:r>
      <w:r w:rsidR="004E539F" w:rsidRPr="004E539F">
        <w:rPr>
          <w:rFonts w:ascii="Times New Roman" w:hAnsi="Times New Roman"/>
          <w:b/>
          <w:noProof/>
          <w:sz w:val="24"/>
          <w:szCs w:val="24"/>
          <w:lang w:val="mk-MK"/>
        </w:rPr>
        <w:t xml:space="preserve"> неповолните еф</w:t>
      </w:r>
      <w:r w:rsidR="004E539F">
        <w:rPr>
          <w:rFonts w:ascii="Times New Roman" w:hAnsi="Times New Roman"/>
          <w:b/>
          <w:noProof/>
          <w:sz w:val="24"/>
          <w:szCs w:val="24"/>
          <w:lang w:val="mk-MK"/>
        </w:rPr>
        <w:t xml:space="preserve">екти од енергетската криза и </w:t>
      </w:r>
      <w:r w:rsidR="004E539F" w:rsidRPr="004E539F">
        <w:rPr>
          <w:rFonts w:ascii="Times New Roman" w:hAnsi="Times New Roman"/>
          <w:b/>
          <w:noProof/>
          <w:sz w:val="24"/>
          <w:szCs w:val="24"/>
          <w:lang w:val="mk-MK"/>
        </w:rPr>
        <w:t>растот на трошоците врз одред</w:t>
      </w:r>
      <w:r w:rsidR="004E539F">
        <w:rPr>
          <w:rFonts w:ascii="Times New Roman" w:hAnsi="Times New Roman"/>
          <w:b/>
          <w:noProof/>
          <w:sz w:val="24"/>
          <w:szCs w:val="24"/>
          <w:lang w:val="mk-MK"/>
        </w:rPr>
        <w:t>ени сектори од економијата</w:t>
      </w:r>
      <w:r w:rsidR="004E539F" w:rsidRPr="004E539F">
        <w:rPr>
          <w:rFonts w:ascii="Times New Roman" w:hAnsi="Times New Roman"/>
          <w:b/>
          <w:noProof/>
          <w:sz w:val="24"/>
          <w:szCs w:val="24"/>
          <w:lang w:val="mk-MK"/>
        </w:rPr>
        <w:t>.</w:t>
      </w:r>
      <w:r w:rsidR="004E539F">
        <w:rPr>
          <w:rFonts w:ascii="Times New Roman" w:hAnsi="Times New Roman"/>
          <w:noProof/>
          <w:sz w:val="24"/>
          <w:szCs w:val="24"/>
          <w:lang w:val="mk-MK"/>
        </w:rPr>
        <w:t xml:space="preserve"> </w:t>
      </w:r>
      <w:r w:rsidR="00701DCF">
        <w:rPr>
          <w:rFonts w:ascii="Times New Roman" w:hAnsi="Times New Roman"/>
          <w:noProof/>
          <w:sz w:val="24"/>
          <w:szCs w:val="24"/>
          <w:lang w:val="mk-MK"/>
        </w:rPr>
        <w:t>Најголем позитивен придонес кон растот им</w:t>
      </w:r>
      <w:r w:rsidR="0084498E">
        <w:rPr>
          <w:rFonts w:ascii="Times New Roman" w:hAnsi="Times New Roman"/>
          <w:noProof/>
          <w:sz w:val="24"/>
          <w:szCs w:val="24"/>
          <w:lang w:val="mk-MK"/>
        </w:rPr>
        <w:t xml:space="preserve">аа трговските дејности, додека негативен придонес се забележа </w:t>
      </w:r>
      <w:r w:rsidR="00701DCF">
        <w:rPr>
          <w:rFonts w:ascii="Times New Roman" w:hAnsi="Times New Roman"/>
          <w:noProof/>
          <w:sz w:val="24"/>
          <w:szCs w:val="24"/>
          <w:lang w:val="mk-MK"/>
        </w:rPr>
        <w:t xml:space="preserve">од индустријата и градежништвото. И покрај намалувањето на реалните плати, личната потрошувачка, при крајот на годината, </w:t>
      </w:r>
      <w:r w:rsidR="0084498E">
        <w:rPr>
          <w:rFonts w:ascii="Times New Roman" w:hAnsi="Times New Roman"/>
          <w:noProof/>
          <w:sz w:val="24"/>
          <w:szCs w:val="24"/>
          <w:lang w:val="mk-MK"/>
        </w:rPr>
        <w:t xml:space="preserve">забележа раст, поддржан од зголемувањето на приватните трансфери. </w:t>
      </w:r>
      <w:r w:rsidR="002903A4">
        <w:rPr>
          <w:rFonts w:ascii="Times New Roman" w:hAnsi="Times New Roman"/>
          <w:noProof/>
          <w:sz w:val="24"/>
          <w:szCs w:val="24"/>
          <w:lang w:val="mk-MK"/>
        </w:rPr>
        <w:t>Сепак</w:t>
      </w:r>
      <w:r w:rsidR="00732069" w:rsidRPr="001C5B17">
        <w:rPr>
          <w:rFonts w:ascii="Times New Roman" w:hAnsi="Times New Roman"/>
          <w:noProof/>
          <w:sz w:val="24"/>
          <w:szCs w:val="24"/>
          <w:lang w:val="mk-MK"/>
        </w:rPr>
        <w:t xml:space="preserve">, </w:t>
      </w:r>
      <w:r w:rsidR="002903A4">
        <w:rPr>
          <w:rFonts w:ascii="Times New Roman" w:hAnsi="Times New Roman"/>
          <w:noProof/>
          <w:sz w:val="24"/>
          <w:szCs w:val="24"/>
          <w:lang w:val="mk-MK"/>
        </w:rPr>
        <w:t>актуелната глобална политичка нестабилност не дава позитивни изгледи за 202</w:t>
      </w:r>
      <w:r w:rsidR="0084498E">
        <w:rPr>
          <w:rFonts w:ascii="Times New Roman" w:hAnsi="Times New Roman"/>
          <w:noProof/>
          <w:sz w:val="24"/>
          <w:szCs w:val="24"/>
          <w:lang w:val="mk-MK"/>
        </w:rPr>
        <w:t>3</w:t>
      </w:r>
      <w:r w:rsidR="002903A4">
        <w:rPr>
          <w:rFonts w:ascii="Times New Roman" w:hAnsi="Times New Roman"/>
          <w:noProof/>
          <w:sz w:val="24"/>
          <w:szCs w:val="24"/>
          <w:lang w:val="mk-MK"/>
        </w:rPr>
        <w:t xml:space="preserve"> година</w:t>
      </w:r>
      <w:r w:rsidR="00732069" w:rsidRPr="001C5B17">
        <w:rPr>
          <w:rFonts w:ascii="Times New Roman" w:hAnsi="Times New Roman"/>
          <w:noProof/>
          <w:sz w:val="24"/>
          <w:szCs w:val="24"/>
          <w:lang w:val="mk-MK"/>
        </w:rPr>
        <w:t>.</w:t>
      </w:r>
    </w:p>
    <w:p w14:paraId="70A248E6" w14:textId="77777777" w:rsidR="008975D5" w:rsidRPr="00C709AC" w:rsidRDefault="00372BD2" w:rsidP="008975D5">
      <w:pPr>
        <w:spacing w:before="240"/>
        <w:jc w:val="both"/>
        <w:rPr>
          <w:rFonts w:ascii="Times New Roman" w:hAnsi="Times New Roman"/>
          <w:sz w:val="24"/>
          <w:szCs w:val="24"/>
          <w:lang w:val="mk-MK"/>
        </w:rPr>
      </w:pPr>
      <w:r>
        <w:rPr>
          <w:rFonts w:ascii="Times New Roman" w:hAnsi="Times New Roman"/>
          <w:noProof/>
          <w:sz w:val="24"/>
          <w:szCs w:val="24"/>
        </w:rPr>
        <w:drawing>
          <wp:anchor distT="0" distB="0" distL="114300" distR="114300" simplePos="0" relativeHeight="251888128" behindDoc="1" locked="0" layoutInCell="1" allowOverlap="1" wp14:anchorId="794909DC" wp14:editId="020C2F31">
            <wp:simplePos x="0" y="0"/>
            <wp:positionH relativeFrom="margin">
              <wp:align>right</wp:align>
            </wp:positionH>
            <wp:positionV relativeFrom="paragraph">
              <wp:posOffset>71120</wp:posOffset>
            </wp:positionV>
            <wp:extent cx="2029968" cy="1609344"/>
            <wp:effectExtent l="0" t="0" r="8890" b="0"/>
            <wp:wrapTight wrapText="bothSides">
              <wp:wrapPolygon edited="0">
                <wp:start x="0" y="0"/>
                <wp:lineTo x="0" y="21225"/>
                <wp:lineTo x="21492" y="21225"/>
                <wp:lineTo x="21492"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9968" cy="1609344"/>
                    </a:xfrm>
                    <a:prstGeom prst="rect">
                      <a:avLst/>
                    </a:prstGeom>
                    <a:noFill/>
                  </pic:spPr>
                </pic:pic>
              </a:graphicData>
            </a:graphic>
            <wp14:sizeRelH relativeFrom="page">
              <wp14:pctWidth>0</wp14:pctWidth>
            </wp14:sizeRelH>
            <wp14:sizeRelV relativeFrom="page">
              <wp14:pctHeight>0</wp14:pctHeight>
            </wp14:sizeRelV>
          </wp:anchor>
        </w:drawing>
      </w:r>
      <w:r w:rsidR="00090DB7">
        <w:rPr>
          <w:rFonts w:ascii="Times New Roman" w:hAnsi="Times New Roman"/>
          <w:sz w:val="24"/>
          <w:szCs w:val="24"/>
          <w:lang w:val="mk-MK"/>
        </w:rPr>
        <w:t xml:space="preserve">Нарушените глобални синџири на понуда и неусогласеноста на понудата и побарувачката предизвикана од </w:t>
      </w:r>
      <w:r w:rsidR="00480A3D">
        <w:rPr>
          <w:rFonts w:ascii="Times New Roman" w:hAnsi="Times New Roman"/>
          <w:sz w:val="24"/>
          <w:szCs w:val="24"/>
          <w:lang w:val="mk-MK"/>
        </w:rPr>
        <w:t>руско-украинската криза</w:t>
      </w:r>
      <w:r w:rsidR="00090DB7">
        <w:rPr>
          <w:rFonts w:ascii="Times New Roman" w:hAnsi="Times New Roman"/>
          <w:sz w:val="24"/>
          <w:szCs w:val="24"/>
          <w:lang w:val="mk-MK"/>
        </w:rPr>
        <w:t>, резултираа со висока инфлација ширум светот, која не е забележана во последните две децении</w:t>
      </w:r>
      <w:r w:rsidR="00975B15">
        <w:rPr>
          <w:rFonts w:ascii="Times New Roman" w:hAnsi="Times New Roman"/>
          <w:sz w:val="24"/>
          <w:szCs w:val="24"/>
          <w:lang w:val="mk-MK"/>
        </w:rPr>
        <w:t xml:space="preserve">, </w:t>
      </w:r>
      <w:r w:rsidR="00975B15" w:rsidRPr="00975B15">
        <w:rPr>
          <w:rFonts w:ascii="Times New Roman" w:hAnsi="Times New Roman"/>
          <w:sz w:val="24"/>
          <w:szCs w:val="24"/>
          <w:lang w:val="mk-MK"/>
        </w:rPr>
        <w:t>особено во делот на цените на храната и енергијата</w:t>
      </w:r>
      <w:r w:rsidR="00C709AC" w:rsidRPr="001C5B17">
        <w:rPr>
          <w:rFonts w:ascii="Times New Roman" w:hAnsi="Times New Roman"/>
          <w:sz w:val="24"/>
          <w:szCs w:val="24"/>
          <w:lang w:val="mk-MK"/>
        </w:rPr>
        <w:t xml:space="preserve">. </w:t>
      </w:r>
      <w:r w:rsidR="00090DB7">
        <w:rPr>
          <w:rFonts w:ascii="Times New Roman" w:hAnsi="Times New Roman"/>
          <w:b/>
          <w:sz w:val="24"/>
          <w:szCs w:val="24"/>
          <w:lang w:val="mk-MK"/>
        </w:rPr>
        <w:t>Просечната стапка на инфлација во домашната економија за 202</w:t>
      </w:r>
      <w:r w:rsidR="0084498E">
        <w:rPr>
          <w:rFonts w:ascii="Times New Roman" w:hAnsi="Times New Roman"/>
          <w:b/>
          <w:sz w:val="24"/>
          <w:szCs w:val="24"/>
          <w:lang w:val="mk-MK"/>
        </w:rPr>
        <w:t>2</w:t>
      </w:r>
      <w:r w:rsidR="00090DB7">
        <w:rPr>
          <w:rFonts w:ascii="Times New Roman" w:hAnsi="Times New Roman"/>
          <w:b/>
          <w:sz w:val="24"/>
          <w:szCs w:val="24"/>
          <w:lang w:val="mk-MK"/>
        </w:rPr>
        <w:t xml:space="preserve"> година беше </w:t>
      </w:r>
      <w:r w:rsidR="004B1E94">
        <w:rPr>
          <w:rFonts w:ascii="Times New Roman" w:hAnsi="Times New Roman"/>
          <w:b/>
          <w:sz w:val="24"/>
          <w:szCs w:val="24"/>
          <w:lang w:val="mk-MK"/>
        </w:rPr>
        <w:t>14</w:t>
      </w:r>
      <w:r w:rsidR="00090DB7">
        <w:rPr>
          <w:rFonts w:ascii="Times New Roman" w:hAnsi="Times New Roman"/>
          <w:b/>
          <w:sz w:val="24"/>
          <w:szCs w:val="24"/>
          <w:lang w:val="mk-MK"/>
        </w:rPr>
        <w:t xml:space="preserve">,2%, имајќи предвид дека годишната стапка изнесуваше </w:t>
      </w:r>
      <w:r w:rsidR="004B1E94">
        <w:rPr>
          <w:rFonts w:ascii="Times New Roman" w:hAnsi="Times New Roman"/>
          <w:b/>
          <w:sz w:val="24"/>
          <w:szCs w:val="24"/>
          <w:lang w:val="mk-MK"/>
        </w:rPr>
        <w:t>18,7</w:t>
      </w:r>
      <w:r w:rsidR="00090DB7">
        <w:rPr>
          <w:rFonts w:ascii="Times New Roman" w:hAnsi="Times New Roman"/>
          <w:b/>
          <w:sz w:val="24"/>
          <w:szCs w:val="24"/>
          <w:lang w:val="mk-MK"/>
        </w:rPr>
        <w:t>%</w:t>
      </w:r>
      <w:r w:rsidR="00C709AC" w:rsidRPr="001C5B17">
        <w:rPr>
          <w:rFonts w:ascii="Times New Roman" w:hAnsi="Times New Roman"/>
          <w:b/>
          <w:sz w:val="24"/>
          <w:szCs w:val="24"/>
          <w:lang w:val="mk-MK"/>
        </w:rPr>
        <w:t>.</w:t>
      </w:r>
      <w:r w:rsidR="00D96AEF" w:rsidRPr="001C5B17">
        <w:rPr>
          <w:rFonts w:ascii="Times New Roman" w:hAnsi="Times New Roman"/>
          <w:b/>
          <w:sz w:val="24"/>
          <w:szCs w:val="24"/>
          <w:lang w:val="mk-MK"/>
        </w:rPr>
        <w:t xml:space="preserve"> </w:t>
      </w:r>
      <w:r w:rsidR="004B1E94">
        <w:rPr>
          <w:rFonts w:ascii="Times New Roman" w:hAnsi="Times New Roman"/>
          <w:sz w:val="24"/>
          <w:szCs w:val="24"/>
          <w:lang w:val="mk-MK"/>
        </w:rPr>
        <w:t>Сеуште постои висока неизвесност во движењето на цени</w:t>
      </w:r>
      <w:r w:rsidR="00480A3D">
        <w:rPr>
          <w:rFonts w:ascii="Times New Roman" w:hAnsi="Times New Roman"/>
          <w:sz w:val="24"/>
          <w:szCs w:val="24"/>
          <w:lang w:val="mk-MK"/>
        </w:rPr>
        <w:t>те</w:t>
      </w:r>
      <w:r w:rsidR="004B1E94">
        <w:rPr>
          <w:rFonts w:ascii="Times New Roman" w:hAnsi="Times New Roman"/>
          <w:sz w:val="24"/>
          <w:szCs w:val="24"/>
          <w:lang w:val="mk-MK"/>
        </w:rPr>
        <w:t xml:space="preserve"> на примарните производи во следниот период</w:t>
      </w:r>
      <w:r w:rsidR="00C709AC" w:rsidRPr="001C5B17">
        <w:rPr>
          <w:rFonts w:ascii="Times New Roman" w:hAnsi="Times New Roman"/>
          <w:sz w:val="24"/>
          <w:szCs w:val="24"/>
          <w:lang w:val="mk-MK"/>
        </w:rPr>
        <w:t xml:space="preserve">. </w:t>
      </w:r>
    </w:p>
    <w:p w14:paraId="1CD387EF" w14:textId="77777777" w:rsidR="008975D5" w:rsidRPr="00566713" w:rsidRDefault="0044301C" w:rsidP="008975D5">
      <w:pPr>
        <w:spacing w:before="240"/>
        <w:jc w:val="both"/>
        <w:rPr>
          <w:rFonts w:ascii="Times New Roman" w:hAnsi="Times New Roman"/>
          <w:sz w:val="24"/>
          <w:szCs w:val="24"/>
          <w:lang w:val="mk-MK"/>
        </w:rPr>
      </w:pPr>
      <w:r>
        <w:rPr>
          <w:rFonts w:ascii="Times New Roman" w:hAnsi="Times New Roman"/>
          <w:b/>
          <w:noProof/>
          <w:sz w:val="24"/>
          <w:szCs w:val="24"/>
        </w:rPr>
        <w:drawing>
          <wp:anchor distT="0" distB="0" distL="114300" distR="114300" simplePos="0" relativeHeight="251890176" behindDoc="1" locked="0" layoutInCell="1" allowOverlap="1" wp14:anchorId="287B1E6E" wp14:editId="164B1B36">
            <wp:simplePos x="0" y="0"/>
            <wp:positionH relativeFrom="margin">
              <wp:align>right</wp:align>
            </wp:positionH>
            <wp:positionV relativeFrom="paragraph">
              <wp:posOffset>67945</wp:posOffset>
            </wp:positionV>
            <wp:extent cx="2020824" cy="1609344"/>
            <wp:effectExtent l="0" t="0" r="0" b="0"/>
            <wp:wrapTight wrapText="bothSides">
              <wp:wrapPolygon edited="0">
                <wp:start x="0" y="0"/>
                <wp:lineTo x="0" y="21225"/>
                <wp:lineTo x="21383" y="21225"/>
                <wp:lineTo x="21383"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0824" cy="1609344"/>
                    </a:xfrm>
                    <a:prstGeom prst="rect">
                      <a:avLst/>
                    </a:prstGeom>
                    <a:noFill/>
                  </pic:spPr>
                </pic:pic>
              </a:graphicData>
            </a:graphic>
            <wp14:sizeRelH relativeFrom="page">
              <wp14:pctWidth>0</wp14:pctWidth>
            </wp14:sizeRelH>
            <wp14:sizeRelV relativeFrom="page">
              <wp14:pctHeight>0</wp14:pctHeight>
            </wp14:sizeRelV>
          </wp:anchor>
        </w:drawing>
      </w:r>
      <w:r w:rsidR="00EB2BD0">
        <w:rPr>
          <w:rFonts w:ascii="Times New Roman" w:hAnsi="Times New Roman"/>
          <w:b/>
          <w:bCs/>
          <w:sz w:val="24"/>
          <w:szCs w:val="24"/>
          <w:lang w:val="mk-MK"/>
        </w:rPr>
        <w:t xml:space="preserve">Во буџетот на РСМ за целата 2022 година е остварен дефицит од 577 милиони </w:t>
      </w:r>
      <w:r w:rsidR="00D0343C">
        <w:rPr>
          <w:rFonts w:ascii="Times New Roman" w:hAnsi="Times New Roman"/>
          <w:b/>
          <w:bCs/>
          <w:sz w:val="24"/>
          <w:szCs w:val="24"/>
          <w:lang w:val="mk-MK"/>
        </w:rPr>
        <w:t>евра</w:t>
      </w:r>
      <w:r w:rsidR="003B5F5C">
        <w:rPr>
          <w:rFonts w:ascii="Times New Roman" w:hAnsi="Times New Roman"/>
          <w:bCs/>
          <w:sz w:val="24"/>
          <w:szCs w:val="24"/>
          <w:lang w:val="mk-MK"/>
        </w:rPr>
        <w:t>.</w:t>
      </w:r>
      <w:r w:rsidR="00D96AEF" w:rsidRPr="001C5B17">
        <w:rPr>
          <w:rFonts w:ascii="Times New Roman" w:hAnsi="Times New Roman"/>
          <w:bCs/>
          <w:sz w:val="24"/>
          <w:szCs w:val="24"/>
          <w:lang w:val="mk-MK"/>
        </w:rPr>
        <w:t xml:space="preserve"> </w:t>
      </w:r>
      <w:r w:rsidR="003B5F5C">
        <w:rPr>
          <w:rFonts w:ascii="Times New Roman" w:hAnsi="Times New Roman"/>
          <w:bCs/>
          <w:sz w:val="24"/>
          <w:szCs w:val="24"/>
          <w:lang w:val="mk-MK"/>
        </w:rPr>
        <w:t xml:space="preserve">Воден од </w:t>
      </w:r>
      <w:r w:rsidR="00EB2BD0">
        <w:rPr>
          <w:rFonts w:ascii="Times New Roman" w:hAnsi="Times New Roman"/>
          <w:bCs/>
          <w:sz w:val="24"/>
          <w:szCs w:val="24"/>
          <w:lang w:val="mk-MK"/>
        </w:rPr>
        <w:t>по</w:t>
      </w:r>
      <w:r w:rsidR="003B5F5C">
        <w:rPr>
          <w:rFonts w:ascii="Times New Roman" w:hAnsi="Times New Roman"/>
          <w:bCs/>
          <w:sz w:val="24"/>
          <w:szCs w:val="24"/>
          <w:lang w:val="mk-MK"/>
        </w:rPr>
        <w:t xml:space="preserve">силните перформанси кај приходите (раст од </w:t>
      </w:r>
      <w:r w:rsidR="00EB2BD0">
        <w:rPr>
          <w:rFonts w:ascii="Times New Roman" w:hAnsi="Times New Roman"/>
          <w:bCs/>
          <w:sz w:val="24"/>
          <w:szCs w:val="24"/>
          <w:lang w:val="mk-MK"/>
        </w:rPr>
        <w:t>11,5</w:t>
      </w:r>
      <w:r w:rsidR="003B5F5C">
        <w:rPr>
          <w:rFonts w:ascii="Times New Roman" w:hAnsi="Times New Roman"/>
          <w:bCs/>
          <w:sz w:val="24"/>
          <w:szCs w:val="24"/>
          <w:lang w:val="mk-MK"/>
        </w:rPr>
        <w:t>%)</w:t>
      </w:r>
      <w:r w:rsidR="00EB2BD0">
        <w:rPr>
          <w:rFonts w:ascii="Times New Roman" w:hAnsi="Times New Roman"/>
          <w:bCs/>
          <w:sz w:val="24"/>
          <w:szCs w:val="24"/>
          <w:lang w:val="mk-MK"/>
        </w:rPr>
        <w:t xml:space="preserve"> во однос на расходите (раст од 8,4%)</w:t>
      </w:r>
      <w:r w:rsidR="003B5F5C">
        <w:rPr>
          <w:rFonts w:ascii="Times New Roman" w:hAnsi="Times New Roman"/>
          <w:bCs/>
          <w:sz w:val="24"/>
          <w:szCs w:val="24"/>
          <w:lang w:val="mk-MK"/>
        </w:rPr>
        <w:t>, буџетскиот дефицит во 202</w:t>
      </w:r>
      <w:r w:rsidR="00EB2BD0">
        <w:rPr>
          <w:rFonts w:ascii="Times New Roman" w:hAnsi="Times New Roman"/>
          <w:bCs/>
          <w:sz w:val="24"/>
          <w:szCs w:val="24"/>
          <w:lang w:val="mk-MK"/>
        </w:rPr>
        <w:t>2</w:t>
      </w:r>
      <w:r w:rsidR="003B5F5C">
        <w:rPr>
          <w:rFonts w:ascii="Times New Roman" w:hAnsi="Times New Roman"/>
          <w:bCs/>
          <w:sz w:val="24"/>
          <w:szCs w:val="24"/>
          <w:lang w:val="mk-MK"/>
        </w:rPr>
        <w:t xml:space="preserve"> година се редуцираше на </w:t>
      </w:r>
      <w:r w:rsidR="00EB2BD0">
        <w:rPr>
          <w:rFonts w:ascii="Times New Roman" w:hAnsi="Times New Roman"/>
          <w:bCs/>
          <w:sz w:val="24"/>
          <w:szCs w:val="24"/>
          <w:lang w:val="mk-MK"/>
        </w:rPr>
        <w:t>4</w:t>
      </w:r>
      <w:r w:rsidR="003B5F5C">
        <w:rPr>
          <w:rFonts w:ascii="Times New Roman" w:hAnsi="Times New Roman"/>
          <w:bCs/>
          <w:sz w:val="24"/>
          <w:szCs w:val="24"/>
          <w:lang w:val="mk-MK"/>
        </w:rPr>
        <w:t>,</w:t>
      </w:r>
      <w:r w:rsidR="00EB2BD0">
        <w:rPr>
          <w:rFonts w:ascii="Times New Roman" w:hAnsi="Times New Roman"/>
          <w:bCs/>
          <w:sz w:val="24"/>
          <w:szCs w:val="24"/>
          <w:lang w:val="mk-MK"/>
        </w:rPr>
        <w:t>5</w:t>
      </w:r>
      <w:r w:rsidR="003B5F5C">
        <w:rPr>
          <w:rFonts w:ascii="Times New Roman" w:hAnsi="Times New Roman"/>
          <w:bCs/>
          <w:sz w:val="24"/>
          <w:szCs w:val="24"/>
          <w:lang w:val="mk-MK"/>
        </w:rPr>
        <w:t>% од БДП</w:t>
      </w:r>
      <w:r w:rsidR="00566713" w:rsidRPr="001C5B17">
        <w:rPr>
          <w:rFonts w:ascii="Times New Roman" w:hAnsi="Times New Roman"/>
          <w:bCs/>
          <w:sz w:val="24"/>
          <w:szCs w:val="24"/>
          <w:lang w:val="mk-MK"/>
        </w:rPr>
        <w:t xml:space="preserve">. </w:t>
      </w:r>
      <w:r w:rsidR="00C73C24" w:rsidRPr="001C5B17">
        <w:rPr>
          <w:rFonts w:ascii="Times New Roman" w:hAnsi="Times New Roman"/>
          <w:bCs/>
          <w:sz w:val="24"/>
          <w:szCs w:val="24"/>
          <w:lang w:val="mk-MK"/>
        </w:rPr>
        <w:t xml:space="preserve">Буџетскиот дефицит во целост е финансиран преку задолжување на државата на странскиот и на домашниот пазар, како и од депозитите на државата кај Народната банка. </w:t>
      </w:r>
      <w:r w:rsidR="00C73C24" w:rsidRPr="001C5B17">
        <w:rPr>
          <w:rFonts w:ascii="Times New Roman" w:hAnsi="Times New Roman"/>
          <w:bCs/>
          <w:sz w:val="24"/>
          <w:szCs w:val="24"/>
          <w:lang w:val="mk-MK"/>
        </w:rPr>
        <w:lastRenderedPageBreak/>
        <w:t>Остварениот буџетски дефицит за 2022 година претставува 83% од планираниот дефицит на Буџетот за 2022 година.</w:t>
      </w:r>
      <w:r w:rsidR="00C73C24">
        <w:rPr>
          <w:rFonts w:ascii="Times New Roman" w:hAnsi="Times New Roman"/>
          <w:bCs/>
          <w:sz w:val="24"/>
          <w:szCs w:val="24"/>
          <w:lang w:val="mk-MK"/>
        </w:rPr>
        <w:t xml:space="preserve"> </w:t>
      </w:r>
      <w:r w:rsidR="003B5F5C">
        <w:rPr>
          <w:rFonts w:ascii="Times New Roman" w:hAnsi="Times New Roman"/>
          <w:bCs/>
          <w:sz w:val="24"/>
          <w:szCs w:val="24"/>
          <w:lang w:val="mk-MK"/>
        </w:rPr>
        <w:t>На крајот од 202</w:t>
      </w:r>
      <w:r w:rsidR="00C73C24">
        <w:rPr>
          <w:rFonts w:ascii="Times New Roman" w:hAnsi="Times New Roman"/>
          <w:bCs/>
          <w:sz w:val="24"/>
          <w:szCs w:val="24"/>
          <w:lang w:val="mk-MK"/>
        </w:rPr>
        <w:t>2</w:t>
      </w:r>
      <w:r w:rsidR="003B5F5C">
        <w:rPr>
          <w:rFonts w:ascii="Times New Roman" w:hAnsi="Times New Roman"/>
          <w:bCs/>
          <w:sz w:val="24"/>
          <w:szCs w:val="24"/>
          <w:lang w:val="mk-MK"/>
        </w:rPr>
        <w:t xml:space="preserve"> година </w:t>
      </w:r>
      <w:r w:rsidR="003B5F5C" w:rsidRPr="007B679B">
        <w:rPr>
          <w:rFonts w:ascii="Times New Roman" w:hAnsi="Times New Roman"/>
          <w:b/>
          <w:bCs/>
          <w:sz w:val="24"/>
          <w:szCs w:val="24"/>
          <w:lang w:val="mk-MK"/>
        </w:rPr>
        <w:t>јавниот долг</w:t>
      </w:r>
      <w:r w:rsidR="003B5F5C">
        <w:rPr>
          <w:rFonts w:ascii="Times New Roman" w:hAnsi="Times New Roman"/>
          <w:bCs/>
          <w:sz w:val="24"/>
          <w:szCs w:val="24"/>
          <w:lang w:val="mk-MK"/>
        </w:rPr>
        <w:t xml:space="preserve"> изнесуваше </w:t>
      </w:r>
      <w:r w:rsidR="00C73C24">
        <w:rPr>
          <w:rFonts w:ascii="Times New Roman" w:hAnsi="Times New Roman"/>
          <w:bCs/>
          <w:sz w:val="24"/>
          <w:szCs w:val="24"/>
          <w:lang w:val="mk-MK"/>
        </w:rPr>
        <w:t>7.702,9</w:t>
      </w:r>
      <w:r w:rsidR="003B5F5C">
        <w:rPr>
          <w:rFonts w:ascii="Times New Roman" w:hAnsi="Times New Roman"/>
          <w:bCs/>
          <w:sz w:val="24"/>
          <w:szCs w:val="24"/>
          <w:lang w:val="mk-MK"/>
        </w:rPr>
        <w:t xml:space="preserve"> милиони евра или </w:t>
      </w:r>
      <w:r w:rsidR="00C73C24">
        <w:rPr>
          <w:rFonts w:ascii="Times New Roman" w:hAnsi="Times New Roman"/>
          <w:bCs/>
          <w:sz w:val="24"/>
          <w:szCs w:val="24"/>
          <w:lang w:val="mk-MK"/>
        </w:rPr>
        <w:t>59,7</w:t>
      </w:r>
      <w:r w:rsidR="003B5F5C">
        <w:rPr>
          <w:rFonts w:ascii="Times New Roman" w:hAnsi="Times New Roman"/>
          <w:bCs/>
          <w:sz w:val="24"/>
          <w:szCs w:val="24"/>
          <w:lang w:val="mk-MK"/>
        </w:rPr>
        <w:t>% од БДП</w:t>
      </w:r>
      <w:r w:rsidR="00566713" w:rsidRPr="001C5B17">
        <w:rPr>
          <w:rFonts w:ascii="Times New Roman" w:hAnsi="Times New Roman"/>
          <w:bCs/>
          <w:sz w:val="24"/>
          <w:szCs w:val="24"/>
          <w:lang w:val="mk-MK"/>
        </w:rPr>
        <w:t xml:space="preserve">. </w:t>
      </w:r>
      <w:r w:rsidR="007B679B">
        <w:rPr>
          <w:rFonts w:ascii="Times New Roman" w:hAnsi="Times New Roman"/>
          <w:bCs/>
          <w:sz w:val="24"/>
          <w:szCs w:val="24"/>
          <w:lang w:val="mk-MK"/>
        </w:rPr>
        <w:t>Во согласност со Стратегијата за управување со јавниот долг, останува стремежот да се намали нивото на јавен долг значајно под мастришкиот критериум од 60% до 2026 година</w:t>
      </w:r>
      <w:r w:rsidR="00566713" w:rsidRPr="001C5B17">
        <w:rPr>
          <w:rFonts w:ascii="Times New Roman" w:hAnsi="Times New Roman"/>
          <w:bCs/>
          <w:sz w:val="24"/>
          <w:szCs w:val="24"/>
          <w:lang w:val="mk-MK"/>
        </w:rPr>
        <w:t>.</w:t>
      </w:r>
    </w:p>
    <w:p w14:paraId="7A129BE2" w14:textId="77777777" w:rsidR="008975D5" w:rsidRPr="001C5B17" w:rsidRDefault="00DB2C7D" w:rsidP="008975D5">
      <w:pPr>
        <w:spacing w:before="240"/>
        <w:jc w:val="both"/>
        <w:rPr>
          <w:rFonts w:ascii="Times New Roman" w:hAnsi="Times New Roman"/>
          <w:noProof/>
          <w:sz w:val="24"/>
          <w:szCs w:val="24"/>
          <w:lang w:val="mk-MK"/>
        </w:rPr>
      </w:pPr>
      <w:r>
        <w:rPr>
          <w:rFonts w:ascii="Times New Roman" w:hAnsi="Times New Roman"/>
          <w:b/>
          <w:noProof/>
          <w:sz w:val="24"/>
          <w:szCs w:val="24"/>
        </w:rPr>
        <w:drawing>
          <wp:anchor distT="0" distB="0" distL="114300" distR="114300" simplePos="0" relativeHeight="251896320" behindDoc="1" locked="0" layoutInCell="1" allowOverlap="1" wp14:anchorId="5A5FA867" wp14:editId="22CC63B1">
            <wp:simplePos x="0" y="0"/>
            <wp:positionH relativeFrom="margin">
              <wp:align>right</wp:align>
            </wp:positionH>
            <wp:positionV relativeFrom="paragraph">
              <wp:posOffset>59055</wp:posOffset>
            </wp:positionV>
            <wp:extent cx="2047875" cy="1636395"/>
            <wp:effectExtent l="0" t="0" r="9525" b="1905"/>
            <wp:wrapTight wrapText="bothSides">
              <wp:wrapPolygon edited="0">
                <wp:start x="0" y="0"/>
                <wp:lineTo x="0" y="21374"/>
                <wp:lineTo x="21500" y="21374"/>
                <wp:lineTo x="2150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47875" cy="1636395"/>
                    </a:xfrm>
                    <a:prstGeom prst="rect">
                      <a:avLst/>
                    </a:prstGeom>
                    <a:noFill/>
                  </pic:spPr>
                </pic:pic>
              </a:graphicData>
            </a:graphic>
            <wp14:sizeRelH relativeFrom="page">
              <wp14:pctWidth>0</wp14:pctWidth>
            </wp14:sizeRelH>
            <wp14:sizeRelV relativeFrom="page">
              <wp14:pctHeight>0</wp14:pctHeight>
            </wp14:sizeRelV>
          </wp:anchor>
        </w:drawing>
      </w:r>
      <w:r w:rsidR="00E54632">
        <w:rPr>
          <w:rFonts w:ascii="Times New Roman" w:hAnsi="Times New Roman"/>
          <w:b/>
          <w:noProof/>
          <w:sz w:val="24"/>
          <w:szCs w:val="24"/>
          <w:lang w:val="mk-MK"/>
        </w:rPr>
        <w:t>Надворешната позиција во 202</w:t>
      </w:r>
      <w:r w:rsidR="00821C23" w:rsidRPr="001C5B17">
        <w:rPr>
          <w:rFonts w:ascii="Times New Roman" w:hAnsi="Times New Roman"/>
          <w:b/>
          <w:noProof/>
          <w:sz w:val="24"/>
          <w:szCs w:val="24"/>
          <w:lang w:val="mk-MK"/>
        </w:rPr>
        <w:t>2</w:t>
      </w:r>
      <w:r w:rsidR="00E54632">
        <w:rPr>
          <w:rFonts w:ascii="Times New Roman" w:hAnsi="Times New Roman"/>
          <w:b/>
          <w:noProof/>
          <w:sz w:val="24"/>
          <w:szCs w:val="24"/>
          <w:lang w:val="mk-MK"/>
        </w:rPr>
        <w:t xml:space="preserve"> година </w:t>
      </w:r>
      <w:r w:rsidR="00821C23">
        <w:rPr>
          <w:rFonts w:ascii="Times New Roman" w:hAnsi="Times New Roman"/>
          <w:b/>
          <w:noProof/>
          <w:sz w:val="24"/>
          <w:szCs w:val="24"/>
          <w:lang w:val="mk-MK"/>
        </w:rPr>
        <w:t>се зголеми</w:t>
      </w:r>
      <w:r w:rsidR="00E54632">
        <w:rPr>
          <w:rFonts w:ascii="Times New Roman" w:hAnsi="Times New Roman"/>
          <w:b/>
          <w:noProof/>
          <w:sz w:val="24"/>
          <w:szCs w:val="24"/>
          <w:lang w:val="mk-MK"/>
        </w:rPr>
        <w:t xml:space="preserve"> резултирајќи со дефицит на тековната сметка од </w:t>
      </w:r>
      <w:r w:rsidR="00821C23">
        <w:rPr>
          <w:rFonts w:ascii="Times New Roman" w:hAnsi="Times New Roman"/>
          <w:b/>
          <w:noProof/>
          <w:sz w:val="24"/>
          <w:szCs w:val="24"/>
          <w:lang w:val="mk-MK"/>
        </w:rPr>
        <w:t>772.4</w:t>
      </w:r>
      <w:r w:rsidR="00E54632">
        <w:rPr>
          <w:rFonts w:ascii="Times New Roman" w:hAnsi="Times New Roman"/>
          <w:b/>
          <w:noProof/>
          <w:sz w:val="24"/>
          <w:szCs w:val="24"/>
          <w:lang w:val="mk-MK"/>
        </w:rPr>
        <w:t xml:space="preserve"> милиони евра или </w:t>
      </w:r>
      <w:r w:rsidR="00821C23">
        <w:rPr>
          <w:rFonts w:ascii="Times New Roman" w:hAnsi="Times New Roman"/>
          <w:b/>
          <w:noProof/>
          <w:sz w:val="24"/>
          <w:szCs w:val="24"/>
          <w:lang w:val="mk-MK"/>
        </w:rPr>
        <w:t>6,0</w:t>
      </w:r>
      <w:r w:rsidR="00E54632">
        <w:rPr>
          <w:rFonts w:ascii="Times New Roman" w:hAnsi="Times New Roman"/>
          <w:b/>
          <w:noProof/>
          <w:sz w:val="24"/>
          <w:szCs w:val="24"/>
          <w:lang w:val="mk-MK"/>
        </w:rPr>
        <w:t>% од БДП</w:t>
      </w:r>
      <w:r w:rsidR="000D70FE" w:rsidRPr="001C5B17">
        <w:rPr>
          <w:rFonts w:ascii="Times New Roman" w:hAnsi="Times New Roman"/>
          <w:b/>
          <w:noProof/>
          <w:sz w:val="24"/>
          <w:szCs w:val="24"/>
          <w:lang w:val="mk-MK"/>
        </w:rPr>
        <w:t>.</w:t>
      </w:r>
      <w:r w:rsidR="00D96AEF" w:rsidRPr="001C5B17">
        <w:rPr>
          <w:rFonts w:ascii="Times New Roman" w:hAnsi="Times New Roman"/>
          <w:b/>
          <w:noProof/>
          <w:sz w:val="24"/>
          <w:szCs w:val="24"/>
          <w:lang w:val="mk-MK"/>
        </w:rPr>
        <w:t xml:space="preserve"> </w:t>
      </w:r>
      <w:r w:rsidR="00E54632">
        <w:rPr>
          <w:rFonts w:ascii="Times New Roman" w:hAnsi="Times New Roman"/>
          <w:noProof/>
          <w:sz w:val="24"/>
          <w:szCs w:val="24"/>
          <w:lang w:val="mk-MK"/>
        </w:rPr>
        <w:t xml:space="preserve">Приватните трансфери пораснаа достигнувајќи </w:t>
      </w:r>
      <w:r w:rsidR="007C4528" w:rsidRPr="001C5B17">
        <w:rPr>
          <w:rFonts w:ascii="Times New Roman" w:hAnsi="Times New Roman"/>
          <w:noProof/>
          <w:sz w:val="24"/>
          <w:szCs w:val="24"/>
          <w:lang w:val="mk-MK"/>
        </w:rPr>
        <w:t>2,444.5</w:t>
      </w:r>
      <w:r w:rsidR="00E54632">
        <w:rPr>
          <w:rFonts w:ascii="Times New Roman" w:hAnsi="Times New Roman"/>
          <w:noProof/>
          <w:sz w:val="24"/>
          <w:szCs w:val="24"/>
          <w:lang w:val="mk-MK"/>
        </w:rPr>
        <w:t xml:space="preserve"> милиони евра, што е за </w:t>
      </w:r>
      <w:r w:rsidR="007C4528" w:rsidRPr="001C5B17">
        <w:rPr>
          <w:rFonts w:ascii="Times New Roman" w:hAnsi="Times New Roman"/>
          <w:noProof/>
          <w:sz w:val="24"/>
          <w:szCs w:val="24"/>
          <w:lang w:val="mk-MK"/>
        </w:rPr>
        <w:t>29,3</w:t>
      </w:r>
      <w:r w:rsidR="00E54632">
        <w:rPr>
          <w:rFonts w:ascii="Times New Roman" w:hAnsi="Times New Roman"/>
          <w:noProof/>
          <w:sz w:val="24"/>
          <w:szCs w:val="24"/>
          <w:lang w:val="mk-MK"/>
        </w:rPr>
        <w:t xml:space="preserve">% повеќе од претходната година, покривајќи </w:t>
      </w:r>
      <w:r w:rsidR="007C4528" w:rsidRPr="001C5B17">
        <w:rPr>
          <w:rFonts w:ascii="Times New Roman" w:hAnsi="Times New Roman"/>
          <w:noProof/>
          <w:sz w:val="24"/>
          <w:szCs w:val="24"/>
          <w:lang w:val="mk-MK"/>
        </w:rPr>
        <w:t>90,1</w:t>
      </w:r>
      <w:r w:rsidR="00E54632">
        <w:rPr>
          <w:rFonts w:ascii="Times New Roman" w:hAnsi="Times New Roman"/>
          <w:noProof/>
          <w:sz w:val="24"/>
          <w:szCs w:val="24"/>
          <w:lang w:val="mk-MK"/>
        </w:rPr>
        <w:t>% од трговскиот дефицит</w:t>
      </w:r>
      <w:r w:rsidR="000D70FE" w:rsidRPr="001C5B17">
        <w:rPr>
          <w:rFonts w:ascii="Times New Roman" w:hAnsi="Times New Roman"/>
          <w:noProof/>
          <w:sz w:val="24"/>
          <w:szCs w:val="24"/>
          <w:lang w:val="mk-MK"/>
        </w:rPr>
        <w:t xml:space="preserve">. </w:t>
      </w:r>
      <w:r w:rsidR="005B748D">
        <w:rPr>
          <w:rFonts w:ascii="Times New Roman" w:hAnsi="Times New Roman"/>
          <w:noProof/>
          <w:sz w:val="24"/>
          <w:szCs w:val="24"/>
          <w:lang w:val="mk-MK"/>
        </w:rPr>
        <w:t xml:space="preserve">Во однос на финансиската сметка, странските директни инвестиции исто така пораснаа </w:t>
      </w:r>
      <w:r w:rsidR="007C4528">
        <w:rPr>
          <w:rFonts w:ascii="Times New Roman" w:hAnsi="Times New Roman"/>
          <w:noProof/>
          <w:sz w:val="24"/>
          <w:szCs w:val="24"/>
          <w:lang w:val="mk-MK"/>
        </w:rPr>
        <w:t xml:space="preserve">за 60% споредено со 2021, </w:t>
      </w:r>
      <w:r w:rsidR="005B748D">
        <w:rPr>
          <w:rFonts w:ascii="Times New Roman" w:hAnsi="Times New Roman"/>
          <w:noProof/>
          <w:sz w:val="24"/>
          <w:szCs w:val="24"/>
          <w:lang w:val="mk-MK"/>
        </w:rPr>
        <w:t xml:space="preserve">достигнувајќи </w:t>
      </w:r>
      <w:r w:rsidR="007C4528">
        <w:rPr>
          <w:rFonts w:ascii="Times New Roman" w:hAnsi="Times New Roman"/>
          <w:noProof/>
          <w:sz w:val="24"/>
          <w:szCs w:val="24"/>
          <w:lang w:val="mk-MK"/>
        </w:rPr>
        <w:t xml:space="preserve">754 </w:t>
      </w:r>
      <w:r w:rsidR="005B748D">
        <w:rPr>
          <w:rFonts w:ascii="Times New Roman" w:hAnsi="Times New Roman"/>
          <w:noProof/>
          <w:sz w:val="24"/>
          <w:szCs w:val="24"/>
          <w:lang w:val="mk-MK"/>
        </w:rPr>
        <w:t>милиони евра</w:t>
      </w:r>
      <w:r w:rsidR="001F44EF" w:rsidRPr="001C5B17">
        <w:rPr>
          <w:rFonts w:ascii="Times New Roman" w:hAnsi="Times New Roman"/>
          <w:noProof/>
          <w:sz w:val="24"/>
          <w:szCs w:val="24"/>
          <w:lang w:val="mk-MK"/>
        </w:rPr>
        <w:t xml:space="preserve">. </w:t>
      </w:r>
      <w:r w:rsidR="005B748D">
        <w:rPr>
          <w:rFonts w:ascii="Times New Roman" w:hAnsi="Times New Roman"/>
          <w:noProof/>
          <w:sz w:val="24"/>
          <w:szCs w:val="24"/>
          <w:lang w:val="mk-MK"/>
        </w:rPr>
        <w:t>Соодветното ниво на бруто девизните резерви (</w:t>
      </w:r>
      <w:r w:rsidR="007C4528">
        <w:rPr>
          <w:rFonts w:ascii="Times New Roman" w:hAnsi="Times New Roman"/>
          <w:noProof/>
          <w:sz w:val="24"/>
          <w:szCs w:val="24"/>
          <w:lang w:val="mk-MK"/>
        </w:rPr>
        <w:t>3,862.9</w:t>
      </w:r>
      <w:r w:rsidR="005B748D">
        <w:rPr>
          <w:rFonts w:ascii="Times New Roman" w:hAnsi="Times New Roman"/>
          <w:noProof/>
          <w:sz w:val="24"/>
          <w:szCs w:val="24"/>
          <w:lang w:val="mk-MK"/>
        </w:rPr>
        <w:t xml:space="preserve"> милиони евра или </w:t>
      </w:r>
      <w:r w:rsidR="007C4528">
        <w:rPr>
          <w:rFonts w:ascii="Times New Roman" w:hAnsi="Times New Roman"/>
          <w:noProof/>
          <w:sz w:val="24"/>
          <w:szCs w:val="24"/>
          <w:lang w:val="mk-MK"/>
        </w:rPr>
        <w:t>3,7</w:t>
      </w:r>
      <w:r w:rsidR="005B748D">
        <w:rPr>
          <w:rFonts w:ascii="Times New Roman" w:hAnsi="Times New Roman"/>
          <w:noProof/>
          <w:sz w:val="24"/>
          <w:szCs w:val="24"/>
          <w:lang w:val="mk-MK"/>
        </w:rPr>
        <w:t xml:space="preserve"> месечна покриеност на увозот) овозможи доволна амортизација при потенцијални непредвидени шокови</w:t>
      </w:r>
      <w:r w:rsidR="001F44EF" w:rsidRPr="001C5B17">
        <w:rPr>
          <w:rFonts w:ascii="Times New Roman" w:hAnsi="Times New Roman"/>
          <w:noProof/>
          <w:sz w:val="24"/>
          <w:szCs w:val="24"/>
          <w:lang w:val="mk-MK"/>
        </w:rPr>
        <w:t xml:space="preserve">. </w:t>
      </w:r>
    </w:p>
    <w:p w14:paraId="36F338EB" w14:textId="77777777" w:rsidR="00C06170" w:rsidRPr="001C5B17" w:rsidRDefault="00372BD2" w:rsidP="00C06170">
      <w:pPr>
        <w:spacing w:before="240" w:after="0"/>
        <w:jc w:val="both"/>
        <w:rPr>
          <w:rFonts w:ascii="Times New Roman" w:hAnsi="Times New Roman"/>
          <w:sz w:val="24"/>
          <w:szCs w:val="24"/>
          <w:lang w:val="mk-MK"/>
        </w:rPr>
      </w:pPr>
      <w:r>
        <w:rPr>
          <w:rFonts w:ascii="Times New Roman" w:hAnsi="Times New Roman"/>
          <w:b/>
          <w:noProof/>
          <w:sz w:val="24"/>
          <w:szCs w:val="24"/>
        </w:rPr>
        <w:drawing>
          <wp:anchor distT="0" distB="0" distL="114300" distR="114300" simplePos="0" relativeHeight="251891200" behindDoc="1" locked="0" layoutInCell="1" allowOverlap="1" wp14:anchorId="161942D6" wp14:editId="6225D4CC">
            <wp:simplePos x="0" y="0"/>
            <wp:positionH relativeFrom="margin">
              <wp:align>right</wp:align>
            </wp:positionH>
            <wp:positionV relativeFrom="paragraph">
              <wp:posOffset>37465</wp:posOffset>
            </wp:positionV>
            <wp:extent cx="2048256" cy="1609344"/>
            <wp:effectExtent l="0" t="0" r="9525" b="0"/>
            <wp:wrapTight wrapText="bothSides">
              <wp:wrapPolygon edited="0">
                <wp:start x="0" y="0"/>
                <wp:lineTo x="0" y="21225"/>
                <wp:lineTo x="21500" y="21225"/>
                <wp:lineTo x="21500"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8256" cy="1609344"/>
                    </a:xfrm>
                    <a:prstGeom prst="rect">
                      <a:avLst/>
                    </a:prstGeom>
                    <a:noFill/>
                  </pic:spPr>
                </pic:pic>
              </a:graphicData>
            </a:graphic>
            <wp14:sizeRelH relativeFrom="page">
              <wp14:pctWidth>0</wp14:pctWidth>
            </wp14:sizeRelH>
            <wp14:sizeRelV relativeFrom="page">
              <wp14:pctHeight>0</wp14:pctHeight>
            </wp14:sizeRelV>
          </wp:anchor>
        </w:drawing>
      </w:r>
      <w:r w:rsidR="004B1E94">
        <w:rPr>
          <w:rFonts w:ascii="Times New Roman" w:hAnsi="Times New Roman"/>
          <w:b/>
          <w:sz w:val="24"/>
          <w:szCs w:val="24"/>
          <w:lang w:val="mk-MK"/>
        </w:rPr>
        <w:t>Во текот на 2022 година, НБРСМ продолжи со затегнување на монетарната политика, коешто започна од крајот на 2021 година, со активно управување со ликвидноста преку интервенциите на девизниот пазар, како и преку зголемување на каматните стапки</w:t>
      </w:r>
      <w:r w:rsidR="003D1829" w:rsidRPr="001C5B17">
        <w:rPr>
          <w:rFonts w:ascii="Times New Roman" w:hAnsi="Times New Roman"/>
          <w:b/>
          <w:sz w:val="24"/>
          <w:szCs w:val="24"/>
          <w:lang w:val="mk-MK"/>
        </w:rPr>
        <w:t>.</w:t>
      </w:r>
      <w:r w:rsidR="00D96AEF" w:rsidRPr="001C5B17">
        <w:rPr>
          <w:rFonts w:ascii="Times New Roman" w:hAnsi="Times New Roman"/>
          <w:b/>
          <w:sz w:val="24"/>
          <w:szCs w:val="24"/>
          <w:lang w:val="mk-MK"/>
        </w:rPr>
        <w:t xml:space="preserve"> </w:t>
      </w:r>
      <w:r w:rsidR="00A75BC5">
        <w:rPr>
          <w:rFonts w:ascii="Times New Roman" w:hAnsi="Times New Roman"/>
          <w:sz w:val="24"/>
          <w:szCs w:val="24"/>
          <w:lang w:val="mk-MK"/>
        </w:rPr>
        <w:t xml:space="preserve">Девизните резерви се на задоволително ниво, </w:t>
      </w:r>
      <w:r w:rsidR="00216ECC">
        <w:rPr>
          <w:rFonts w:ascii="Times New Roman" w:hAnsi="Times New Roman"/>
          <w:sz w:val="24"/>
          <w:szCs w:val="24"/>
          <w:lang w:val="mk-MK"/>
        </w:rPr>
        <w:t xml:space="preserve">а </w:t>
      </w:r>
      <w:r w:rsidR="00A75BC5">
        <w:rPr>
          <w:rFonts w:ascii="Times New Roman" w:hAnsi="Times New Roman"/>
          <w:sz w:val="24"/>
          <w:szCs w:val="24"/>
          <w:lang w:val="mk-MK"/>
        </w:rPr>
        <w:t>девизната ликвидност во банкарскиот систем останува соодветна</w:t>
      </w:r>
      <w:r w:rsidR="003D1829" w:rsidRPr="001C5B17">
        <w:rPr>
          <w:rFonts w:ascii="Times New Roman" w:hAnsi="Times New Roman"/>
          <w:sz w:val="24"/>
          <w:szCs w:val="24"/>
          <w:lang w:val="mk-MK"/>
        </w:rPr>
        <w:t xml:space="preserve">. </w:t>
      </w:r>
      <w:r w:rsidR="00975B15">
        <w:rPr>
          <w:rFonts w:ascii="Times New Roman" w:hAnsi="Times New Roman"/>
          <w:sz w:val="24"/>
          <w:szCs w:val="24"/>
          <w:lang w:val="mk-MK"/>
        </w:rPr>
        <w:t xml:space="preserve">По </w:t>
      </w:r>
      <w:r w:rsidR="007C4528">
        <w:rPr>
          <w:rFonts w:ascii="Times New Roman" w:hAnsi="Times New Roman"/>
          <w:sz w:val="24"/>
          <w:szCs w:val="24"/>
          <w:lang w:val="mk-MK"/>
        </w:rPr>
        <w:t>повеќе</w:t>
      </w:r>
      <w:r w:rsidR="00975B15">
        <w:rPr>
          <w:rFonts w:ascii="Times New Roman" w:hAnsi="Times New Roman"/>
          <w:sz w:val="24"/>
          <w:szCs w:val="24"/>
          <w:lang w:val="mk-MK"/>
        </w:rPr>
        <w:t>кратното зголемување, на крајот на 2022 година,</w:t>
      </w:r>
      <w:r w:rsidR="00A75BC5">
        <w:rPr>
          <w:rFonts w:ascii="Times New Roman" w:hAnsi="Times New Roman"/>
          <w:sz w:val="24"/>
          <w:szCs w:val="24"/>
          <w:lang w:val="mk-MK"/>
        </w:rPr>
        <w:t xml:space="preserve"> референтнтата каматна стапка на благајничките записи </w:t>
      </w:r>
      <w:r w:rsidR="00975B15">
        <w:rPr>
          <w:rFonts w:ascii="Times New Roman" w:hAnsi="Times New Roman"/>
          <w:sz w:val="24"/>
          <w:szCs w:val="24"/>
          <w:lang w:val="mk-MK"/>
        </w:rPr>
        <w:t>достигна</w:t>
      </w:r>
      <w:r w:rsidR="00A75BC5">
        <w:rPr>
          <w:rFonts w:ascii="Times New Roman" w:hAnsi="Times New Roman"/>
          <w:sz w:val="24"/>
          <w:szCs w:val="24"/>
          <w:lang w:val="mk-MK"/>
        </w:rPr>
        <w:t xml:space="preserve"> ниво од </w:t>
      </w:r>
      <w:r w:rsidR="00975B15">
        <w:rPr>
          <w:rFonts w:ascii="Times New Roman" w:hAnsi="Times New Roman"/>
          <w:sz w:val="24"/>
          <w:szCs w:val="24"/>
          <w:lang w:val="mk-MK"/>
        </w:rPr>
        <w:t>4,75</w:t>
      </w:r>
      <w:r w:rsidR="00A75BC5">
        <w:rPr>
          <w:rFonts w:ascii="Times New Roman" w:hAnsi="Times New Roman"/>
          <w:sz w:val="24"/>
          <w:szCs w:val="24"/>
          <w:lang w:val="mk-MK"/>
        </w:rPr>
        <w:t>%</w:t>
      </w:r>
      <w:r w:rsidR="003D1829" w:rsidRPr="001C5B17">
        <w:rPr>
          <w:rFonts w:ascii="Times New Roman" w:hAnsi="Times New Roman"/>
          <w:sz w:val="24"/>
          <w:szCs w:val="24"/>
          <w:lang w:val="mk-MK"/>
        </w:rPr>
        <w:t xml:space="preserve">. </w:t>
      </w:r>
      <w:r w:rsidR="00975B15">
        <w:rPr>
          <w:rFonts w:ascii="Times New Roman" w:hAnsi="Times New Roman"/>
          <w:sz w:val="24"/>
          <w:szCs w:val="24"/>
          <w:lang w:val="mk-MK"/>
        </w:rPr>
        <w:t>С</w:t>
      </w:r>
      <w:r w:rsidR="00A75BC5">
        <w:rPr>
          <w:rFonts w:ascii="Times New Roman" w:hAnsi="Times New Roman"/>
          <w:sz w:val="24"/>
          <w:szCs w:val="24"/>
          <w:lang w:val="mk-MK"/>
        </w:rPr>
        <w:t>о оглед на неизвесноста во однос на идните движења на инфлацијата и тензиите во Украина, НБРСМ наведува дека ќе продолжи внимателно да ги следи случувањата и потенцијалните ризици, нагласувајќи ја подготвеноста да дејствува по потреба, а заради поддршка на девизниот курс</w:t>
      </w:r>
      <w:r w:rsidR="00DB2A1C" w:rsidRPr="001C5B17">
        <w:rPr>
          <w:rFonts w:ascii="Times New Roman" w:hAnsi="Times New Roman"/>
          <w:sz w:val="24"/>
          <w:szCs w:val="24"/>
          <w:lang w:val="mk-MK"/>
        </w:rPr>
        <w:t xml:space="preserve">. </w:t>
      </w:r>
    </w:p>
    <w:p w14:paraId="2BDB671D" w14:textId="77777777" w:rsidR="009570D1" w:rsidRPr="001C5B17" w:rsidRDefault="0079159C" w:rsidP="00C06170">
      <w:pPr>
        <w:spacing w:before="240" w:after="0"/>
        <w:jc w:val="both"/>
        <w:rPr>
          <w:rFonts w:ascii="Times New Roman" w:hAnsi="Times New Roman"/>
          <w:sz w:val="24"/>
          <w:szCs w:val="24"/>
          <w:lang w:val="mk-MK"/>
        </w:rPr>
      </w:pPr>
      <w:r>
        <w:rPr>
          <w:rFonts w:ascii="Times New Roman" w:hAnsi="Times New Roman"/>
          <w:b/>
          <w:noProof/>
          <w:sz w:val="24"/>
          <w:szCs w:val="24"/>
        </w:rPr>
        <w:drawing>
          <wp:anchor distT="0" distB="0" distL="114300" distR="114300" simplePos="0" relativeHeight="251897344" behindDoc="1" locked="0" layoutInCell="1" allowOverlap="1" wp14:anchorId="606173C5" wp14:editId="15A3285B">
            <wp:simplePos x="0" y="0"/>
            <wp:positionH relativeFrom="margin">
              <wp:align>right</wp:align>
            </wp:positionH>
            <wp:positionV relativeFrom="paragraph">
              <wp:posOffset>154940</wp:posOffset>
            </wp:positionV>
            <wp:extent cx="2047875" cy="1627505"/>
            <wp:effectExtent l="0" t="0" r="9525" b="0"/>
            <wp:wrapTight wrapText="bothSides">
              <wp:wrapPolygon edited="0">
                <wp:start x="0" y="0"/>
                <wp:lineTo x="0" y="21238"/>
                <wp:lineTo x="21500" y="21238"/>
                <wp:lineTo x="2150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47875" cy="1627505"/>
                    </a:xfrm>
                    <a:prstGeom prst="rect">
                      <a:avLst/>
                    </a:prstGeom>
                    <a:noFill/>
                  </pic:spPr>
                </pic:pic>
              </a:graphicData>
            </a:graphic>
            <wp14:sizeRelH relativeFrom="page">
              <wp14:pctWidth>0</wp14:pctWidth>
            </wp14:sizeRelH>
            <wp14:sizeRelV relativeFrom="page">
              <wp14:pctHeight>0</wp14:pctHeight>
            </wp14:sizeRelV>
          </wp:anchor>
        </w:drawing>
      </w:r>
      <w:r w:rsidR="00E003B7">
        <w:rPr>
          <w:rFonts w:ascii="Times New Roman" w:hAnsi="Times New Roman"/>
          <w:b/>
          <w:sz w:val="24"/>
          <w:szCs w:val="24"/>
          <w:lang w:val="mk-MK"/>
        </w:rPr>
        <w:t xml:space="preserve">За време на </w:t>
      </w:r>
      <w:r w:rsidR="001C30D9">
        <w:rPr>
          <w:rFonts w:ascii="Times New Roman" w:hAnsi="Times New Roman"/>
          <w:b/>
          <w:sz w:val="24"/>
          <w:szCs w:val="24"/>
          <w:lang w:val="mk-MK"/>
        </w:rPr>
        <w:t xml:space="preserve">руско-украинската </w:t>
      </w:r>
      <w:r w:rsidR="00E003B7">
        <w:rPr>
          <w:rFonts w:ascii="Times New Roman" w:hAnsi="Times New Roman"/>
          <w:b/>
          <w:sz w:val="24"/>
          <w:szCs w:val="24"/>
          <w:lang w:val="mk-MK"/>
        </w:rPr>
        <w:t>криза, банкарскиот сектор успеа да остане добро капитализиран, ликвиден и профитабилен</w:t>
      </w:r>
      <w:r w:rsidR="006E758C" w:rsidRPr="001C5B17">
        <w:rPr>
          <w:rFonts w:ascii="Times New Roman" w:hAnsi="Times New Roman"/>
          <w:b/>
          <w:sz w:val="24"/>
          <w:szCs w:val="24"/>
          <w:lang w:val="mk-MK"/>
        </w:rPr>
        <w:t>.</w:t>
      </w:r>
      <w:r w:rsidR="009B46B9">
        <w:rPr>
          <w:rFonts w:ascii="Times New Roman" w:hAnsi="Times New Roman"/>
          <w:b/>
          <w:sz w:val="24"/>
          <w:szCs w:val="24"/>
          <w:lang w:val="mk-MK"/>
        </w:rPr>
        <w:t xml:space="preserve"> </w:t>
      </w:r>
      <w:r w:rsidR="00E003B7">
        <w:rPr>
          <w:rFonts w:ascii="Times New Roman" w:hAnsi="Times New Roman"/>
          <w:sz w:val="24"/>
          <w:szCs w:val="24"/>
          <w:lang w:val="mk-MK"/>
        </w:rPr>
        <w:t>Тој покажа способност да ја поддржи економијата во сложени околности и понатаму да ги исполнува барањата на своите клиенти</w:t>
      </w:r>
      <w:r w:rsidR="00F83EED" w:rsidRPr="001C5B17">
        <w:rPr>
          <w:rFonts w:ascii="Times New Roman" w:hAnsi="Times New Roman"/>
          <w:sz w:val="24"/>
          <w:szCs w:val="24"/>
          <w:lang w:val="mk-MK"/>
        </w:rPr>
        <w:t xml:space="preserve">. </w:t>
      </w:r>
      <w:r w:rsidR="00E003B7">
        <w:rPr>
          <w:rFonts w:ascii="Times New Roman" w:hAnsi="Times New Roman"/>
          <w:sz w:val="24"/>
          <w:szCs w:val="24"/>
          <w:lang w:val="mk-MK"/>
        </w:rPr>
        <w:t>На крајот од 202</w:t>
      </w:r>
      <w:r w:rsidR="00A41171">
        <w:rPr>
          <w:rFonts w:ascii="Times New Roman" w:hAnsi="Times New Roman"/>
          <w:sz w:val="24"/>
          <w:szCs w:val="24"/>
          <w:lang w:val="mk-MK"/>
        </w:rPr>
        <w:t>2</w:t>
      </w:r>
      <w:r w:rsidR="00E003B7">
        <w:rPr>
          <w:rFonts w:ascii="Times New Roman" w:hAnsi="Times New Roman"/>
          <w:sz w:val="24"/>
          <w:szCs w:val="24"/>
          <w:lang w:val="mk-MK"/>
        </w:rPr>
        <w:t xml:space="preserve"> година</w:t>
      </w:r>
      <w:r w:rsidR="001C30D9">
        <w:rPr>
          <w:rFonts w:ascii="Times New Roman" w:hAnsi="Times New Roman"/>
          <w:sz w:val="24"/>
          <w:szCs w:val="24"/>
          <w:lang w:val="mk-MK"/>
        </w:rPr>
        <w:t>,</w:t>
      </w:r>
      <w:r w:rsidR="00E003B7">
        <w:rPr>
          <w:rFonts w:ascii="Times New Roman" w:hAnsi="Times New Roman"/>
          <w:sz w:val="24"/>
          <w:szCs w:val="24"/>
          <w:lang w:val="mk-MK"/>
        </w:rPr>
        <w:t xml:space="preserve"> вкупниот депозитен раст достигна </w:t>
      </w:r>
      <w:r w:rsidR="001C30D9">
        <w:rPr>
          <w:rFonts w:ascii="Times New Roman" w:hAnsi="Times New Roman"/>
          <w:sz w:val="24"/>
          <w:szCs w:val="24"/>
          <w:lang w:val="mk-MK"/>
        </w:rPr>
        <w:t>4,9</w:t>
      </w:r>
      <w:r w:rsidR="00E003B7">
        <w:rPr>
          <w:rFonts w:ascii="Times New Roman" w:hAnsi="Times New Roman"/>
          <w:sz w:val="24"/>
          <w:szCs w:val="24"/>
          <w:lang w:val="mk-MK"/>
        </w:rPr>
        <w:t>% на годишно ниво</w:t>
      </w:r>
      <w:r w:rsidR="00F22EBD" w:rsidRPr="001C5B17">
        <w:rPr>
          <w:rFonts w:ascii="Times New Roman" w:hAnsi="Times New Roman"/>
          <w:sz w:val="24"/>
          <w:szCs w:val="24"/>
          <w:lang w:val="mk-MK"/>
        </w:rPr>
        <w:t xml:space="preserve">. </w:t>
      </w:r>
      <w:r w:rsidR="00E003B7">
        <w:rPr>
          <w:rFonts w:ascii="Times New Roman" w:hAnsi="Times New Roman"/>
          <w:sz w:val="24"/>
          <w:szCs w:val="24"/>
          <w:lang w:val="mk-MK"/>
        </w:rPr>
        <w:t>Притоа</w:t>
      </w:r>
      <w:r w:rsidR="00F22EBD" w:rsidRPr="001C5B17">
        <w:rPr>
          <w:rFonts w:ascii="Times New Roman" w:hAnsi="Times New Roman"/>
          <w:sz w:val="24"/>
          <w:szCs w:val="24"/>
          <w:lang w:val="mk-MK"/>
        </w:rPr>
        <w:t xml:space="preserve">, </w:t>
      </w:r>
      <w:r w:rsidR="00E003B7">
        <w:rPr>
          <w:rFonts w:ascii="Times New Roman" w:hAnsi="Times New Roman"/>
          <w:sz w:val="24"/>
          <w:szCs w:val="24"/>
          <w:lang w:val="mk-MK"/>
        </w:rPr>
        <w:t xml:space="preserve">корпоративните депозити забележаа раст од </w:t>
      </w:r>
      <w:r w:rsidR="001C30D9">
        <w:rPr>
          <w:rFonts w:ascii="Times New Roman" w:hAnsi="Times New Roman"/>
          <w:sz w:val="24"/>
          <w:szCs w:val="24"/>
          <w:lang w:val="mk-MK"/>
        </w:rPr>
        <w:t>3,7</w:t>
      </w:r>
      <w:r w:rsidR="00E003B7">
        <w:rPr>
          <w:rFonts w:ascii="Times New Roman" w:hAnsi="Times New Roman"/>
          <w:sz w:val="24"/>
          <w:szCs w:val="24"/>
          <w:lang w:val="mk-MK"/>
        </w:rPr>
        <w:t xml:space="preserve">%, додека депозитите на население пораснаа за </w:t>
      </w:r>
      <w:r w:rsidR="001C30D9">
        <w:rPr>
          <w:rFonts w:ascii="Times New Roman" w:hAnsi="Times New Roman"/>
          <w:sz w:val="24"/>
          <w:szCs w:val="24"/>
          <w:lang w:val="mk-MK"/>
        </w:rPr>
        <w:t>5,8</w:t>
      </w:r>
      <w:r w:rsidR="00E003B7">
        <w:rPr>
          <w:rFonts w:ascii="Times New Roman" w:hAnsi="Times New Roman"/>
          <w:sz w:val="24"/>
          <w:szCs w:val="24"/>
          <w:lang w:val="mk-MK"/>
        </w:rPr>
        <w:t>%</w:t>
      </w:r>
      <w:r w:rsidR="00F22EBD" w:rsidRPr="001C5B17">
        <w:rPr>
          <w:rFonts w:ascii="Times New Roman" w:hAnsi="Times New Roman"/>
          <w:sz w:val="24"/>
          <w:szCs w:val="24"/>
          <w:lang w:val="mk-MK"/>
        </w:rPr>
        <w:t xml:space="preserve">. </w:t>
      </w:r>
      <w:r w:rsidR="00E003B7">
        <w:rPr>
          <w:rFonts w:ascii="Times New Roman" w:hAnsi="Times New Roman"/>
          <w:sz w:val="24"/>
          <w:szCs w:val="24"/>
          <w:lang w:val="mk-MK"/>
        </w:rPr>
        <w:t xml:space="preserve">Кредитниот раст на крајот од годината достигна </w:t>
      </w:r>
      <w:r w:rsidR="001C30D9">
        <w:rPr>
          <w:rFonts w:ascii="Times New Roman" w:hAnsi="Times New Roman"/>
          <w:sz w:val="24"/>
          <w:szCs w:val="24"/>
          <w:lang w:val="mk-MK"/>
        </w:rPr>
        <w:t>9,4</w:t>
      </w:r>
      <w:r w:rsidR="00E003B7">
        <w:rPr>
          <w:rFonts w:ascii="Times New Roman" w:hAnsi="Times New Roman"/>
          <w:sz w:val="24"/>
          <w:szCs w:val="24"/>
          <w:lang w:val="mk-MK"/>
        </w:rPr>
        <w:t>%</w:t>
      </w:r>
      <w:r w:rsidR="00F22EBD" w:rsidRPr="001C5B17">
        <w:rPr>
          <w:rFonts w:ascii="Times New Roman" w:hAnsi="Times New Roman"/>
          <w:sz w:val="24"/>
          <w:szCs w:val="24"/>
          <w:lang w:val="mk-MK"/>
        </w:rPr>
        <w:t xml:space="preserve">. </w:t>
      </w:r>
      <w:r w:rsidR="00E003B7">
        <w:rPr>
          <w:rFonts w:ascii="Times New Roman" w:hAnsi="Times New Roman"/>
          <w:sz w:val="24"/>
          <w:szCs w:val="24"/>
          <w:lang w:val="mk-MK"/>
        </w:rPr>
        <w:t>Кредитите на население пораснаа за 7,</w:t>
      </w:r>
      <w:r w:rsidR="00D97B4E">
        <w:rPr>
          <w:rFonts w:ascii="Times New Roman" w:hAnsi="Times New Roman"/>
          <w:sz w:val="24"/>
          <w:szCs w:val="24"/>
          <w:lang w:val="mk-MK"/>
        </w:rPr>
        <w:t>3</w:t>
      </w:r>
      <w:r w:rsidR="00E003B7">
        <w:rPr>
          <w:rFonts w:ascii="Times New Roman" w:hAnsi="Times New Roman"/>
          <w:sz w:val="24"/>
          <w:szCs w:val="24"/>
          <w:lang w:val="mk-MK"/>
        </w:rPr>
        <w:t xml:space="preserve">%, додека корпоративните кредити беа повисоки за </w:t>
      </w:r>
      <w:r w:rsidR="00D97B4E">
        <w:rPr>
          <w:rFonts w:ascii="Times New Roman" w:hAnsi="Times New Roman"/>
          <w:sz w:val="24"/>
          <w:szCs w:val="24"/>
          <w:lang w:val="mk-MK"/>
        </w:rPr>
        <w:t>11,5</w:t>
      </w:r>
      <w:r w:rsidR="00E003B7">
        <w:rPr>
          <w:rFonts w:ascii="Times New Roman" w:hAnsi="Times New Roman"/>
          <w:sz w:val="24"/>
          <w:szCs w:val="24"/>
          <w:lang w:val="mk-MK"/>
        </w:rPr>
        <w:t>%</w:t>
      </w:r>
      <w:r w:rsidR="00F22EBD" w:rsidRPr="001C5B17">
        <w:rPr>
          <w:rFonts w:ascii="Times New Roman" w:hAnsi="Times New Roman"/>
          <w:sz w:val="24"/>
          <w:szCs w:val="24"/>
          <w:lang w:val="mk-MK"/>
        </w:rPr>
        <w:t xml:space="preserve">. </w:t>
      </w:r>
      <w:r w:rsidR="00E003B7">
        <w:rPr>
          <w:rFonts w:ascii="Times New Roman" w:hAnsi="Times New Roman"/>
          <w:sz w:val="24"/>
          <w:szCs w:val="24"/>
          <w:lang w:val="mk-MK"/>
        </w:rPr>
        <w:lastRenderedPageBreak/>
        <w:t xml:space="preserve">Нефункционалните изложености го продолжија надолниот тренд регистрирајќи </w:t>
      </w:r>
      <w:r w:rsidR="00D97B4E" w:rsidRPr="001C5B17">
        <w:rPr>
          <w:rFonts w:ascii="Times New Roman" w:hAnsi="Times New Roman"/>
          <w:sz w:val="24"/>
          <w:szCs w:val="24"/>
          <w:lang w:val="mk-MK"/>
        </w:rPr>
        <w:t>2,9</w:t>
      </w:r>
      <w:r w:rsidR="00E003B7">
        <w:rPr>
          <w:rFonts w:ascii="Times New Roman" w:hAnsi="Times New Roman"/>
          <w:sz w:val="24"/>
          <w:szCs w:val="24"/>
          <w:lang w:val="mk-MK"/>
        </w:rPr>
        <w:t>%</w:t>
      </w:r>
      <w:r w:rsidR="009F2FE1">
        <w:rPr>
          <w:rFonts w:ascii="Times New Roman" w:hAnsi="Times New Roman"/>
          <w:sz w:val="24"/>
          <w:szCs w:val="24"/>
          <w:lang w:val="mk-MK"/>
        </w:rPr>
        <w:t xml:space="preserve"> на 31.12.202</w:t>
      </w:r>
      <w:r w:rsidR="00D97B4E" w:rsidRPr="001C5B17">
        <w:rPr>
          <w:rFonts w:ascii="Times New Roman" w:hAnsi="Times New Roman"/>
          <w:sz w:val="24"/>
          <w:szCs w:val="24"/>
          <w:lang w:val="mk-MK"/>
        </w:rPr>
        <w:t>2</w:t>
      </w:r>
      <w:r w:rsidR="00230DF5" w:rsidRPr="001C5B17">
        <w:rPr>
          <w:rFonts w:ascii="Times New Roman" w:hAnsi="Times New Roman"/>
          <w:sz w:val="24"/>
          <w:szCs w:val="24"/>
          <w:lang w:val="mk-MK"/>
        </w:rPr>
        <w:t xml:space="preserve">. </w:t>
      </w:r>
      <w:r w:rsidR="009F2FE1">
        <w:rPr>
          <w:rFonts w:ascii="Times New Roman" w:hAnsi="Times New Roman"/>
          <w:sz w:val="24"/>
          <w:szCs w:val="24"/>
          <w:lang w:val="mk-MK"/>
        </w:rPr>
        <w:t xml:space="preserve">Стапката на кредити/депозити на крајот од годината </w:t>
      </w:r>
      <w:r w:rsidR="00D97B4E">
        <w:rPr>
          <w:rFonts w:ascii="Times New Roman" w:hAnsi="Times New Roman"/>
          <w:sz w:val="24"/>
          <w:szCs w:val="24"/>
          <w:lang w:val="mk-MK"/>
        </w:rPr>
        <w:t>изнесуваше</w:t>
      </w:r>
      <w:r w:rsidR="009F2FE1">
        <w:rPr>
          <w:rFonts w:ascii="Times New Roman" w:hAnsi="Times New Roman"/>
          <w:sz w:val="24"/>
          <w:szCs w:val="24"/>
          <w:lang w:val="mk-MK"/>
        </w:rPr>
        <w:t xml:space="preserve"> 86</w:t>
      </w:r>
      <w:r w:rsidR="00D97B4E">
        <w:rPr>
          <w:rFonts w:ascii="Times New Roman" w:hAnsi="Times New Roman"/>
          <w:sz w:val="24"/>
          <w:szCs w:val="24"/>
          <w:lang w:val="mk-MK"/>
        </w:rPr>
        <w:t>,1</w:t>
      </w:r>
      <w:r w:rsidR="009F2FE1">
        <w:rPr>
          <w:rFonts w:ascii="Times New Roman" w:hAnsi="Times New Roman"/>
          <w:sz w:val="24"/>
          <w:szCs w:val="24"/>
          <w:lang w:val="mk-MK"/>
        </w:rPr>
        <w:t>%</w:t>
      </w:r>
      <w:r w:rsidR="00F22EBD" w:rsidRPr="001C5B17">
        <w:rPr>
          <w:rFonts w:ascii="Times New Roman" w:hAnsi="Times New Roman"/>
          <w:sz w:val="24"/>
          <w:szCs w:val="24"/>
          <w:lang w:val="mk-MK"/>
        </w:rPr>
        <w:t xml:space="preserve">. </w:t>
      </w:r>
      <w:r w:rsidR="009F2FE1">
        <w:rPr>
          <w:rFonts w:ascii="Times New Roman" w:hAnsi="Times New Roman"/>
          <w:sz w:val="24"/>
          <w:szCs w:val="24"/>
          <w:lang w:val="mk-MK"/>
        </w:rPr>
        <w:t>Стапката на адекватност на капиталот со 31.12.202</w:t>
      </w:r>
      <w:r w:rsidR="00D97B4E" w:rsidRPr="001C5B17">
        <w:rPr>
          <w:rFonts w:ascii="Times New Roman" w:hAnsi="Times New Roman"/>
          <w:sz w:val="24"/>
          <w:szCs w:val="24"/>
          <w:lang w:val="mk-MK"/>
        </w:rPr>
        <w:t>2</w:t>
      </w:r>
      <w:r w:rsidR="009F2FE1">
        <w:rPr>
          <w:rFonts w:ascii="Times New Roman" w:hAnsi="Times New Roman"/>
          <w:sz w:val="24"/>
          <w:szCs w:val="24"/>
          <w:lang w:val="mk-MK"/>
        </w:rPr>
        <w:t xml:space="preserve"> беше 17,</w:t>
      </w:r>
      <w:r w:rsidR="00D97B4E" w:rsidRPr="001C5B17">
        <w:rPr>
          <w:rFonts w:ascii="Times New Roman" w:hAnsi="Times New Roman"/>
          <w:sz w:val="24"/>
          <w:szCs w:val="24"/>
          <w:lang w:val="mk-MK"/>
        </w:rPr>
        <w:t>7</w:t>
      </w:r>
      <w:r w:rsidR="009F2FE1">
        <w:rPr>
          <w:rFonts w:ascii="Times New Roman" w:hAnsi="Times New Roman"/>
          <w:sz w:val="24"/>
          <w:szCs w:val="24"/>
          <w:lang w:val="mk-MK"/>
        </w:rPr>
        <w:t>%</w:t>
      </w:r>
      <w:r w:rsidR="0075295C" w:rsidRPr="001C5B17">
        <w:rPr>
          <w:rFonts w:ascii="Times New Roman" w:hAnsi="Times New Roman"/>
          <w:sz w:val="24"/>
          <w:szCs w:val="24"/>
          <w:lang w:val="mk-MK"/>
        </w:rPr>
        <w:t xml:space="preserve">. </w:t>
      </w:r>
      <w:r w:rsidR="009F2FE1">
        <w:rPr>
          <w:rFonts w:ascii="Times New Roman" w:hAnsi="Times New Roman"/>
          <w:sz w:val="24"/>
          <w:szCs w:val="24"/>
          <w:lang w:val="mk-MK"/>
        </w:rPr>
        <w:t xml:space="preserve">Показателите за профитабилност </w:t>
      </w:r>
      <w:r w:rsidR="009F2FE1" w:rsidRPr="001C5B17">
        <w:rPr>
          <w:rFonts w:ascii="Times New Roman" w:hAnsi="Times New Roman"/>
          <w:sz w:val="24"/>
          <w:szCs w:val="24"/>
          <w:lang w:val="mk-MK"/>
        </w:rPr>
        <w:t xml:space="preserve">ROA </w:t>
      </w:r>
      <w:r w:rsidR="009F2FE1">
        <w:rPr>
          <w:rFonts w:ascii="Times New Roman" w:hAnsi="Times New Roman"/>
          <w:sz w:val="24"/>
          <w:szCs w:val="24"/>
          <w:lang w:val="mk-MK"/>
        </w:rPr>
        <w:t xml:space="preserve">и </w:t>
      </w:r>
      <w:r w:rsidR="009F2FE1" w:rsidRPr="001C5B17">
        <w:rPr>
          <w:rFonts w:ascii="Times New Roman" w:hAnsi="Times New Roman"/>
          <w:sz w:val="24"/>
          <w:szCs w:val="24"/>
          <w:lang w:val="mk-MK"/>
        </w:rPr>
        <w:t>ROE</w:t>
      </w:r>
      <w:r w:rsidR="009F2FE1">
        <w:rPr>
          <w:rFonts w:ascii="Times New Roman" w:hAnsi="Times New Roman"/>
          <w:sz w:val="24"/>
          <w:szCs w:val="24"/>
          <w:lang w:val="mk-MK"/>
        </w:rPr>
        <w:t xml:space="preserve"> беа </w:t>
      </w:r>
      <w:r w:rsidR="00967FB0">
        <w:rPr>
          <w:rFonts w:ascii="Times New Roman" w:hAnsi="Times New Roman"/>
          <w:sz w:val="24"/>
          <w:szCs w:val="24"/>
          <w:lang w:val="mk-MK"/>
        </w:rPr>
        <w:t>на ниво од</w:t>
      </w:r>
      <w:r w:rsidR="009F2FE1">
        <w:rPr>
          <w:rFonts w:ascii="Times New Roman" w:hAnsi="Times New Roman"/>
          <w:sz w:val="24"/>
          <w:szCs w:val="24"/>
          <w:lang w:val="mk-MK"/>
        </w:rPr>
        <w:t xml:space="preserve"> 1,5% и 12,</w:t>
      </w:r>
      <w:r w:rsidR="00967FB0">
        <w:rPr>
          <w:rFonts w:ascii="Times New Roman" w:hAnsi="Times New Roman"/>
          <w:sz w:val="24"/>
          <w:szCs w:val="24"/>
          <w:lang w:val="mk-MK"/>
        </w:rPr>
        <w:t>2</w:t>
      </w:r>
      <w:r w:rsidR="009F2FE1">
        <w:rPr>
          <w:rFonts w:ascii="Times New Roman" w:hAnsi="Times New Roman"/>
          <w:sz w:val="24"/>
          <w:szCs w:val="24"/>
          <w:lang w:val="mk-MK"/>
        </w:rPr>
        <w:t>% соодветно</w:t>
      </w:r>
      <w:r w:rsidR="00D4463C" w:rsidRPr="001C5B17">
        <w:rPr>
          <w:rFonts w:ascii="Times New Roman" w:hAnsi="Times New Roman"/>
          <w:sz w:val="24"/>
          <w:szCs w:val="24"/>
          <w:lang w:val="mk-MK"/>
        </w:rPr>
        <w:t xml:space="preserve">. </w:t>
      </w:r>
      <w:r w:rsidR="00A41171" w:rsidRPr="001C5B17">
        <w:rPr>
          <w:rFonts w:ascii="Times New Roman" w:hAnsi="Times New Roman"/>
          <w:sz w:val="24"/>
          <w:szCs w:val="24"/>
          <w:lang w:val="mk-MK"/>
        </w:rPr>
        <w:t>И покрај силните шокови со кои се соочи нашата економија, стабилноста беше зачувана</w:t>
      </w:r>
      <w:r w:rsidR="009F2FE1">
        <w:rPr>
          <w:rFonts w:ascii="Times New Roman" w:hAnsi="Times New Roman"/>
          <w:sz w:val="24"/>
          <w:szCs w:val="24"/>
          <w:lang w:val="mk-MK"/>
        </w:rPr>
        <w:t xml:space="preserve">, но ризиците </w:t>
      </w:r>
      <w:r w:rsidR="00D97B4E">
        <w:rPr>
          <w:rFonts w:ascii="Times New Roman" w:hAnsi="Times New Roman"/>
          <w:sz w:val="24"/>
          <w:szCs w:val="24"/>
          <w:lang w:val="mk-MK"/>
        </w:rPr>
        <w:t>налагаат натамошно будно следење и претпазливост</w:t>
      </w:r>
      <w:r w:rsidR="00D4463C" w:rsidRPr="001C5B17">
        <w:rPr>
          <w:rFonts w:ascii="Times New Roman" w:hAnsi="Times New Roman"/>
          <w:sz w:val="24"/>
          <w:szCs w:val="24"/>
          <w:lang w:val="mk-MK"/>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gridCol w:w="4630"/>
      </w:tblGrid>
      <w:tr w:rsidR="006231D2" w:rsidRPr="0049181F" w14:paraId="7ED1B3F9" w14:textId="77777777" w:rsidTr="00372BD2">
        <w:tc>
          <w:tcPr>
            <w:tcW w:w="4629" w:type="dxa"/>
          </w:tcPr>
          <w:p w14:paraId="1B0F91EA" w14:textId="77777777" w:rsidR="006231D2" w:rsidRPr="001C5B17" w:rsidRDefault="006231D2" w:rsidP="00372BD2">
            <w:pPr>
              <w:spacing w:before="240" w:after="0"/>
              <w:jc w:val="center"/>
              <w:rPr>
                <w:sz w:val="24"/>
                <w:szCs w:val="24"/>
                <w:lang w:val="mk-MK"/>
              </w:rPr>
            </w:pPr>
          </w:p>
        </w:tc>
        <w:tc>
          <w:tcPr>
            <w:tcW w:w="4630" w:type="dxa"/>
          </w:tcPr>
          <w:p w14:paraId="3F5D7156" w14:textId="77777777" w:rsidR="006231D2" w:rsidRPr="001C5B17" w:rsidRDefault="006231D2" w:rsidP="00372BD2">
            <w:pPr>
              <w:spacing w:before="240" w:after="0"/>
              <w:jc w:val="center"/>
              <w:rPr>
                <w:sz w:val="24"/>
                <w:szCs w:val="24"/>
                <w:lang w:val="mk-MK"/>
              </w:rPr>
            </w:pPr>
          </w:p>
        </w:tc>
      </w:tr>
    </w:tbl>
    <w:p w14:paraId="4DF25F74" w14:textId="77777777" w:rsidR="009D7F6E" w:rsidRDefault="00177D1F" w:rsidP="00F972A7">
      <w:pPr>
        <w:spacing w:after="0" w:line="240" w:lineRule="auto"/>
        <w:rPr>
          <w:rFonts w:ascii="Times New Roman" w:hAnsi="Times New Roman"/>
          <w:b/>
          <w:sz w:val="24"/>
          <w:szCs w:val="24"/>
          <w:lang w:val="mk-MK"/>
        </w:rPr>
      </w:pPr>
      <w:r w:rsidRPr="00A75476">
        <w:rPr>
          <w:rFonts w:ascii="Times New Roman" w:hAnsi="Times New Roman"/>
          <w:b/>
          <w:sz w:val="24"/>
          <w:szCs w:val="24"/>
          <w:lang w:val="mk-MK"/>
        </w:rPr>
        <w:t>Основни макроекономски показатели</w:t>
      </w:r>
    </w:p>
    <w:p w14:paraId="6644B2B0" w14:textId="77777777" w:rsidR="00F972A7" w:rsidRPr="00F972A7" w:rsidRDefault="00F972A7" w:rsidP="00F972A7">
      <w:pPr>
        <w:spacing w:after="0" w:line="240" w:lineRule="auto"/>
        <w:rPr>
          <w:rFonts w:ascii="Times New Roman" w:hAnsi="Times New Roman"/>
          <w:b/>
          <w:sz w:val="28"/>
          <w:szCs w:val="28"/>
          <w:lang w:val="mk-MK"/>
        </w:rPr>
      </w:pPr>
    </w:p>
    <w:p w14:paraId="74880A10" w14:textId="77777777" w:rsidR="009D7F6E" w:rsidRDefault="009D7F6E">
      <w:pPr>
        <w:spacing w:after="0" w:line="240" w:lineRule="auto"/>
        <w:rPr>
          <w:rFonts w:ascii="Times New Roman" w:eastAsia="Times New Roman" w:hAnsi="Times New Roman"/>
          <w:b/>
          <w:sz w:val="28"/>
          <w:szCs w:val="28"/>
          <w:lang w:val="mk-MK"/>
        </w:rPr>
      </w:pPr>
      <w:r w:rsidRPr="009D7F6E">
        <w:rPr>
          <w:noProof/>
        </w:rPr>
        <w:drawing>
          <wp:inline distT="0" distB="0" distL="0" distR="0" wp14:anchorId="2F4FF218" wp14:editId="29073DB0">
            <wp:extent cx="5093208" cy="549554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93208" cy="5495544"/>
                    </a:xfrm>
                    <a:prstGeom prst="rect">
                      <a:avLst/>
                    </a:prstGeom>
                    <a:noFill/>
                    <a:ln>
                      <a:noFill/>
                    </a:ln>
                  </pic:spPr>
                </pic:pic>
              </a:graphicData>
            </a:graphic>
          </wp:inline>
        </w:drawing>
      </w:r>
      <w:r>
        <w:rPr>
          <w:b/>
          <w:sz w:val="28"/>
          <w:szCs w:val="28"/>
          <w:lang w:val="mk-MK"/>
        </w:rPr>
        <w:br w:type="page"/>
      </w:r>
    </w:p>
    <w:p w14:paraId="21F6F8E2" w14:textId="77777777" w:rsidR="006D56D8" w:rsidRPr="00A75476" w:rsidRDefault="00C848AD" w:rsidP="009802EA">
      <w:pPr>
        <w:pStyle w:val="Heading1"/>
        <w:rPr>
          <w:b/>
          <w:sz w:val="28"/>
          <w:lang w:val="mk-MK"/>
        </w:rPr>
      </w:pPr>
      <w:bookmarkStart w:id="20" w:name="_Toc132974472"/>
      <w:bookmarkStart w:id="21" w:name="_Toc132978832"/>
      <w:r w:rsidRPr="00A75476">
        <w:rPr>
          <w:b/>
          <w:sz w:val="28"/>
          <w:lang w:val="mk-MK"/>
        </w:rPr>
        <w:lastRenderedPageBreak/>
        <w:t>Банкарски сектор</w:t>
      </w:r>
      <w:r w:rsidR="006D56D8" w:rsidRPr="00A75476">
        <w:rPr>
          <w:b/>
          <w:sz w:val="28"/>
          <w:lang w:val="mk-MK"/>
        </w:rPr>
        <w:t xml:space="preserve"> </w:t>
      </w:r>
      <w:r w:rsidRPr="00A75476">
        <w:rPr>
          <w:b/>
          <w:sz w:val="28"/>
          <w:lang w:val="mk-MK"/>
        </w:rPr>
        <w:t>и</w:t>
      </w:r>
      <w:r w:rsidR="006D56D8" w:rsidRPr="00A75476">
        <w:rPr>
          <w:b/>
          <w:sz w:val="28"/>
          <w:lang w:val="mk-MK"/>
        </w:rPr>
        <w:t xml:space="preserve"> </w:t>
      </w:r>
      <w:r w:rsidRPr="00A75476">
        <w:rPr>
          <w:b/>
          <w:sz w:val="28"/>
          <w:lang w:val="mk-MK"/>
        </w:rPr>
        <w:t>СБ</w:t>
      </w:r>
      <w:bookmarkEnd w:id="20"/>
      <w:bookmarkEnd w:id="21"/>
    </w:p>
    <w:p w14:paraId="1AB6AD54" w14:textId="77777777" w:rsidR="00D0343C" w:rsidRPr="00372BD2" w:rsidRDefault="00D0343C" w:rsidP="00372BD2">
      <w:pPr>
        <w:rPr>
          <w:lang w:val="mk-MK"/>
        </w:rPr>
      </w:pPr>
    </w:p>
    <w:tbl>
      <w:tblPr>
        <w:tblW w:w="9369" w:type="dxa"/>
        <w:jc w:val="center"/>
        <w:tblLook w:val="04A0" w:firstRow="1" w:lastRow="0" w:firstColumn="1" w:lastColumn="0" w:noHBand="0" w:noVBand="1"/>
      </w:tblPr>
      <w:tblGrid>
        <w:gridCol w:w="3439"/>
        <w:gridCol w:w="380"/>
        <w:gridCol w:w="1408"/>
        <w:gridCol w:w="380"/>
        <w:gridCol w:w="2128"/>
        <w:gridCol w:w="380"/>
        <w:gridCol w:w="1254"/>
      </w:tblGrid>
      <w:tr w:rsidR="00FB4ABA" w:rsidRPr="00CE6838" w14:paraId="44FF6F4D" w14:textId="77777777" w:rsidTr="00FB4ABA">
        <w:trPr>
          <w:trHeight w:val="434"/>
          <w:jc w:val="center"/>
        </w:trPr>
        <w:tc>
          <w:tcPr>
            <w:tcW w:w="3439" w:type="dxa"/>
            <w:tcBorders>
              <w:top w:val="nil"/>
              <w:left w:val="nil"/>
              <w:bottom w:val="nil"/>
              <w:right w:val="nil"/>
            </w:tcBorders>
            <w:shd w:val="clear" w:color="auto" w:fill="auto"/>
            <w:noWrap/>
            <w:vAlign w:val="center"/>
            <w:hideMark/>
          </w:tcPr>
          <w:p w14:paraId="6D241DF8" w14:textId="78C8F9E2" w:rsidR="00FB4ABA" w:rsidRPr="005C54D3" w:rsidRDefault="00FB4ABA" w:rsidP="00A418EF">
            <w:pPr>
              <w:spacing w:after="0" w:line="240" w:lineRule="auto"/>
              <w:rPr>
                <w:rFonts w:ascii="Times New Roman" w:eastAsia="Times New Roman" w:hAnsi="Times New Roman"/>
                <w:color w:val="000000"/>
              </w:rPr>
            </w:pPr>
            <w:bookmarkStart w:id="22" w:name="OLE_LINK1"/>
            <w:r w:rsidRPr="005C54D3">
              <w:rPr>
                <w:rFonts w:ascii="Times New Roman" w:eastAsia="Times New Roman" w:hAnsi="Times New Roman"/>
                <w:color w:val="000000"/>
              </w:rPr>
              <w:t>(</w:t>
            </w:r>
            <w:r w:rsidRPr="005C54D3">
              <w:rPr>
                <w:rFonts w:ascii="Times New Roman" w:eastAsia="Times New Roman" w:hAnsi="Times New Roman"/>
                <w:color w:val="000000"/>
                <w:lang w:val="mk-MK"/>
              </w:rPr>
              <w:t xml:space="preserve">во милиони </w:t>
            </w:r>
            <w:r w:rsidR="00A418EF">
              <w:rPr>
                <w:rFonts w:ascii="Times New Roman" w:eastAsia="Times New Roman" w:hAnsi="Times New Roman"/>
                <w:color w:val="000000"/>
                <w:lang w:val="mk-MK"/>
              </w:rPr>
              <w:t>евра</w:t>
            </w:r>
            <w:r w:rsidRPr="005C54D3">
              <w:rPr>
                <w:rFonts w:ascii="Times New Roman" w:eastAsia="Times New Roman" w:hAnsi="Times New Roman"/>
                <w:color w:val="000000"/>
              </w:rPr>
              <w:t>)</w:t>
            </w:r>
            <w:bookmarkEnd w:id="22"/>
          </w:p>
        </w:tc>
        <w:tc>
          <w:tcPr>
            <w:tcW w:w="380" w:type="dxa"/>
            <w:tcBorders>
              <w:top w:val="nil"/>
              <w:left w:val="nil"/>
              <w:bottom w:val="nil"/>
              <w:right w:val="nil"/>
            </w:tcBorders>
            <w:shd w:val="clear" w:color="auto" w:fill="auto"/>
            <w:noWrap/>
            <w:vAlign w:val="bottom"/>
            <w:hideMark/>
          </w:tcPr>
          <w:p w14:paraId="1D9EA49D" w14:textId="77777777" w:rsidR="00FB4ABA" w:rsidRPr="00912869" w:rsidRDefault="00FB4ABA" w:rsidP="00FB4ABA">
            <w:pPr>
              <w:spacing w:after="0" w:line="240" w:lineRule="auto"/>
              <w:rPr>
                <w:rFonts w:ascii="Times New Roman" w:eastAsia="Times New Roman" w:hAnsi="Times New Roman"/>
                <w:color w:val="000000"/>
              </w:rPr>
            </w:pPr>
          </w:p>
        </w:tc>
        <w:tc>
          <w:tcPr>
            <w:tcW w:w="1408" w:type="dxa"/>
            <w:tcBorders>
              <w:top w:val="nil"/>
              <w:left w:val="nil"/>
              <w:bottom w:val="nil"/>
              <w:right w:val="nil"/>
            </w:tcBorders>
            <w:shd w:val="clear" w:color="auto" w:fill="auto"/>
            <w:noWrap/>
            <w:vAlign w:val="bottom"/>
            <w:hideMark/>
          </w:tcPr>
          <w:p w14:paraId="6A1DD5B4" w14:textId="77777777" w:rsidR="00FB4ABA" w:rsidRPr="00F202F6" w:rsidRDefault="00FB4ABA" w:rsidP="00FB4ABA">
            <w:pPr>
              <w:spacing w:after="0" w:line="240" w:lineRule="auto"/>
              <w:rPr>
                <w:rFonts w:ascii="Times New Roman" w:eastAsia="Times New Roman" w:hAnsi="Times New Roman"/>
              </w:rPr>
            </w:pPr>
          </w:p>
        </w:tc>
        <w:tc>
          <w:tcPr>
            <w:tcW w:w="380" w:type="dxa"/>
            <w:tcBorders>
              <w:top w:val="nil"/>
              <w:left w:val="nil"/>
              <w:bottom w:val="nil"/>
              <w:right w:val="nil"/>
            </w:tcBorders>
            <w:shd w:val="clear" w:color="auto" w:fill="auto"/>
            <w:noWrap/>
            <w:vAlign w:val="bottom"/>
            <w:hideMark/>
          </w:tcPr>
          <w:p w14:paraId="159C3CD9" w14:textId="77777777" w:rsidR="00FB4ABA" w:rsidRPr="005C54D3" w:rsidRDefault="00FB4ABA" w:rsidP="00FB4ABA">
            <w:pPr>
              <w:spacing w:after="0" w:line="240" w:lineRule="auto"/>
              <w:rPr>
                <w:rFonts w:ascii="Times New Roman" w:eastAsia="Times New Roman" w:hAnsi="Times New Roman"/>
              </w:rPr>
            </w:pPr>
          </w:p>
        </w:tc>
        <w:tc>
          <w:tcPr>
            <w:tcW w:w="2128" w:type="dxa"/>
            <w:tcBorders>
              <w:top w:val="nil"/>
              <w:left w:val="nil"/>
              <w:bottom w:val="nil"/>
              <w:right w:val="nil"/>
            </w:tcBorders>
            <w:shd w:val="clear" w:color="auto" w:fill="auto"/>
            <w:noWrap/>
            <w:vAlign w:val="bottom"/>
            <w:hideMark/>
          </w:tcPr>
          <w:p w14:paraId="25D71E3C" w14:textId="77777777" w:rsidR="00FB4ABA" w:rsidRPr="005C54D3" w:rsidRDefault="00FB4ABA" w:rsidP="00FB4ABA">
            <w:pPr>
              <w:spacing w:after="0" w:line="240" w:lineRule="auto"/>
              <w:rPr>
                <w:rFonts w:ascii="Times New Roman" w:eastAsia="Times New Roman" w:hAnsi="Times New Roman"/>
              </w:rPr>
            </w:pPr>
          </w:p>
        </w:tc>
        <w:tc>
          <w:tcPr>
            <w:tcW w:w="380" w:type="dxa"/>
            <w:tcBorders>
              <w:top w:val="nil"/>
              <w:left w:val="nil"/>
              <w:bottom w:val="nil"/>
              <w:right w:val="nil"/>
            </w:tcBorders>
            <w:shd w:val="clear" w:color="auto" w:fill="auto"/>
            <w:noWrap/>
            <w:vAlign w:val="bottom"/>
            <w:hideMark/>
          </w:tcPr>
          <w:p w14:paraId="48AFAFA0" w14:textId="77777777" w:rsidR="00FB4ABA" w:rsidRPr="005C54D3" w:rsidRDefault="00FB4ABA" w:rsidP="00FB4ABA">
            <w:pPr>
              <w:spacing w:after="0" w:line="240" w:lineRule="auto"/>
              <w:rPr>
                <w:rFonts w:ascii="Times New Roman" w:eastAsia="Times New Roman" w:hAnsi="Times New Roman"/>
              </w:rPr>
            </w:pPr>
          </w:p>
        </w:tc>
        <w:tc>
          <w:tcPr>
            <w:tcW w:w="1254" w:type="dxa"/>
            <w:tcBorders>
              <w:top w:val="nil"/>
              <w:left w:val="nil"/>
              <w:bottom w:val="nil"/>
              <w:right w:val="nil"/>
            </w:tcBorders>
            <w:shd w:val="clear" w:color="auto" w:fill="auto"/>
            <w:noWrap/>
            <w:vAlign w:val="bottom"/>
            <w:hideMark/>
          </w:tcPr>
          <w:p w14:paraId="16F16013" w14:textId="77777777" w:rsidR="00FB4ABA" w:rsidRPr="005C54D3" w:rsidRDefault="00FB4ABA" w:rsidP="00FB4ABA">
            <w:pPr>
              <w:spacing w:after="0" w:line="240" w:lineRule="auto"/>
              <w:rPr>
                <w:rFonts w:ascii="Times New Roman" w:eastAsia="Times New Roman" w:hAnsi="Times New Roman"/>
              </w:rPr>
            </w:pPr>
          </w:p>
        </w:tc>
      </w:tr>
      <w:tr w:rsidR="00FB4ABA" w:rsidRPr="00CE6838" w14:paraId="78FFC78A" w14:textId="77777777" w:rsidTr="00FB4ABA">
        <w:trPr>
          <w:trHeight w:val="497"/>
          <w:jc w:val="center"/>
        </w:trPr>
        <w:tc>
          <w:tcPr>
            <w:tcW w:w="3439" w:type="dxa"/>
            <w:tcBorders>
              <w:top w:val="nil"/>
              <w:left w:val="nil"/>
              <w:bottom w:val="single" w:sz="8" w:space="0" w:color="auto"/>
              <w:right w:val="nil"/>
            </w:tcBorders>
            <w:shd w:val="clear" w:color="auto" w:fill="auto"/>
            <w:noWrap/>
            <w:vAlign w:val="center"/>
            <w:hideMark/>
          </w:tcPr>
          <w:p w14:paraId="165DB1DF" w14:textId="77777777" w:rsidR="00FB4ABA" w:rsidRPr="00912869" w:rsidRDefault="00FB4ABA" w:rsidP="00FB4ABA">
            <w:pPr>
              <w:spacing w:after="0" w:line="240" w:lineRule="auto"/>
              <w:rPr>
                <w:rFonts w:ascii="Times New Roman" w:eastAsia="Times New Roman" w:hAnsi="Times New Roman"/>
                <w:b/>
                <w:bCs/>
                <w:color w:val="000000"/>
                <w:lang w:val="mk-MK"/>
              </w:rPr>
            </w:pPr>
            <w:r w:rsidRPr="005C54D3">
              <w:rPr>
                <w:rFonts w:ascii="Times New Roman" w:eastAsia="Times New Roman" w:hAnsi="Times New Roman"/>
                <w:b/>
                <w:bCs/>
                <w:color w:val="000000"/>
                <w:lang w:val="mk-MK"/>
              </w:rPr>
              <w:t>Позиција</w:t>
            </w:r>
            <w:r w:rsidRPr="005C54D3">
              <w:rPr>
                <w:rFonts w:ascii="Times New Roman" w:eastAsia="Times New Roman" w:hAnsi="Times New Roman"/>
                <w:b/>
                <w:bCs/>
                <w:color w:val="000000"/>
              </w:rPr>
              <w:t>/</w:t>
            </w:r>
            <w:r w:rsidRPr="005C54D3">
              <w:rPr>
                <w:rFonts w:ascii="Times New Roman" w:eastAsia="Times New Roman" w:hAnsi="Times New Roman"/>
                <w:b/>
                <w:bCs/>
                <w:color w:val="000000"/>
                <w:lang w:val="mk-MK"/>
              </w:rPr>
              <w:t>Показател</w:t>
            </w:r>
          </w:p>
        </w:tc>
        <w:tc>
          <w:tcPr>
            <w:tcW w:w="380" w:type="dxa"/>
            <w:tcBorders>
              <w:top w:val="nil"/>
              <w:left w:val="nil"/>
              <w:bottom w:val="nil"/>
              <w:right w:val="nil"/>
            </w:tcBorders>
            <w:shd w:val="clear" w:color="auto" w:fill="auto"/>
            <w:vAlign w:val="bottom"/>
            <w:hideMark/>
          </w:tcPr>
          <w:p w14:paraId="237D63C6" w14:textId="77777777" w:rsidR="00FB4ABA" w:rsidRPr="00F202F6" w:rsidRDefault="00FB4ABA" w:rsidP="00FB4ABA">
            <w:pPr>
              <w:spacing w:after="0" w:line="240" w:lineRule="auto"/>
              <w:rPr>
                <w:rFonts w:ascii="Times New Roman" w:eastAsia="Times New Roman" w:hAnsi="Times New Roman"/>
                <w:b/>
                <w:bCs/>
                <w:color w:val="000000"/>
              </w:rPr>
            </w:pPr>
          </w:p>
        </w:tc>
        <w:tc>
          <w:tcPr>
            <w:tcW w:w="1408" w:type="dxa"/>
            <w:tcBorders>
              <w:top w:val="nil"/>
              <w:left w:val="nil"/>
              <w:bottom w:val="single" w:sz="8" w:space="0" w:color="auto"/>
              <w:right w:val="nil"/>
            </w:tcBorders>
            <w:shd w:val="clear" w:color="auto" w:fill="auto"/>
            <w:vAlign w:val="center"/>
            <w:hideMark/>
          </w:tcPr>
          <w:p w14:paraId="1C695968" w14:textId="77777777" w:rsidR="00FB4ABA" w:rsidRPr="005C54D3" w:rsidRDefault="00FB4ABA" w:rsidP="00FB4ABA">
            <w:pPr>
              <w:spacing w:after="0" w:line="240" w:lineRule="auto"/>
              <w:jc w:val="center"/>
              <w:rPr>
                <w:rFonts w:ascii="Times New Roman" w:eastAsia="Times New Roman" w:hAnsi="Times New Roman"/>
                <w:b/>
                <w:bCs/>
                <w:color w:val="000000"/>
                <w:lang w:val="mk-MK"/>
              </w:rPr>
            </w:pPr>
            <w:r w:rsidRPr="005C54D3">
              <w:rPr>
                <w:rFonts w:ascii="Times New Roman" w:eastAsia="Times New Roman" w:hAnsi="Times New Roman"/>
                <w:b/>
                <w:bCs/>
                <w:color w:val="000000"/>
                <w:lang w:val="mk-MK"/>
              </w:rPr>
              <w:t>Банкарски сектор</w:t>
            </w:r>
          </w:p>
        </w:tc>
        <w:tc>
          <w:tcPr>
            <w:tcW w:w="380" w:type="dxa"/>
            <w:tcBorders>
              <w:top w:val="nil"/>
              <w:left w:val="nil"/>
              <w:bottom w:val="nil"/>
              <w:right w:val="nil"/>
            </w:tcBorders>
            <w:shd w:val="clear" w:color="auto" w:fill="auto"/>
            <w:vAlign w:val="bottom"/>
            <w:hideMark/>
          </w:tcPr>
          <w:p w14:paraId="1097A049" w14:textId="77777777" w:rsidR="00FB4ABA" w:rsidRPr="005C54D3" w:rsidRDefault="00FB4ABA" w:rsidP="00FB4ABA">
            <w:pPr>
              <w:spacing w:after="0" w:line="240" w:lineRule="auto"/>
              <w:jc w:val="center"/>
              <w:rPr>
                <w:rFonts w:ascii="Times New Roman" w:eastAsia="Times New Roman" w:hAnsi="Times New Roman"/>
                <w:b/>
                <w:bCs/>
                <w:color w:val="000000"/>
              </w:rPr>
            </w:pPr>
          </w:p>
        </w:tc>
        <w:tc>
          <w:tcPr>
            <w:tcW w:w="2128" w:type="dxa"/>
            <w:tcBorders>
              <w:top w:val="nil"/>
              <w:left w:val="nil"/>
              <w:bottom w:val="single" w:sz="8" w:space="0" w:color="auto"/>
              <w:right w:val="nil"/>
            </w:tcBorders>
            <w:shd w:val="clear" w:color="auto" w:fill="auto"/>
            <w:noWrap/>
            <w:vAlign w:val="center"/>
            <w:hideMark/>
          </w:tcPr>
          <w:p w14:paraId="23ECB829" w14:textId="77777777" w:rsidR="00FB4ABA" w:rsidRPr="005C54D3" w:rsidRDefault="00FB4ABA" w:rsidP="00FB4ABA">
            <w:pPr>
              <w:spacing w:after="0" w:line="240" w:lineRule="auto"/>
              <w:jc w:val="center"/>
              <w:rPr>
                <w:rFonts w:ascii="Times New Roman" w:eastAsia="Times New Roman" w:hAnsi="Times New Roman"/>
                <w:b/>
                <w:bCs/>
                <w:color w:val="000000"/>
                <w:lang w:val="mk-MK"/>
              </w:rPr>
            </w:pPr>
            <w:r w:rsidRPr="005C54D3">
              <w:rPr>
                <w:rFonts w:ascii="Times New Roman" w:eastAsia="Times New Roman" w:hAnsi="Times New Roman"/>
                <w:b/>
                <w:bCs/>
                <w:color w:val="000000"/>
                <w:lang w:val="mk-MK"/>
              </w:rPr>
              <w:t>СБ</w:t>
            </w:r>
          </w:p>
        </w:tc>
        <w:tc>
          <w:tcPr>
            <w:tcW w:w="380" w:type="dxa"/>
            <w:tcBorders>
              <w:top w:val="nil"/>
              <w:left w:val="nil"/>
              <w:bottom w:val="nil"/>
              <w:right w:val="nil"/>
            </w:tcBorders>
            <w:shd w:val="clear" w:color="auto" w:fill="auto"/>
            <w:vAlign w:val="bottom"/>
            <w:hideMark/>
          </w:tcPr>
          <w:p w14:paraId="4B61B3BE" w14:textId="77777777" w:rsidR="00FB4ABA" w:rsidRPr="005C54D3" w:rsidRDefault="00FB4ABA" w:rsidP="00FB4ABA">
            <w:pPr>
              <w:spacing w:after="0" w:line="240" w:lineRule="auto"/>
              <w:jc w:val="center"/>
              <w:rPr>
                <w:rFonts w:ascii="Times New Roman" w:eastAsia="Times New Roman" w:hAnsi="Times New Roman"/>
                <w:b/>
                <w:bCs/>
                <w:color w:val="000000"/>
              </w:rPr>
            </w:pPr>
          </w:p>
        </w:tc>
        <w:tc>
          <w:tcPr>
            <w:tcW w:w="1254" w:type="dxa"/>
            <w:tcBorders>
              <w:top w:val="nil"/>
              <w:left w:val="nil"/>
              <w:bottom w:val="single" w:sz="8" w:space="0" w:color="auto"/>
              <w:right w:val="nil"/>
            </w:tcBorders>
            <w:shd w:val="clear" w:color="auto" w:fill="auto"/>
            <w:vAlign w:val="center"/>
            <w:hideMark/>
          </w:tcPr>
          <w:p w14:paraId="7E39585C" w14:textId="77777777" w:rsidR="00FB4ABA" w:rsidRPr="005C54D3" w:rsidRDefault="00FB4ABA" w:rsidP="00FB4ABA">
            <w:pPr>
              <w:spacing w:after="0" w:line="240" w:lineRule="auto"/>
              <w:jc w:val="center"/>
              <w:rPr>
                <w:rFonts w:ascii="Times New Roman" w:eastAsia="Times New Roman" w:hAnsi="Times New Roman"/>
                <w:b/>
                <w:bCs/>
                <w:color w:val="000000"/>
                <w:lang w:val="mk-MK"/>
              </w:rPr>
            </w:pPr>
            <w:r w:rsidRPr="005C54D3">
              <w:rPr>
                <w:rFonts w:ascii="Times New Roman" w:eastAsia="Times New Roman" w:hAnsi="Times New Roman"/>
                <w:b/>
                <w:bCs/>
                <w:color w:val="000000"/>
                <w:lang w:val="mk-MK"/>
              </w:rPr>
              <w:t>Пазарен удел</w:t>
            </w:r>
          </w:p>
        </w:tc>
      </w:tr>
      <w:tr w:rsidR="00FB4ABA" w:rsidRPr="00CE6838" w14:paraId="1C0DDE5C" w14:textId="77777777" w:rsidTr="00FB4ABA">
        <w:trPr>
          <w:trHeight w:val="255"/>
          <w:jc w:val="center"/>
        </w:trPr>
        <w:tc>
          <w:tcPr>
            <w:tcW w:w="3439" w:type="dxa"/>
            <w:tcBorders>
              <w:top w:val="nil"/>
              <w:left w:val="nil"/>
              <w:bottom w:val="nil"/>
              <w:right w:val="nil"/>
            </w:tcBorders>
            <w:shd w:val="clear" w:color="auto" w:fill="auto"/>
            <w:noWrap/>
            <w:vAlign w:val="center"/>
            <w:hideMark/>
          </w:tcPr>
          <w:p w14:paraId="0796FEBC" w14:textId="77777777" w:rsidR="00FB4ABA" w:rsidRPr="005C54D3" w:rsidRDefault="00FB4ABA" w:rsidP="00FB4ABA">
            <w:pPr>
              <w:spacing w:after="0" w:line="240" w:lineRule="auto"/>
              <w:rPr>
                <w:rFonts w:ascii="Times New Roman" w:eastAsia="Times New Roman" w:hAnsi="Times New Roman"/>
                <w:color w:val="000000"/>
              </w:rPr>
            </w:pPr>
            <w:r w:rsidRPr="005C54D3">
              <w:rPr>
                <w:rFonts w:ascii="Times New Roman" w:eastAsia="Times New Roman" w:hAnsi="Times New Roman"/>
                <w:color w:val="000000"/>
                <w:lang w:val="mk-MK"/>
              </w:rPr>
              <w:t>Вкупна актива</w:t>
            </w:r>
            <w:r w:rsidRPr="005C54D3">
              <w:rPr>
                <w:rFonts w:ascii="Times New Roman" w:eastAsia="Times New Roman" w:hAnsi="Times New Roman"/>
                <w:color w:val="000000"/>
              </w:rPr>
              <w:t xml:space="preserve"> </w:t>
            </w:r>
          </w:p>
        </w:tc>
        <w:tc>
          <w:tcPr>
            <w:tcW w:w="380" w:type="dxa"/>
            <w:tcBorders>
              <w:top w:val="nil"/>
              <w:left w:val="nil"/>
              <w:bottom w:val="nil"/>
              <w:right w:val="nil"/>
            </w:tcBorders>
            <w:shd w:val="clear" w:color="auto" w:fill="auto"/>
            <w:noWrap/>
            <w:vAlign w:val="bottom"/>
            <w:hideMark/>
          </w:tcPr>
          <w:p w14:paraId="46B720AD" w14:textId="77777777" w:rsidR="00FB4ABA" w:rsidRPr="00912869" w:rsidRDefault="00FB4ABA" w:rsidP="00FB4ABA">
            <w:pPr>
              <w:spacing w:after="0" w:line="240" w:lineRule="auto"/>
              <w:rPr>
                <w:rFonts w:ascii="Times New Roman" w:eastAsia="Times New Roman" w:hAnsi="Times New Roman"/>
                <w:color w:val="000000"/>
              </w:rPr>
            </w:pPr>
          </w:p>
        </w:tc>
        <w:tc>
          <w:tcPr>
            <w:tcW w:w="1408" w:type="dxa"/>
            <w:tcBorders>
              <w:top w:val="nil"/>
              <w:left w:val="nil"/>
              <w:bottom w:val="nil"/>
              <w:right w:val="nil"/>
            </w:tcBorders>
            <w:shd w:val="clear" w:color="auto" w:fill="auto"/>
            <w:noWrap/>
            <w:vAlign w:val="center"/>
          </w:tcPr>
          <w:p w14:paraId="7A6D7764" w14:textId="77777777" w:rsidR="00FB4ABA" w:rsidRPr="00F202F6" w:rsidRDefault="00FB4ABA" w:rsidP="00FB4ABA">
            <w:pPr>
              <w:spacing w:after="0" w:line="240" w:lineRule="auto"/>
              <w:jc w:val="right"/>
              <w:rPr>
                <w:rFonts w:ascii="Times New Roman" w:eastAsia="Times New Roman" w:hAnsi="Times New Roman"/>
              </w:rPr>
            </w:pPr>
            <w:r w:rsidRPr="00F202F6">
              <w:rPr>
                <w:rFonts w:ascii="Times New Roman" w:eastAsia="Times New Roman" w:hAnsi="Times New Roman"/>
              </w:rPr>
              <w:t>11,127.3</w:t>
            </w:r>
          </w:p>
        </w:tc>
        <w:tc>
          <w:tcPr>
            <w:tcW w:w="380" w:type="dxa"/>
            <w:tcBorders>
              <w:top w:val="nil"/>
              <w:left w:val="nil"/>
              <w:bottom w:val="nil"/>
              <w:right w:val="nil"/>
            </w:tcBorders>
            <w:shd w:val="clear" w:color="auto" w:fill="auto"/>
            <w:noWrap/>
            <w:vAlign w:val="bottom"/>
          </w:tcPr>
          <w:p w14:paraId="548A42C5" w14:textId="77777777" w:rsidR="00FB4ABA" w:rsidRPr="005C54D3" w:rsidRDefault="00FB4ABA" w:rsidP="00FB4ABA">
            <w:pPr>
              <w:spacing w:after="0" w:line="240" w:lineRule="auto"/>
              <w:jc w:val="right"/>
              <w:rPr>
                <w:rFonts w:ascii="Times New Roman" w:eastAsia="Times New Roman" w:hAnsi="Times New Roman"/>
              </w:rPr>
            </w:pPr>
          </w:p>
        </w:tc>
        <w:tc>
          <w:tcPr>
            <w:tcW w:w="2128" w:type="dxa"/>
            <w:tcBorders>
              <w:top w:val="nil"/>
              <w:left w:val="nil"/>
              <w:bottom w:val="nil"/>
              <w:right w:val="nil"/>
            </w:tcBorders>
            <w:shd w:val="clear" w:color="auto" w:fill="auto"/>
            <w:noWrap/>
            <w:vAlign w:val="center"/>
          </w:tcPr>
          <w:p w14:paraId="57305AC1" w14:textId="77777777" w:rsidR="00FB4ABA" w:rsidRPr="005C54D3" w:rsidRDefault="00FB4ABA" w:rsidP="00FB4ABA">
            <w:pPr>
              <w:spacing w:after="0" w:line="240" w:lineRule="auto"/>
              <w:jc w:val="right"/>
              <w:rPr>
                <w:rFonts w:ascii="Times New Roman" w:eastAsia="Times New Roman" w:hAnsi="Times New Roman"/>
              </w:rPr>
            </w:pPr>
            <w:r w:rsidRPr="005C54D3">
              <w:rPr>
                <w:rFonts w:ascii="Times New Roman" w:eastAsia="Times New Roman" w:hAnsi="Times New Roman"/>
              </w:rPr>
              <w:t>1,996.7</w:t>
            </w:r>
          </w:p>
        </w:tc>
        <w:tc>
          <w:tcPr>
            <w:tcW w:w="380" w:type="dxa"/>
            <w:tcBorders>
              <w:top w:val="nil"/>
              <w:left w:val="nil"/>
              <w:bottom w:val="nil"/>
              <w:right w:val="nil"/>
            </w:tcBorders>
            <w:shd w:val="clear" w:color="auto" w:fill="auto"/>
            <w:noWrap/>
            <w:vAlign w:val="bottom"/>
          </w:tcPr>
          <w:p w14:paraId="75167A1F" w14:textId="77777777" w:rsidR="00FB4ABA" w:rsidRPr="005C54D3" w:rsidRDefault="00FB4ABA" w:rsidP="00FB4ABA">
            <w:pPr>
              <w:spacing w:after="0" w:line="240" w:lineRule="auto"/>
              <w:jc w:val="right"/>
              <w:rPr>
                <w:rFonts w:ascii="Times New Roman" w:eastAsia="Times New Roman" w:hAnsi="Times New Roman"/>
              </w:rPr>
            </w:pPr>
          </w:p>
        </w:tc>
        <w:tc>
          <w:tcPr>
            <w:tcW w:w="1254" w:type="dxa"/>
            <w:tcBorders>
              <w:top w:val="nil"/>
              <w:left w:val="nil"/>
              <w:bottom w:val="nil"/>
              <w:right w:val="nil"/>
            </w:tcBorders>
            <w:shd w:val="clear" w:color="auto" w:fill="auto"/>
            <w:noWrap/>
            <w:vAlign w:val="center"/>
          </w:tcPr>
          <w:p w14:paraId="7A57F98F" w14:textId="77777777" w:rsidR="00FB4ABA" w:rsidRPr="005C54D3" w:rsidRDefault="00FB4ABA" w:rsidP="00FB4ABA">
            <w:pPr>
              <w:spacing w:after="0" w:line="240" w:lineRule="auto"/>
              <w:jc w:val="right"/>
              <w:rPr>
                <w:rFonts w:ascii="Times New Roman" w:eastAsia="Times New Roman" w:hAnsi="Times New Roman"/>
                <w:color w:val="000000"/>
              </w:rPr>
            </w:pPr>
            <w:r w:rsidRPr="005C54D3">
              <w:rPr>
                <w:rFonts w:ascii="Times New Roman" w:eastAsia="Times New Roman" w:hAnsi="Times New Roman"/>
                <w:color w:val="000000"/>
              </w:rPr>
              <w:t>17.9%</w:t>
            </w:r>
          </w:p>
        </w:tc>
      </w:tr>
      <w:tr w:rsidR="00FB4ABA" w:rsidRPr="00CE6838" w14:paraId="2FD4C1D1" w14:textId="77777777" w:rsidTr="00FB4ABA">
        <w:trPr>
          <w:trHeight w:val="255"/>
          <w:jc w:val="center"/>
        </w:trPr>
        <w:tc>
          <w:tcPr>
            <w:tcW w:w="3439" w:type="dxa"/>
            <w:tcBorders>
              <w:top w:val="nil"/>
              <w:left w:val="nil"/>
              <w:bottom w:val="nil"/>
              <w:right w:val="nil"/>
            </w:tcBorders>
            <w:shd w:val="clear" w:color="auto" w:fill="auto"/>
            <w:noWrap/>
            <w:vAlign w:val="center"/>
            <w:hideMark/>
          </w:tcPr>
          <w:p w14:paraId="5B182931" w14:textId="77777777" w:rsidR="00FB4ABA" w:rsidRPr="005C54D3" w:rsidRDefault="00FB4ABA" w:rsidP="00FB4ABA">
            <w:pPr>
              <w:spacing w:after="0" w:line="240" w:lineRule="auto"/>
              <w:rPr>
                <w:rFonts w:ascii="Times New Roman" w:eastAsia="Times New Roman" w:hAnsi="Times New Roman"/>
                <w:color w:val="000000"/>
              </w:rPr>
            </w:pPr>
            <w:r w:rsidRPr="005C54D3">
              <w:rPr>
                <w:rFonts w:ascii="Times New Roman" w:eastAsia="Times New Roman" w:hAnsi="Times New Roman"/>
                <w:color w:val="000000"/>
                <w:lang w:val="mk-MK"/>
              </w:rPr>
              <w:t>Вкупни кредити</w:t>
            </w:r>
            <w:r w:rsidRPr="005C54D3">
              <w:rPr>
                <w:rFonts w:ascii="Times New Roman" w:eastAsia="Times New Roman" w:hAnsi="Times New Roman"/>
                <w:color w:val="000000"/>
              </w:rPr>
              <w:t xml:space="preserve"> </w:t>
            </w:r>
          </w:p>
        </w:tc>
        <w:tc>
          <w:tcPr>
            <w:tcW w:w="380" w:type="dxa"/>
            <w:tcBorders>
              <w:top w:val="nil"/>
              <w:left w:val="nil"/>
              <w:bottom w:val="nil"/>
              <w:right w:val="nil"/>
            </w:tcBorders>
            <w:shd w:val="clear" w:color="auto" w:fill="auto"/>
            <w:noWrap/>
            <w:vAlign w:val="bottom"/>
            <w:hideMark/>
          </w:tcPr>
          <w:p w14:paraId="48F1185D" w14:textId="77777777" w:rsidR="00FB4ABA" w:rsidRPr="00912869" w:rsidRDefault="00FB4ABA" w:rsidP="00FB4ABA">
            <w:pPr>
              <w:spacing w:after="0" w:line="240" w:lineRule="auto"/>
              <w:rPr>
                <w:rFonts w:ascii="Times New Roman" w:eastAsia="Times New Roman" w:hAnsi="Times New Roman"/>
                <w:color w:val="000000"/>
              </w:rPr>
            </w:pPr>
          </w:p>
        </w:tc>
        <w:tc>
          <w:tcPr>
            <w:tcW w:w="1408" w:type="dxa"/>
            <w:tcBorders>
              <w:top w:val="nil"/>
              <w:left w:val="nil"/>
              <w:bottom w:val="nil"/>
              <w:right w:val="nil"/>
            </w:tcBorders>
            <w:shd w:val="clear" w:color="auto" w:fill="auto"/>
            <w:noWrap/>
            <w:vAlign w:val="center"/>
          </w:tcPr>
          <w:p w14:paraId="64408046" w14:textId="77777777" w:rsidR="00FB4ABA" w:rsidRPr="00F202F6" w:rsidRDefault="00FB4ABA" w:rsidP="00FB4ABA">
            <w:pPr>
              <w:spacing w:after="0" w:line="240" w:lineRule="auto"/>
              <w:jc w:val="right"/>
              <w:rPr>
                <w:rFonts w:ascii="Times New Roman" w:eastAsia="Times New Roman" w:hAnsi="Times New Roman"/>
              </w:rPr>
            </w:pPr>
            <w:r w:rsidRPr="00F202F6">
              <w:rPr>
                <w:rFonts w:ascii="Times New Roman" w:eastAsia="Times New Roman" w:hAnsi="Times New Roman"/>
              </w:rPr>
              <w:t>6,776.0</w:t>
            </w:r>
          </w:p>
        </w:tc>
        <w:tc>
          <w:tcPr>
            <w:tcW w:w="380" w:type="dxa"/>
            <w:tcBorders>
              <w:top w:val="nil"/>
              <w:left w:val="nil"/>
              <w:bottom w:val="nil"/>
              <w:right w:val="nil"/>
            </w:tcBorders>
            <w:shd w:val="clear" w:color="auto" w:fill="auto"/>
            <w:noWrap/>
            <w:vAlign w:val="bottom"/>
          </w:tcPr>
          <w:p w14:paraId="1985EB21" w14:textId="77777777" w:rsidR="00FB4ABA" w:rsidRPr="005C54D3" w:rsidRDefault="00FB4ABA" w:rsidP="00FB4ABA">
            <w:pPr>
              <w:spacing w:after="0" w:line="240" w:lineRule="auto"/>
              <w:jc w:val="right"/>
              <w:rPr>
                <w:rFonts w:ascii="Times New Roman" w:eastAsia="Times New Roman" w:hAnsi="Times New Roman"/>
              </w:rPr>
            </w:pPr>
          </w:p>
        </w:tc>
        <w:tc>
          <w:tcPr>
            <w:tcW w:w="2128" w:type="dxa"/>
            <w:tcBorders>
              <w:top w:val="nil"/>
              <w:left w:val="nil"/>
              <w:bottom w:val="nil"/>
              <w:right w:val="nil"/>
            </w:tcBorders>
            <w:shd w:val="clear" w:color="auto" w:fill="auto"/>
            <w:noWrap/>
            <w:vAlign w:val="center"/>
          </w:tcPr>
          <w:p w14:paraId="419A0178" w14:textId="77777777" w:rsidR="00FB4ABA" w:rsidRPr="005C54D3" w:rsidRDefault="00FB4ABA" w:rsidP="00FB4ABA">
            <w:pPr>
              <w:spacing w:after="0" w:line="240" w:lineRule="auto"/>
              <w:jc w:val="right"/>
              <w:rPr>
                <w:rFonts w:ascii="Times New Roman" w:eastAsia="Times New Roman" w:hAnsi="Times New Roman"/>
              </w:rPr>
            </w:pPr>
            <w:r w:rsidRPr="005C54D3">
              <w:rPr>
                <w:rFonts w:ascii="Times New Roman" w:eastAsia="Times New Roman" w:hAnsi="Times New Roman"/>
              </w:rPr>
              <w:t>1,449.1</w:t>
            </w:r>
          </w:p>
        </w:tc>
        <w:tc>
          <w:tcPr>
            <w:tcW w:w="380" w:type="dxa"/>
            <w:tcBorders>
              <w:top w:val="nil"/>
              <w:left w:val="nil"/>
              <w:bottom w:val="nil"/>
              <w:right w:val="nil"/>
            </w:tcBorders>
            <w:shd w:val="clear" w:color="auto" w:fill="auto"/>
            <w:noWrap/>
            <w:vAlign w:val="bottom"/>
          </w:tcPr>
          <w:p w14:paraId="4C372013" w14:textId="77777777" w:rsidR="00FB4ABA" w:rsidRPr="005C54D3" w:rsidRDefault="00FB4ABA" w:rsidP="00FB4ABA">
            <w:pPr>
              <w:spacing w:after="0" w:line="240" w:lineRule="auto"/>
              <w:jc w:val="right"/>
              <w:rPr>
                <w:rFonts w:ascii="Times New Roman" w:eastAsia="Times New Roman" w:hAnsi="Times New Roman"/>
              </w:rPr>
            </w:pPr>
          </w:p>
        </w:tc>
        <w:tc>
          <w:tcPr>
            <w:tcW w:w="1254" w:type="dxa"/>
            <w:tcBorders>
              <w:top w:val="nil"/>
              <w:left w:val="nil"/>
              <w:bottom w:val="nil"/>
              <w:right w:val="nil"/>
            </w:tcBorders>
            <w:shd w:val="clear" w:color="auto" w:fill="auto"/>
            <w:noWrap/>
            <w:vAlign w:val="center"/>
          </w:tcPr>
          <w:p w14:paraId="79D65DAD" w14:textId="77777777" w:rsidR="00FB4ABA" w:rsidRPr="005C54D3" w:rsidRDefault="00FB4ABA" w:rsidP="00FB4ABA">
            <w:pPr>
              <w:spacing w:after="0" w:line="240" w:lineRule="auto"/>
              <w:jc w:val="right"/>
              <w:rPr>
                <w:rFonts w:ascii="Times New Roman" w:eastAsia="Times New Roman" w:hAnsi="Times New Roman"/>
                <w:color w:val="000000"/>
              </w:rPr>
            </w:pPr>
            <w:r w:rsidRPr="005C54D3">
              <w:rPr>
                <w:rFonts w:ascii="Times New Roman" w:eastAsia="Times New Roman" w:hAnsi="Times New Roman"/>
                <w:color w:val="000000"/>
              </w:rPr>
              <w:t>21.4%</w:t>
            </w:r>
          </w:p>
        </w:tc>
      </w:tr>
      <w:tr w:rsidR="00FB4ABA" w:rsidRPr="00CE6838" w14:paraId="4AEA28DC" w14:textId="77777777" w:rsidTr="00FB4ABA">
        <w:trPr>
          <w:trHeight w:val="255"/>
          <w:jc w:val="center"/>
        </w:trPr>
        <w:tc>
          <w:tcPr>
            <w:tcW w:w="3439" w:type="dxa"/>
            <w:tcBorders>
              <w:top w:val="nil"/>
              <w:left w:val="nil"/>
              <w:bottom w:val="nil"/>
              <w:right w:val="nil"/>
            </w:tcBorders>
            <w:shd w:val="clear" w:color="auto" w:fill="auto"/>
            <w:noWrap/>
            <w:vAlign w:val="center"/>
            <w:hideMark/>
          </w:tcPr>
          <w:p w14:paraId="101C2E18" w14:textId="77777777" w:rsidR="00FB4ABA" w:rsidRPr="005C54D3" w:rsidRDefault="00FB4ABA" w:rsidP="00FB4ABA">
            <w:pPr>
              <w:spacing w:after="0" w:line="240" w:lineRule="auto"/>
              <w:rPr>
                <w:rFonts w:ascii="Times New Roman" w:eastAsia="Times New Roman" w:hAnsi="Times New Roman"/>
                <w:color w:val="000000"/>
              </w:rPr>
            </w:pPr>
            <w:r w:rsidRPr="005C54D3">
              <w:rPr>
                <w:rFonts w:ascii="Times New Roman" w:eastAsia="Times New Roman" w:hAnsi="Times New Roman"/>
                <w:color w:val="000000"/>
                <w:lang w:val="mk-MK"/>
              </w:rPr>
              <w:t>Вкупни депозити</w:t>
            </w:r>
            <w:r w:rsidRPr="005C54D3">
              <w:rPr>
                <w:rFonts w:ascii="Times New Roman" w:eastAsia="Times New Roman" w:hAnsi="Times New Roman"/>
                <w:color w:val="000000"/>
              </w:rPr>
              <w:t xml:space="preserve"> </w:t>
            </w:r>
          </w:p>
        </w:tc>
        <w:tc>
          <w:tcPr>
            <w:tcW w:w="380" w:type="dxa"/>
            <w:tcBorders>
              <w:top w:val="nil"/>
              <w:left w:val="nil"/>
              <w:bottom w:val="nil"/>
              <w:right w:val="nil"/>
            </w:tcBorders>
            <w:shd w:val="clear" w:color="auto" w:fill="auto"/>
            <w:noWrap/>
            <w:vAlign w:val="bottom"/>
            <w:hideMark/>
          </w:tcPr>
          <w:p w14:paraId="242106EB" w14:textId="77777777" w:rsidR="00FB4ABA" w:rsidRPr="00912869" w:rsidRDefault="00FB4ABA" w:rsidP="00FB4ABA">
            <w:pPr>
              <w:spacing w:after="0" w:line="240" w:lineRule="auto"/>
              <w:rPr>
                <w:rFonts w:ascii="Times New Roman" w:eastAsia="Times New Roman" w:hAnsi="Times New Roman"/>
                <w:color w:val="000000"/>
              </w:rPr>
            </w:pPr>
          </w:p>
        </w:tc>
        <w:tc>
          <w:tcPr>
            <w:tcW w:w="1408" w:type="dxa"/>
            <w:tcBorders>
              <w:top w:val="nil"/>
              <w:left w:val="nil"/>
              <w:bottom w:val="nil"/>
              <w:right w:val="nil"/>
            </w:tcBorders>
            <w:shd w:val="clear" w:color="auto" w:fill="auto"/>
            <w:noWrap/>
            <w:vAlign w:val="center"/>
          </w:tcPr>
          <w:p w14:paraId="221321B1" w14:textId="77777777" w:rsidR="00FB4ABA" w:rsidRPr="00F202F6" w:rsidRDefault="00FB4ABA" w:rsidP="00FB4ABA">
            <w:pPr>
              <w:spacing w:after="0" w:line="240" w:lineRule="auto"/>
              <w:jc w:val="right"/>
              <w:rPr>
                <w:rFonts w:ascii="Times New Roman" w:eastAsia="Times New Roman" w:hAnsi="Times New Roman"/>
              </w:rPr>
            </w:pPr>
            <w:r w:rsidRPr="00F202F6">
              <w:rPr>
                <w:rFonts w:ascii="Times New Roman" w:eastAsia="Times New Roman" w:hAnsi="Times New Roman"/>
              </w:rPr>
              <w:t>7,573.4</w:t>
            </w:r>
          </w:p>
        </w:tc>
        <w:tc>
          <w:tcPr>
            <w:tcW w:w="380" w:type="dxa"/>
            <w:tcBorders>
              <w:top w:val="nil"/>
              <w:left w:val="nil"/>
              <w:bottom w:val="nil"/>
              <w:right w:val="nil"/>
            </w:tcBorders>
            <w:shd w:val="clear" w:color="auto" w:fill="auto"/>
            <w:noWrap/>
            <w:vAlign w:val="bottom"/>
          </w:tcPr>
          <w:p w14:paraId="53003F3E" w14:textId="77777777" w:rsidR="00FB4ABA" w:rsidRPr="005C54D3" w:rsidRDefault="00FB4ABA" w:rsidP="00FB4ABA">
            <w:pPr>
              <w:spacing w:after="0" w:line="240" w:lineRule="auto"/>
              <w:jc w:val="right"/>
              <w:rPr>
                <w:rFonts w:ascii="Times New Roman" w:eastAsia="Times New Roman" w:hAnsi="Times New Roman"/>
              </w:rPr>
            </w:pPr>
          </w:p>
        </w:tc>
        <w:tc>
          <w:tcPr>
            <w:tcW w:w="2128" w:type="dxa"/>
            <w:tcBorders>
              <w:top w:val="nil"/>
              <w:left w:val="nil"/>
              <w:bottom w:val="nil"/>
              <w:right w:val="nil"/>
            </w:tcBorders>
            <w:shd w:val="clear" w:color="auto" w:fill="auto"/>
            <w:noWrap/>
            <w:vAlign w:val="center"/>
          </w:tcPr>
          <w:p w14:paraId="4B87135A" w14:textId="77777777" w:rsidR="00FB4ABA" w:rsidRPr="005C54D3" w:rsidRDefault="00FB4ABA" w:rsidP="00FB4ABA">
            <w:pPr>
              <w:spacing w:after="0" w:line="240" w:lineRule="auto"/>
              <w:jc w:val="right"/>
              <w:rPr>
                <w:rFonts w:ascii="Times New Roman" w:eastAsia="Times New Roman" w:hAnsi="Times New Roman"/>
              </w:rPr>
            </w:pPr>
            <w:r w:rsidRPr="005C54D3">
              <w:rPr>
                <w:rFonts w:ascii="Times New Roman" w:eastAsia="Times New Roman" w:hAnsi="Times New Roman"/>
              </w:rPr>
              <w:t>1,535.0</w:t>
            </w:r>
          </w:p>
        </w:tc>
        <w:tc>
          <w:tcPr>
            <w:tcW w:w="380" w:type="dxa"/>
            <w:tcBorders>
              <w:top w:val="nil"/>
              <w:left w:val="nil"/>
              <w:bottom w:val="nil"/>
              <w:right w:val="nil"/>
            </w:tcBorders>
            <w:shd w:val="clear" w:color="auto" w:fill="auto"/>
            <w:noWrap/>
            <w:vAlign w:val="bottom"/>
          </w:tcPr>
          <w:p w14:paraId="17FE37C5" w14:textId="77777777" w:rsidR="00FB4ABA" w:rsidRPr="005C54D3" w:rsidRDefault="00FB4ABA" w:rsidP="00FB4ABA">
            <w:pPr>
              <w:spacing w:after="0" w:line="240" w:lineRule="auto"/>
              <w:jc w:val="right"/>
              <w:rPr>
                <w:rFonts w:ascii="Times New Roman" w:eastAsia="Times New Roman" w:hAnsi="Times New Roman"/>
              </w:rPr>
            </w:pPr>
          </w:p>
        </w:tc>
        <w:tc>
          <w:tcPr>
            <w:tcW w:w="1254" w:type="dxa"/>
            <w:tcBorders>
              <w:top w:val="nil"/>
              <w:left w:val="nil"/>
              <w:bottom w:val="nil"/>
              <w:right w:val="nil"/>
            </w:tcBorders>
            <w:shd w:val="clear" w:color="auto" w:fill="auto"/>
            <w:noWrap/>
            <w:vAlign w:val="center"/>
          </w:tcPr>
          <w:p w14:paraId="0EAE2C67" w14:textId="77777777" w:rsidR="00FB4ABA" w:rsidRPr="005C54D3" w:rsidRDefault="00FB4ABA" w:rsidP="00FB4ABA">
            <w:pPr>
              <w:spacing w:after="0" w:line="240" w:lineRule="auto"/>
              <w:jc w:val="right"/>
              <w:rPr>
                <w:rFonts w:ascii="Times New Roman" w:eastAsia="Times New Roman" w:hAnsi="Times New Roman"/>
                <w:color w:val="000000"/>
              </w:rPr>
            </w:pPr>
            <w:r w:rsidRPr="005C54D3">
              <w:rPr>
                <w:rFonts w:ascii="Times New Roman" w:eastAsia="Times New Roman" w:hAnsi="Times New Roman"/>
                <w:color w:val="000000"/>
              </w:rPr>
              <w:t>20.1%</w:t>
            </w:r>
          </w:p>
        </w:tc>
      </w:tr>
      <w:tr w:rsidR="00FB4ABA" w:rsidRPr="00CE6838" w14:paraId="3639CD8E" w14:textId="77777777" w:rsidTr="00FB4ABA">
        <w:trPr>
          <w:trHeight w:val="255"/>
          <w:jc w:val="center"/>
        </w:trPr>
        <w:tc>
          <w:tcPr>
            <w:tcW w:w="3439" w:type="dxa"/>
            <w:tcBorders>
              <w:top w:val="nil"/>
              <w:left w:val="nil"/>
              <w:bottom w:val="nil"/>
              <w:right w:val="nil"/>
            </w:tcBorders>
            <w:shd w:val="clear" w:color="auto" w:fill="auto"/>
            <w:noWrap/>
            <w:vAlign w:val="center"/>
            <w:hideMark/>
          </w:tcPr>
          <w:p w14:paraId="142E57AA" w14:textId="77777777" w:rsidR="00FB4ABA" w:rsidRPr="00912869" w:rsidRDefault="00FB4ABA" w:rsidP="00FB4ABA">
            <w:pPr>
              <w:spacing w:after="0" w:line="240" w:lineRule="auto"/>
              <w:rPr>
                <w:rFonts w:ascii="Times New Roman" w:eastAsia="Times New Roman" w:hAnsi="Times New Roman"/>
                <w:color w:val="000000"/>
                <w:lang w:val="mk-MK"/>
              </w:rPr>
            </w:pPr>
            <w:r w:rsidRPr="005C54D3">
              <w:rPr>
                <w:rFonts w:ascii="Times New Roman" w:eastAsia="Times New Roman" w:hAnsi="Times New Roman"/>
                <w:color w:val="000000"/>
                <w:lang w:val="mk-MK"/>
              </w:rPr>
              <w:t>Кредитен раст</w:t>
            </w:r>
            <w:r w:rsidRPr="005C54D3">
              <w:rPr>
                <w:rFonts w:ascii="Times New Roman" w:eastAsia="Times New Roman" w:hAnsi="Times New Roman"/>
                <w:color w:val="000000"/>
              </w:rPr>
              <w:t>-</w:t>
            </w:r>
            <w:r w:rsidRPr="00912869">
              <w:rPr>
                <w:rFonts w:ascii="Times New Roman" w:eastAsia="Times New Roman" w:hAnsi="Times New Roman"/>
                <w:color w:val="000000"/>
                <w:lang w:val="mk-MK"/>
              </w:rPr>
              <w:t>население</w:t>
            </w:r>
          </w:p>
        </w:tc>
        <w:tc>
          <w:tcPr>
            <w:tcW w:w="380" w:type="dxa"/>
            <w:tcBorders>
              <w:top w:val="nil"/>
              <w:left w:val="nil"/>
              <w:bottom w:val="nil"/>
              <w:right w:val="nil"/>
            </w:tcBorders>
            <w:shd w:val="clear" w:color="auto" w:fill="auto"/>
            <w:noWrap/>
            <w:vAlign w:val="center"/>
            <w:hideMark/>
          </w:tcPr>
          <w:p w14:paraId="50E5E322" w14:textId="77777777" w:rsidR="00FB4ABA" w:rsidRPr="00F202F6" w:rsidRDefault="00FB4ABA" w:rsidP="00FB4ABA">
            <w:pPr>
              <w:spacing w:after="0" w:line="240" w:lineRule="auto"/>
              <w:rPr>
                <w:rFonts w:ascii="Times New Roman" w:eastAsia="Times New Roman" w:hAnsi="Times New Roman"/>
                <w:color w:val="000000"/>
              </w:rPr>
            </w:pPr>
          </w:p>
        </w:tc>
        <w:tc>
          <w:tcPr>
            <w:tcW w:w="1408" w:type="dxa"/>
            <w:tcBorders>
              <w:top w:val="nil"/>
              <w:left w:val="nil"/>
              <w:bottom w:val="nil"/>
              <w:right w:val="nil"/>
            </w:tcBorders>
            <w:shd w:val="clear" w:color="auto" w:fill="auto"/>
            <w:noWrap/>
            <w:vAlign w:val="center"/>
          </w:tcPr>
          <w:p w14:paraId="1E47690B" w14:textId="77777777" w:rsidR="00FB4ABA" w:rsidRPr="00372BD2" w:rsidRDefault="00FB4ABA" w:rsidP="00FB4ABA">
            <w:pPr>
              <w:spacing w:after="0" w:line="240" w:lineRule="auto"/>
              <w:jc w:val="right"/>
              <w:rPr>
                <w:rFonts w:ascii="Times New Roman" w:eastAsia="Times New Roman" w:hAnsi="Times New Roman"/>
              </w:rPr>
            </w:pPr>
            <w:r w:rsidRPr="00372BD2">
              <w:rPr>
                <w:rFonts w:ascii="Times New Roman" w:eastAsia="Times New Roman" w:hAnsi="Times New Roman"/>
              </w:rPr>
              <w:t>7.5%</w:t>
            </w:r>
          </w:p>
        </w:tc>
        <w:tc>
          <w:tcPr>
            <w:tcW w:w="380" w:type="dxa"/>
            <w:tcBorders>
              <w:top w:val="nil"/>
              <w:left w:val="nil"/>
              <w:bottom w:val="nil"/>
              <w:right w:val="nil"/>
            </w:tcBorders>
            <w:shd w:val="clear" w:color="auto" w:fill="auto"/>
            <w:noWrap/>
            <w:vAlign w:val="center"/>
          </w:tcPr>
          <w:p w14:paraId="34958EBB" w14:textId="77777777" w:rsidR="00FB4ABA" w:rsidRPr="00372BD2" w:rsidRDefault="00FB4ABA" w:rsidP="00FB4ABA">
            <w:pPr>
              <w:spacing w:after="0" w:line="240" w:lineRule="auto"/>
              <w:jc w:val="right"/>
              <w:rPr>
                <w:rFonts w:ascii="Times New Roman" w:eastAsia="Times New Roman" w:hAnsi="Times New Roman"/>
              </w:rPr>
            </w:pPr>
          </w:p>
        </w:tc>
        <w:tc>
          <w:tcPr>
            <w:tcW w:w="2128" w:type="dxa"/>
            <w:tcBorders>
              <w:top w:val="nil"/>
              <w:left w:val="nil"/>
              <w:bottom w:val="nil"/>
              <w:right w:val="nil"/>
            </w:tcBorders>
            <w:shd w:val="clear" w:color="auto" w:fill="auto"/>
            <w:noWrap/>
            <w:vAlign w:val="center"/>
          </w:tcPr>
          <w:p w14:paraId="68917D90" w14:textId="77777777" w:rsidR="00FB4ABA" w:rsidRPr="005C54D3" w:rsidRDefault="00FB4ABA" w:rsidP="00FB4ABA">
            <w:pPr>
              <w:spacing w:after="0" w:line="240" w:lineRule="auto"/>
              <w:jc w:val="right"/>
              <w:rPr>
                <w:rFonts w:ascii="Times New Roman" w:eastAsia="Times New Roman" w:hAnsi="Times New Roman"/>
              </w:rPr>
            </w:pPr>
            <w:r w:rsidRPr="005C54D3">
              <w:rPr>
                <w:rFonts w:ascii="Times New Roman" w:eastAsia="Times New Roman" w:hAnsi="Times New Roman"/>
              </w:rPr>
              <w:t>6.8%</w:t>
            </w:r>
          </w:p>
        </w:tc>
        <w:tc>
          <w:tcPr>
            <w:tcW w:w="380" w:type="dxa"/>
            <w:tcBorders>
              <w:top w:val="nil"/>
              <w:left w:val="nil"/>
              <w:bottom w:val="nil"/>
              <w:right w:val="nil"/>
            </w:tcBorders>
            <w:shd w:val="clear" w:color="auto" w:fill="auto"/>
            <w:noWrap/>
            <w:vAlign w:val="center"/>
          </w:tcPr>
          <w:p w14:paraId="308AF127" w14:textId="77777777" w:rsidR="00FB4ABA" w:rsidRPr="00912869" w:rsidRDefault="00FB4ABA" w:rsidP="00FB4ABA">
            <w:pPr>
              <w:spacing w:after="0" w:line="240" w:lineRule="auto"/>
              <w:jc w:val="right"/>
              <w:rPr>
                <w:rFonts w:ascii="Times New Roman" w:eastAsia="Times New Roman" w:hAnsi="Times New Roman"/>
              </w:rPr>
            </w:pPr>
          </w:p>
        </w:tc>
        <w:tc>
          <w:tcPr>
            <w:tcW w:w="1254" w:type="dxa"/>
            <w:tcBorders>
              <w:top w:val="nil"/>
              <w:left w:val="nil"/>
              <w:bottom w:val="nil"/>
              <w:right w:val="nil"/>
            </w:tcBorders>
            <w:shd w:val="clear" w:color="auto" w:fill="auto"/>
            <w:noWrap/>
            <w:vAlign w:val="bottom"/>
          </w:tcPr>
          <w:p w14:paraId="5D5237F6" w14:textId="77777777" w:rsidR="00FB4ABA" w:rsidRPr="00372BD2" w:rsidRDefault="00FB4ABA" w:rsidP="00FB4ABA">
            <w:pPr>
              <w:spacing w:after="0" w:line="240" w:lineRule="auto"/>
              <w:rPr>
                <w:rFonts w:ascii="Times New Roman" w:eastAsia="Times New Roman" w:hAnsi="Times New Roman"/>
              </w:rPr>
            </w:pPr>
          </w:p>
        </w:tc>
      </w:tr>
      <w:tr w:rsidR="00FB4ABA" w:rsidRPr="00CE6838" w14:paraId="529133F7" w14:textId="77777777" w:rsidTr="00FB4ABA">
        <w:trPr>
          <w:trHeight w:val="255"/>
          <w:jc w:val="center"/>
        </w:trPr>
        <w:tc>
          <w:tcPr>
            <w:tcW w:w="3439" w:type="dxa"/>
            <w:tcBorders>
              <w:top w:val="nil"/>
              <w:left w:val="nil"/>
              <w:bottom w:val="nil"/>
              <w:right w:val="nil"/>
            </w:tcBorders>
            <w:shd w:val="clear" w:color="auto" w:fill="auto"/>
            <w:noWrap/>
            <w:vAlign w:val="center"/>
            <w:hideMark/>
          </w:tcPr>
          <w:p w14:paraId="628F9DB8" w14:textId="77777777" w:rsidR="00FB4ABA" w:rsidRPr="00912869" w:rsidRDefault="00FB4ABA" w:rsidP="00FB4ABA">
            <w:pPr>
              <w:spacing w:after="0" w:line="240" w:lineRule="auto"/>
              <w:rPr>
                <w:rFonts w:ascii="Times New Roman" w:eastAsia="Times New Roman" w:hAnsi="Times New Roman"/>
                <w:color w:val="000000"/>
                <w:lang w:val="mk-MK"/>
              </w:rPr>
            </w:pPr>
            <w:r w:rsidRPr="005C54D3">
              <w:rPr>
                <w:rFonts w:ascii="Times New Roman" w:eastAsia="Times New Roman" w:hAnsi="Times New Roman"/>
                <w:color w:val="000000"/>
                <w:lang w:val="mk-MK"/>
              </w:rPr>
              <w:t>Кредитен раст</w:t>
            </w:r>
            <w:r w:rsidRPr="005C54D3">
              <w:rPr>
                <w:rFonts w:ascii="Times New Roman" w:eastAsia="Times New Roman" w:hAnsi="Times New Roman"/>
                <w:color w:val="000000"/>
              </w:rPr>
              <w:t>-</w:t>
            </w:r>
            <w:r w:rsidRPr="005C54D3">
              <w:rPr>
                <w:rFonts w:ascii="Times New Roman" w:eastAsia="Times New Roman" w:hAnsi="Times New Roman"/>
                <w:color w:val="000000"/>
                <w:lang w:val="mk-MK"/>
              </w:rPr>
              <w:t>правни лица</w:t>
            </w:r>
          </w:p>
        </w:tc>
        <w:tc>
          <w:tcPr>
            <w:tcW w:w="380" w:type="dxa"/>
            <w:tcBorders>
              <w:top w:val="nil"/>
              <w:left w:val="nil"/>
              <w:bottom w:val="nil"/>
              <w:right w:val="nil"/>
            </w:tcBorders>
            <w:shd w:val="clear" w:color="auto" w:fill="auto"/>
            <w:noWrap/>
            <w:vAlign w:val="center"/>
            <w:hideMark/>
          </w:tcPr>
          <w:p w14:paraId="3AA29394" w14:textId="77777777" w:rsidR="00FB4ABA" w:rsidRPr="00F202F6" w:rsidRDefault="00FB4ABA" w:rsidP="00FB4ABA">
            <w:pPr>
              <w:spacing w:after="0" w:line="240" w:lineRule="auto"/>
              <w:rPr>
                <w:rFonts w:ascii="Times New Roman" w:eastAsia="Times New Roman" w:hAnsi="Times New Roman"/>
                <w:color w:val="000000"/>
              </w:rPr>
            </w:pPr>
          </w:p>
        </w:tc>
        <w:tc>
          <w:tcPr>
            <w:tcW w:w="1408" w:type="dxa"/>
            <w:tcBorders>
              <w:top w:val="nil"/>
              <w:left w:val="nil"/>
              <w:bottom w:val="nil"/>
              <w:right w:val="nil"/>
            </w:tcBorders>
            <w:shd w:val="clear" w:color="auto" w:fill="auto"/>
            <w:noWrap/>
            <w:vAlign w:val="center"/>
          </w:tcPr>
          <w:p w14:paraId="0A0478A6" w14:textId="77777777" w:rsidR="00FB4ABA" w:rsidRPr="00372BD2" w:rsidRDefault="00FB4ABA" w:rsidP="00FB4ABA">
            <w:pPr>
              <w:spacing w:after="0" w:line="240" w:lineRule="auto"/>
              <w:jc w:val="right"/>
              <w:rPr>
                <w:rFonts w:ascii="Times New Roman" w:eastAsia="Times New Roman" w:hAnsi="Times New Roman"/>
              </w:rPr>
            </w:pPr>
            <w:r w:rsidRPr="00372BD2">
              <w:rPr>
                <w:rFonts w:ascii="Times New Roman" w:eastAsia="Times New Roman" w:hAnsi="Times New Roman"/>
              </w:rPr>
              <w:t>11.4%</w:t>
            </w:r>
          </w:p>
        </w:tc>
        <w:tc>
          <w:tcPr>
            <w:tcW w:w="380" w:type="dxa"/>
            <w:tcBorders>
              <w:top w:val="nil"/>
              <w:left w:val="nil"/>
              <w:bottom w:val="nil"/>
              <w:right w:val="nil"/>
            </w:tcBorders>
            <w:shd w:val="clear" w:color="auto" w:fill="auto"/>
            <w:noWrap/>
            <w:vAlign w:val="center"/>
          </w:tcPr>
          <w:p w14:paraId="689530A6" w14:textId="77777777" w:rsidR="00FB4ABA" w:rsidRPr="00372BD2" w:rsidRDefault="00FB4ABA" w:rsidP="00FB4ABA">
            <w:pPr>
              <w:spacing w:after="0" w:line="240" w:lineRule="auto"/>
              <w:jc w:val="right"/>
              <w:rPr>
                <w:rFonts w:ascii="Times New Roman" w:eastAsia="Times New Roman" w:hAnsi="Times New Roman"/>
              </w:rPr>
            </w:pPr>
          </w:p>
        </w:tc>
        <w:tc>
          <w:tcPr>
            <w:tcW w:w="2128" w:type="dxa"/>
            <w:tcBorders>
              <w:top w:val="nil"/>
              <w:left w:val="nil"/>
              <w:bottom w:val="nil"/>
              <w:right w:val="nil"/>
            </w:tcBorders>
            <w:shd w:val="clear" w:color="auto" w:fill="auto"/>
            <w:noWrap/>
            <w:vAlign w:val="center"/>
          </w:tcPr>
          <w:p w14:paraId="3E7840EC" w14:textId="77777777" w:rsidR="00FB4ABA" w:rsidRPr="005C54D3" w:rsidRDefault="00FB4ABA" w:rsidP="00FB4ABA">
            <w:pPr>
              <w:spacing w:after="0" w:line="240" w:lineRule="auto"/>
              <w:jc w:val="right"/>
              <w:rPr>
                <w:rFonts w:ascii="Times New Roman" w:eastAsia="Times New Roman" w:hAnsi="Times New Roman"/>
              </w:rPr>
            </w:pPr>
            <w:r w:rsidRPr="005C54D3">
              <w:rPr>
                <w:rFonts w:ascii="Times New Roman" w:eastAsia="Times New Roman" w:hAnsi="Times New Roman"/>
              </w:rPr>
              <w:t>17.8%</w:t>
            </w:r>
          </w:p>
        </w:tc>
        <w:tc>
          <w:tcPr>
            <w:tcW w:w="380" w:type="dxa"/>
            <w:tcBorders>
              <w:top w:val="nil"/>
              <w:left w:val="nil"/>
              <w:bottom w:val="nil"/>
              <w:right w:val="nil"/>
            </w:tcBorders>
            <w:shd w:val="clear" w:color="auto" w:fill="auto"/>
            <w:noWrap/>
            <w:vAlign w:val="center"/>
          </w:tcPr>
          <w:p w14:paraId="265F77CD" w14:textId="77777777" w:rsidR="00FB4ABA" w:rsidRPr="00912869" w:rsidRDefault="00FB4ABA" w:rsidP="00FB4ABA">
            <w:pPr>
              <w:spacing w:after="0" w:line="240" w:lineRule="auto"/>
              <w:jc w:val="right"/>
              <w:rPr>
                <w:rFonts w:ascii="Times New Roman" w:eastAsia="Times New Roman" w:hAnsi="Times New Roman"/>
              </w:rPr>
            </w:pPr>
          </w:p>
        </w:tc>
        <w:tc>
          <w:tcPr>
            <w:tcW w:w="1254" w:type="dxa"/>
            <w:tcBorders>
              <w:top w:val="nil"/>
              <w:left w:val="nil"/>
              <w:bottom w:val="nil"/>
              <w:right w:val="nil"/>
            </w:tcBorders>
            <w:shd w:val="clear" w:color="auto" w:fill="auto"/>
            <w:noWrap/>
            <w:vAlign w:val="bottom"/>
          </w:tcPr>
          <w:p w14:paraId="3783B3B0" w14:textId="77777777" w:rsidR="00FB4ABA" w:rsidRPr="00372BD2" w:rsidRDefault="00FB4ABA" w:rsidP="00FB4ABA">
            <w:pPr>
              <w:spacing w:after="0" w:line="240" w:lineRule="auto"/>
              <w:rPr>
                <w:rFonts w:ascii="Times New Roman" w:eastAsia="Times New Roman" w:hAnsi="Times New Roman"/>
              </w:rPr>
            </w:pPr>
          </w:p>
        </w:tc>
      </w:tr>
      <w:tr w:rsidR="00FB4ABA" w:rsidRPr="00CE6838" w14:paraId="4C1B11B8" w14:textId="77777777" w:rsidTr="00FB4ABA">
        <w:trPr>
          <w:trHeight w:val="255"/>
          <w:jc w:val="center"/>
        </w:trPr>
        <w:tc>
          <w:tcPr>
            <w:tcW w:w="3439" w:type="dxa"/>
            <w:tcBorders>
              <w:top w:val="nil"/>
              <w:left w:val="nil"/>
              <w:bottom w:val="nil"/>
              <w:right w:val="nil"/>
            </w:tcBorders>
            <w:shd w:val="clear" w:color="auto" w:fill="auto"/>
            <w:noWrap/>
            <w:vAlign w:val="center"/>
            <w:hideMark/>
          </w:tcPr>
          <w:p w14:paraId="27835A15" w14:textId="77777777" w:rsidR="00FB4ABA" w:rsidRPr="005C54D3" w:rsidRDefault="00FB4ABA" w:rsidP="00FB4ABA">
            <w:pPr>
              <w:spacing w:after="0" w:line="240" w:lineRule="auto"/>
              <w:rPr>
                <w:rFonts w:ascii="Times New Roman" w:eastAsia="Times New Roman" w:hAnsi="Times New Roman"/>
                <w:color w:val="000000"/>
                <w:lang w:val="mk-MK"/>
              </w:rPr>
            </w:pPr>
            <w:r w:rsidRPr="005C54D3">
              <w:rPr>
                <w:rFonts w:ascii="Times New Roman" w:eastAsia="Times New Roman" w:hAnsi="Times New Roman"/>
                <w:color w:val="000000"/>
                <w:lang w:val="mk-MK"/>
              </w:rPr>
              <w:t>Депозитен раст</w:t>
            </w:r>
          </w:p>
        </w:tc>
        <w:tc>
          <w:tcPr>
            <w:tcW w:w="380" w:type="dxa"/>
            <w:tcBorders>
              <w:top w:val="nil"/>
              <w:left w:val="nil"/>
              <w:bottom w:val="nil"/>
              <w:right w:val="nil"/>
            </w:tcBorders>
            <w:shd w:val="clear" w:color="auto" w:fill="auto"/>
            <w:noWrap/>
            <w:vAlign w:val="center"/>
            <w:hideMark/>
          </w:tcPr>
          <w:p w14:paraId="752398D0" w14:textId="77777777" w:rsidR="00FB4ABA" w:rsidRPr="00912869" w:rsidRDefault="00FB4ABA" w:rsidP="00FB4ABA">
            <w:pPr>
              <w:spacing w:after="0" w:line="240" w:lineRule="auto"/>
              <w:rPr>
                <w:rFonts w:ascii="Times New Roman" w:eastAsia="Times New Roman" w:hAnsi="Times New Roman"/>
                <w:color w:val="000000"/>
              </w:rPr>
            </w:pPr>
          </w:p>
        </w:tc>
        <w:tc>
          <w:tcPr>
            <w:tcW w:w="1408" w:type="dxa"/>
            <w:tcBorders>
              <w:top w:val="nil"/>
              <w:left w:val="nil"/>
              <w:bottom w:val="nil"/>
              <w:right w:val="nil"/>
            </w:tcBorders>
            <w:shd w:val="clear" w:color="auto" w:fill="auto"/>
            <w:noWrap/>
            <w:vAlign w:val="center"/>
          </w:tcPr>
          <w:p w14:paraId="71AA64D0" w14:textId="77777777" w:rsidR="00FB4ABA" w:rsidRPr="00372BD2" w:rsidRDefault="00FB4ABA" w:rsidP="00FB4ABA">
            <w:pPr>
              <w:spacing w:after="0" w:line="240" w:lineRule="auto"/>
              <w:jc w:val="right"/>
              <w:rPr>
                <w:rFonts w:ascii="Times New Roman" w:eastAsia="Times New Roman" w:hAnsi="Times New Roman"/>
              </w:rPr>
            </w:pPr>
            <w:r w:rsidRPr="00372BD2">
              <w:rPr>
                <w:rFonts w:ascii="Times New Roman" w:eastAsia="Times New Roman" w:hAnsi="Times New Roman"/>
              </w:rPr>
              <w:t>5.1%</w:t>
            </w:r>
          </w:p>
        </w:tc>
        <w:tc>
          <w:tcPr>
            <w:tcW w:w="380" w:type="dxa"/>
            <w:tcBorders>
              <w:top w:val="nil"/>
              <w:left w:val="nil"/>
              <w:bottom w:val="nil"/>
              <w:right w:val="nil"/>
            </w:tcBorders>
            <w:shd w:val="clear" w:color="auto" w:fill="auto"/>
            <w:noWrap/>
            <w:vAlign w:val="center"/>
          </w:tcPr>
          <w:p w14:paraId="30EA6624" w14:textId="77777777" w:rsidR="00FB4ABA" w:rsidRPr="00372BD2" w:rsidRDefault="00FB4ABA" w:rsidP="00FB4ABA">
            <w:pPr>
              <w:spacing w:after="0" w:line="240" w:lineRule="auto"/>
              <w:jc w:val="right"/>
              <w:rPr>
                <w:rFonts w:ascii="Times New Roman" w:eastAsia="Times New Roman" w:hAnsi="Times New Roman"/>
              </w:rPr>
            </w:pPr>
          </w:p>
        </w:tc>
        <w:tc>
          <w:tcPr>
            <w:tcW w:w="2128" w:type="dxa"/>
            <w:tcBorders>
              <w:top w:val="nil"/>
              <w:left w:val="nil"/>
              <w:bottom w:val="nil"/>
              <w:right w:val="nil"/>
            </w:tcBorders>
            <w:shd w:val="clear" w:color="auto" w:fill="auto"/>
            <w:noWrap/>
            <w:vAlign w:val="center"/>
          </w:tcPr>
          <w:p w14:paraId="2B5D402E" w14:textId="77777777" w:rsidR="00FB4ABA" w:rsidRPr="005C54D3" w:rsidRDefault="00FB4ABA" w:rsidP="00FB4ABA">
            <w:pPr>
              <w:spacing w:after="0" w:line="240" w:lineRule="auto"/>
              <w:jc w:val="right"/>
              <w:rPr>
                <w:rFonts w:ascii="Times New Roman" w:eastAsia="Times New Roman" w:hAnsi="Times New Roman"/>
              </w:rPr>
            </w:pPr>
            <w:r w:rsidRPr="005C54D3">
              <w:rPr>
                <w:rFonts w:ascii="Times New Roman" w:eastAsia="Times New Roman" w:hAnsi="Times New Roman"/>
              </w:rPr>
              <w:t>5.5%</w:t>
            </w:r>
          </w:p>
        </w:tc>
        <w:tc>
          <w:tcPr>
            <w:tcW w:w="380" w:type="dxa"/>
            <w:tcBorders>
              <w:top w:val="nil"/>
              <w:left w:val="nil"/>
              <w:bottom w:val="nil"/>
              <w:right w:val="nil"/>
            </w:tcBorders>
            <w:shd w:val="clear" w:color="auto" w:fill="auto"/>
            <w:noWrap/>
            <w:vAlign w:val="center"/>
          </w:tcPr>
          <w:p w14:paraId="3373FB08" w14:textId="77777777" w:rsidR="00FB4ABA" w:rsidRPr="00912869" w:rsidRDefault="00FB4ABA" w:rsidP="00FB4ABA">
            <w:pPr>
              <w:spacing w:after="0" w:line="240" w:lineRule="auto"/>
              <w:jc w:val="right"/>
              <w:rPr>
                <w:rFonts w:ascii="Times New Roman" w:eastAsia="Times New Roman" w:hAnsi="Times New Roman"/>
              </w:rPr>
            </w:pPr>
          </w:p>
        </w:tc>
        <w:tc>
          <w:tcPr>
            <w:tcW w:w="1254" w:type="dxa"/>
            <w:tcBorders>
              <w:top w:val="nil"/>
              <w:left w:val="nil"/>
              <w:bottom w:val="nil"/>
              <w:right w:val="nil"/>
            </w:tcBorders>
            <w:shd w:val="clear" w:color="auto" w:fill="auto"/>
            <w:noWrap/>
            <w:vAlign w:val="bottom"/>
          </w:tcPr>
          <w:p w14:paraId="03721EFA" w14:textId="77777777" w:rsidR="00FB4ABA" w:rsidRPr="00372BD2" w:rsidRDefault="00FB4ABA" w:rsidP="00FB4ABA">
            <w:pPr>
              <w:spacing w:after="0" w:line="240" w:lineRule="auto"/>
              <w:rPr>
                <w:rFonts w:ascii="Times New Roman" w:eastAsia="Times New Roman" w:hAnsi="Times New Roman"/>
              </w:rPr>
            </w:pPr>
          </w:p>
        </w:tc>
      </w:tr>
      <w:tr w:rsidR="00FB4ABA" w:rsidRPr="00CE6838" w14:paraId="3C6A7C24" w14:textId="77777777" w:rsidTr="00FB4ABA">
        <w:trPr>
          <w:trHeight w:val="216"/>
          <w:jc w:val="center"/>
        </w:trPr>
        <w:tc>
          <w:tcPr>
            <w:tcW w:w="3439" w:type="dxa"/>
            <w:tcBorders>
              <w:top w:val="nil"/>
              <w:left w:val="nil"/>
              <w:bottom w:val="nil"/>
              <w:right w:val="nil"/>
            </w:tcBorders>
            <w:shd w:val="clear" w:color="auto" w:fill="auto"/>
            <w:noWrap/>
            <w:vAlign w:val="bottom"/>
            <w:hideMark/>
          </w:tcPr>
          <w:p w14:paraId="4583A2D3" w14:textId="77777777" w:rsidR="00FB4ABA" w:rsidRPr="005C54D3" w:rsidRDefault="00FB4ABA" w:rsidP="00FB4ABA">
            <w:pPr>
              <w:spacing w:after="0" w:line="240" w:lineRule="auto"/>
              <w:rPr>
                <w:rFonts w:ascii="Times New Roman" w:eastAsia="Times New Roman" w:hAnsi="Times New Roman"/>
              </w:rPr>
            </w:pPr>
          </w:p>
        </w:tc>
        <w:tc>
          <w:tcPr>
            <w:tcW w:w="380" w:type="dxa"/>
            <w:tcBorders>
              <w:top w:val="nil"/>
              <w:left w:val="nil"/>
              <w:bottom w:val="nil"/>
              <w:right w:val="nil"/>
            </w:tcBorders>
            <w:shd w:val="clear" w:color="auto" w:fill="auto"/>
            <w:noWrap/>
            <w:vAlign w:val="bottom"/>
            <w:hideMark/>
          </w:tcPr>
          <w:p w14:paraId="660A5077" w14:textId="77777777" w:rsidR="00FB4ABA" w:rsidRPr="00912869" w:rsidRDefault="00FB4ABA" w:rsidP="00FB4ABA">
            <w:pPr>
              <w:spacing w:after="0" w:line="240" w:lineRule="auto"/>
              <w:rPr>
                <w:rFonts w:ascii="Times New Roman" w:eastAsia="Times New Roman" w:hAnsi="Times New Roman"/>
              </w:rPr>
            </w:pPr>
          </w:p>
        </w:tc>
        <w:tc>
          <w:tcPr>
            <w:tcW w:w="1408" w:type="dxa"/>
            <w:tcBorders>
              <w:top w:val="nil"/>
              <w:left w:val="nil"/>
              <w:bottom w:val="nil"/>
              <w:right w:val="nil"/>
            </w:tcBorders>
            <w:shd w:val="clear" w:color="auto" w:fill="auto"/>
            <w:noWrap/>
            <w:vAlign w:val="bottom"/>
          </w:tcPr>
          <w:p w14:paraId="34BDE0F0" w14:textId="77777777" w:rsidR="00FB4ABA" w:rsidRPr="00372BD2" w:rsidRDefault="00FB4ABA" w:rsidP="00FB4ABA">
            <w:pPr>
              <w:spacing w:after="0" w:line="240" w:lineRule="auto"/>
              <w:rPr>
                <w:rFonts w:ascii="Times New Roman" w:eastAsia="Times New Roman" w:hAnsi="Times New Roman"/>
              </w:rPr>
            </w:pPr>
          </w:p>
        </w:tc>
        <w:tc>
          <w:tcPr>
            <w:tcW w:w="380" w:type="dxa"/>
            <w:tcBorders>
              <w:top w:val="nil"/>
              <w:left w:val="nil"/>
              <w:bottom w:val="nil"/>
              <w:right w:val="nil"/>
            </w:tcBorders>
            <w:shd w:val="clear" w:color="auto" w:fill="auto"/>
            <w:noWrap/>
            <w:vAlign w:val="bottom"/>
          </w:tcPr>
          <w:p w14:paraId="736B2CC1" w14:textId="77777777" w:rsidR="00FB4ABA" w:rsidRPr="00372BD2" w:rsidRDefault="00FB4ABA" w:rsidP="00FB4ABA">
            <w:pPr>
              <w:spacing w:after="0" w:line="240" w:lineRule="auto"/>
              <w:rPr>
                <w:rFonts w:ascii="Times New Roman" w:eastAsia="Times New Roman" w:hAnsi="Times New Roman"/>
              </w:rPr>
            </w:pPr>
          </w:p>
        </w:tc>
        <w:tc>
          <w:tcPr>
            <w:tcW w:w="2128" w:type="dxa"/>
            <w:tcBorders>
              <w:top w:val="nil"/>
              <w:left w:val="nil"/>
              <w:bottom w:val="nil"/>
              <w:right w:val="nil"/>
            </w:tcBorders>
            <w:shd w:val="clear" w:color="auto" w:fill="auto"/>
            <w:noWrap/>
            <w:vAlign w:val="bottom"/>
          </w:tcPr>
          <w:p w14:paraId="71A0D295" w14:textId="77777777" w:rsidR="00FB4ABA" w:rsidRPr="00372BD2" w:rsidRDefault="00FB4ABA" w:rsidP="00FB4ABA">
            <w:pPr>
              <w:spacing w:after="0" w:line="240" w:lineRule="auto"/>
              <w:rPr>
                <w:rFonts w:ascii="Times New Roman" w:eastAsia="Times New Roman" w:hAnsi="Times New Roman"/>
              </w:rPr>
            </w:pPr>
          </w:p>
        </w:tc>
        <w:tc>
          <w:tcPr>
            <w:tcW w:w="380" w:type="dxa"/>
            <w:tcBorders>
              <w:top w:val="nil"/>
              <w:left w:val="nil"/>
              <w:bottom w:val="nil"/>
              <w:right w:val="nil"/>
            </w:tcBorders>
            <w:shd w:val="clear" w:color="auto" w:fill="auto"/>
            <w:noWrap/>
            <w:vAlign w:val="bottom"/>
          </w:tcPr>
          <w:p w14:paraId="41BBA2AD" w14:textId="77777777" w:rsidR="00FB4ABA" w:rsidRPr="00372BD2" w:rsidRDefault="00FB4ABA" w:rsidP="00FB4ABA">
            <w:pPr>
              <w:spacing w:after="0" w:line="240" w:lineRule="auto"/>
              <w:rPr>
                <w:rFonts w:ascii="Times New Roman" w:eastAsia="Times New Roman" w:hAnsi="Times New Roman"/>
              </w:rPr>
            </w:pPr>
          </w:p>
        </w:tc>
        <w:tc>
          <w:tcPr>
            <w:tcW w:w="1254" w:type="dxa"/>
            <w:tcBorders>
              <w:top w:val="nil"/>
              <w:left w:val="nil"/>
              <w:bottom w:val="nil"/>
              <w:right w:val="nil"/>
            </w:tcBorders>
            <w:shd w:val="clear" w:color="auto" w:fill="auto"/>
            <w:noWrap/>
            <w:vAlign w:val="bottom"/>
          </w:tcPr>
          <w:p w14:paraId="565CAD20" w14:textId="77777777" w:rsidR="00FB4ABA" w:rsidRPr="00372BD2" w:rsidRDefault="00FB4ABA" w:rsidP="00FB4ABA">
            <w:pPr>
              <w:spacing w:after="0" w:line="240" w:lineRule="auto"/>
              <w:rPr>
                <w:rFonts w:ascii="Times New Roman" w:eastAsia="Times New Roman" w:hAnsi="Times New Roman"/>
              </w:rPr>
            </w:pPr>
          </w:p>
        </w:tc>
      </w:tr>
      <w:tr w:rsidR="00FB4ABA" w:rsidRPr="00CE6838" w14:paraId="34D7E188" w14:textId="77777777" w:rsidTr="00FB4ABA">
        <w:trPr>
          <w:trHeight w:val="255"/>
          <w:jc w:val="center"/>
        </w:trPr>
        <w:tc>
          <w:tcPr>
            <w:tcW w:w="3439" w:type="dxa"/>
            <w:tcBorders>
              <w:top w:val="nil"/>
              <w:left w:val="nil"/>
              <w:bottom w:val="nil"/>
              <w:right w:val="nil"/>
            </w:tcBorders>
            <w:shd w:val="clear" w:color="auto" w:fill="auto"/>
            <w:noWrap/>
            <w:vAlign w:val="center"/>
            <w:hideMark/>
          </w:tcPr>
          <w:p w14:paraId="5C2950E9" w14:textId="77777777" w:rsidR="00FB4ABA" w:rsidRPr="00912869" w:rsidRDefault="00FB4ABA" w:rsidP="00FB4ABA">
            <w:pPr>
              <w:spacing w:after="0" w:line="240" w:lineRule="auto"/>
              <w:rPr>
                <w:rFonts w:ascii="Times New Roman" w:eastAsia="Times New Roman" w:hAnsi="Times New Roman"/>
                <w:color w:val="000000"/>
                <w:lang w:val="mk-MK"/>
              </w:rPr>
            </w:pPr>
            <w:r w:rsidRPr="005C54D3">
              <w:rPr>
                <w:rFonts w:ascii="Times New Roman" w:eastAsia="Times New Roman" w:hAnsi="Times New Roman"/>
                <w:color w:val="000000"/>
                <w:lang w:val="mk-MK"/>
              </w:rPr>
              <w:t>Поврат на средства (</w:t>
            </w:r>
            <w:r w:rsidRPr="005C54D3">
              <w:rPr>
                <w:rFonts w:ascii="Times New Roman" w:eastAsia="Times New Roman" w:hAnsi="Times New Roman"/>
                <w:color w:val="000000"/>
              </w:rPr>
              <w:t>ROA</w:t>
            </w:r>
            <w:r w:rsidRPr="005C54D3">
              <w:rPr>
                <w:rFonts w:ascii="Times New Roman" w:eastAsia="Times New Roman" w:hAnsi="Times New Roman"/>
                <w:color w:val="000000"/>
                <w:lang w:val="mk-MK"/>
              </w:rPr>
              <w:t>)</w:t>
            </w:r>
          </w:p>
        </w:tc>
        <w:tc>
          <w:tcPr>
            <w:tcW w:w="380" w:type="dxa"/>
            <w:tcBorders>
              <w:top w:val="nil"/>
              <w:left w:val="nil"/>
              <w:bottom w:val="nil"/>
              <w:right w:val="nil"/>
            </w:tcBorders>
            <w:shd w:val="clear" w:color="auto" w:fill="auto"/>
            <w:noWrap/>
            <w:vAlign w:val="bottom"/>
            <w:hideMark/>
          </w:tcPr>
          <w:p w14:paraId="3811E0B3" w14:textId="77777777" w:rsidR="00FB4ABA" w:rsidRPr="00F202F6" w:rsidRDefault="00FB4ABA" w:rsidP="00FB4ABA">
            <w:pPr>
              <w:spacing w:after="0" w:line="240" w:lineRule="auto"/>
              <w:rPr>
                <w:rFonts w:ascii="Times New Roman" w:eastAsia="Times New Roman" w:hAnsi="Times New Roman"/>
                <w:color w:val="000000"/>
              </w:rPr>
            </w:pPr>
          </w:p>
        </w:tc>
        <w:tc>
          <w:tcPr>
            <w:tcW w:w="1408" w:type="dxa"/>
            <w:tcBorders>
              <w:top w:val="nil"/>
              <w:left w:val="nil"/>
              <w:bottom w:val="nil"/>
              <w:right w:val="nil"/>
            </w:tcBorders>
            <w:shd w:val="clear" w:color="auto" w:fill="auto"/>
            <w:noWrap/>
            <w:vAlign w:val="center"/>
          </w:tcPr>
          <w:p w14:paraId="20E5F5A4" w14:textId="77777777" w:rsidR="00FB4ABA" w:rsidRPr="005C54D3" w:rsidRDefault="00FB4ABA" w:rsidP="00FB4ABA">
            <w:pPr>
              <w:spacing w:after="0" w:line="240" w:lineRule="auto"/>
              <w:jc w:val="right"/>
              <w:rPr>
                <w:rFonts w:ascii="Times New Roman" w:eastAsia="Times New Roman" w:hAnsi="Times New Roman"/>
              </w:rPr>
            </w:pPr>
            <w:r w:rsidRPr="005C54D3">
              <w:rPr>
                <w:rFonts w:ascii="Times New Roman" w:eastAsia="Times New Roman" w:hAnsi="Times New Roman"/>
              </w:rPr>
              <w:t>1.5%</w:t>
            </w:r>
          </w:p>
        </w:tc>
        <w:tc>
          <w:tcPr>
            <w:tcW w:w="380" w:type="dxa"/>
            <w:tcBorders>
              <w:top w:val="nil"/>
              <w:left w:val="nil"/>
              <w:bottom w:val="nil"/>
              <w:right w:val="nil"/>
            </w:tcBorders>
            <w:shd w:val="clear" w:color="auto" w:fill="auto"/>
            <w:noWrap/>
            <w:vAlign w:val="bottom"/>
          </w:tcPr>
          <w:p w14:paraId="310D5A6A" w14:textId="77777777" w:rsidR="00FB4ABA" w:rsidRPr="005C54D3" w:rsidRDefault="00FB4ABA" w:rsidP="00FB4ABA">
            <w:pPr>
              <w:spacing w:after="0" w:line="240" w:lineRule="auto"/>
              <w:jc w:val="right"/>
              <w:rPr>
                <w:rFonts w:ascii="Times New Roman" w:eastAsia="Times New Roman" w:hAnsi="Times New Roman"/>
              </w:rPr>
            </w:pPr>
          </w:p>
        </w:tc>
        <w:tc>
          <w:tcPr>
            <w:tcW w:w="2128" w:type="dxa"/>
            <w:tcBorders>
              <w:top w:val="nil"/>
              <w:left w:val="nil"/>
              <w:bottom w:val="nil"/>
              <w:right w:val="nil"/>
            </w:tcBorders>
            <w:shd w:val="clear" w:color="auto" w:fill="auto"/>
            <w:noWrap/>
            <w:vAlign w:val="center"/>
          </w:tcPr>
          <w:p w14:paraId="68525312" w14:textId="77777777" w:rsidR="00FB4ABA" w:rsidRPr="005C54D3" w:rsidRDefault="00FB4ABA" w:rsidP="00FB4ABA">
            <w:pPr>
              <w:spacing w:after="0" w:line="240" w:lineRule="auto"/>
              <w:jc w:val="right"/>
              <w:rPr>
                <w:rFonts w:ascii="Times New Roman" w:eastAsia="Times New Roman" w:hAnsi="Times New Roman"/>
              </w:rPr>
            </w:pPr>
            <w:r w:rsidRPr="005C54D3">
              <w:rPr>
                <w:rFonts w:ascii="Times New Roman" w:eastAsia="Times New Roman" w:hAnsi="Times New Roman"/>
              </w:rPr>
              <w:t>2.0%</w:t>
            </w:r>
          </w:p>
        </w:tc>
        <w:tc>
          <w:tcPr>
            <w:tcW w:w="380" w:type="dxa"/>
            <w:tcBorders>
              <w:top w:val="nil"/>
              <w:left w:val="nil"/>
              <w:bottom w:val="nil"/>
              <w:right w:val="nil"/>
            </w:tcBorders>
            <w:shd w:val="clear" w:color="auto" w:fill="auto"/>
            <w:noWrap/>
            <w:vAlign w:val="bottom"/>
          </w:tcPr>
          <w:p w14:paraId="3949CD14" w14:textId="77777777" w:rsidR="00FB4ABA" w:rsidRPr="005C54D3" w:rsidRDefault="00FB4ABA" w:rsidP="00FB4ABA">
            <w:pPr>
              <w:spacing w:after="0" w:line="240" w:lineRule="auto"/>
              <w:jc w:val="right"/>
              <w:rPr>
                <w:rFonts w:ascii="Times New Roman" w:eastAsia="Times New Roman" w:hAnsi="Times New Roman"/>
              </w:rPr>
            </w:pPr>
          </w:p>
        </w:tc>
        <w:tc>
          <w:tcPr>
            <w:tcW w:w="1254" w:type="dxa"/>
            <w:tcBorders>
              <w:top w:val="nil"/>
              <w:left w:val="nil"/>
              <w:bottom w:val="nil"/>
              <w:right w:val="nil"/>
            </w:tcBorders>
            <w:shd w:val="clear" w:color="auto" w:fill="auto"/>
            <w:noWrap/>
            <w:vAlign w:val="bottom"/>
          </w:tcPr>
          <w:p w14:paraId="5F4D558D" w14:textId="77777777" w:rsidR="00FB4ABA" w:rsidRPr="00372BD2" w:rsidRDefault="00FB4ABA" w:rsidP="00FB4ABA">
            <w:pPr>
              <w:spacing w:after="0" w:line="240" w:lineRule="auto"/>
              <w:rPr>
                <w:rFonts w:ascii="Times New Roman" w:eastAsia="Times New Roman" w:hAnsi="Times New Roman"/>
              </w:rPr>
            </w:pPr>
          </w:p>
        </w:tc>
      </w:tr>
      <w:tr w:rsidR="00FB4ABA" w:rsidRPr="00CE6838" w14:paraId="2F8731BB" w14:textId="77777777" w:rsidTr="00FB4ABA">
        <w:trPr>
          <w:trHeight w:val="255"/>
          <w:jc w:val="center"/>
        </w:trPr>
        <w:tc>
          <w:tcPr>
            <w:tcW w:w="3439" w:type="dxa"/>
            <w:tcBorders>
              <w:top w:val="nil"/>
              <w:left w:val="nil"/>
              <w:bottom w:val="nil"/>
              <w:right w:val="nil"/>
            </w:tcBorders>
            <w:shd w:val="clear" w:color="auto" w:fill="auto"/>
            <w:noWrap/>
            <w:vAlign w:val="center"/>
            <w:hideMark/>
          </w:tcPr>
          <w:p w14:paraId="58F3FA0B" w14:textId="77777777" w:rsidR="00FB4ABA" w:rsidRPr="00912869" w:rsidRDefault="00FB4ABA" w:rsidP="00FB4ABA">
            <w:pPr>
              <w:spacing w:after="0" w:line="240" w:lineRule="auto"/>
              <w:rPr>
                <w:rFonts w:ascii="Times New Roman" w:eastAsia="Times New Roman" w:hAnsi="Times New Roman"/>
                <w:color w:val="000000"/>
                <w:lang w:val="mk-MK"/>
              </w:rPr>
            </w:pPr>
            <w:r w:rsidRPr="005C54D3">
              <w:rPr>
                <w:rFonts w:ascii="Times New Roman" w:eastAsia="Times New Roman" w:hAnsi="Times New Roman"/>
                <w:color w:val="000000"/>
                <w:lang w:val="mk-MK"/>
              </w:rPr>
              <w:t>Поврат на капитал (</w:t>
            </w:r>
            <w:r w:rsidRPr="005C54D3">
              <w:rPr>
                <w:rFonts w:ascii="Times New Roman" w:eastAsia="Times New Roman" w:hAnsi="Times New Roman"/>
                <w:color w:val="000000"/>
              </w:rPr>
              <w:t>ROE</w:t>
            </w:r>
            <w:r w:rsidRPr="005C54D3">
              <w:rPr>
                <w:rFonts w:ascii="Times New Roman" w:eastAsia="Times New Roman" w:hAnsi="Times New Roman"/>
                <w:color w:val="000000"/>
                <w:lang w:val="mk-MK"/>
              </w:rPr>
              <w:t>)</w:t>
            </w:r>
          </w:p>
        </w:tc>
        <w:tc>
          <w:tcPr>
            <w:tcW w:w="380" w:type="dxa"/>
            <w:tcBorders>
              <w:top w:val="nil"/>
              <w:left w:val="nil"/>
              <w:bottom w:val="nil"/>
              <w:right w:val="nil"/>
            </w:tcBorders>
            <w:shd w:val="clear" w:color="auto" w:fill="auto"/>
            <w:noWrap/>
            <w:vAlign w:val="bottom"/>
            <w:hideMark/>
          </w:tcPr>
          <w:p w14:paraId="22CC5775" w14:textId="77777777" w:rsidR="00FB4ABA" w:rsidRPr="00F202F6" w:rsidRDefault="00FB4ABA" w:rsidP="00FB4ABA">
            <w:pPr>
              <w:spacing w:after="0" w:line="240" w:lineRule="auto"/>
              <w:rPr>
                <w:rFonts w:ascii="Times New Roman" w:eastAsia="Times New Roman" w:hAnsi="Times New Roman"/>
                <w:color w:val="000000"/>
              </w:rPr>
            </w:pPr>
          </w:p>
        </w:tc>
        <w:tc>
          <w:tcPr>
            <w:tcW w:w="1408" w:type="dxa"/>
            <w:tcBorders>
              <w:top w:val="nil"/>
              <w:left w:val="nil"/>
              <w:bottom w:val="nil"/>
              <w:right w:val="nil"/>
            </w:tcBorders>
            <w:shd w:val="clear" w:color="auto" w:fill="auto"/>
            <w:noWrap/>
            <w:vAlign w:val="center"/>
          </w:tcPr>
          <w:p w14:paraId="1443E6B8" w14:textId="77777777" w:rsidR="00FB4ABA" w:rsidRPr="005C54D3" w:rsidRDefault="00FB4ABA" w:rsidP="00FB4ABA">
            <w:pPr>
              <w:spacing w:after="0" w:line="240" w:lineRule="auto"/>
              <w:jc w:val="right"/>
              <w:rPr>
                <w:rFonts w:ascii="Times New Roman" w:eastAsia="Times New Roman" w:hAnsi="Times New Roman"/>
              </w:rPr>
            </w:pPr>
            <w:r w:rsidRPr="005C54D3">
              <w:rPr>
                <w:rFonts w:ascii="Times New Roman" w:eastAsia="Times New Roman" w:hAnsi="Times New Roman"/>
              </w:rPr>
              <w:t>12.2%</w:t>
            </w:r>
          </w:p>
        </w:tc>
        <w:tc>
          <w:tcPr>
            <w:tcW w:w="380" w:type="dxa"/>
            <w:tcBorders>
              <w:top w:val="nil"/>
              <w:left w:val="nil"/>
              <w:bottom w:val="nil"/>
              <w:right w:val="nil"/>
            </w:tcBorders>
            <w:shd w:val="clear" w:color="auto" w:fill="auto"/>
            <w:noWrap/>
            <w:vAlign w:val="bottom"/>
          </w:tcPr>
          <w:p w14:paraId="0BF6D1B3" w14:textId="77777777" w:rsidR="00FB4ABA" w:rsidRPr="005C54D3" w:rsidRDefault="00FB4ABA" w:rsidP="00FB4ABA">
            <w:pPr>
              <w:spacing w:after="0" w:line="240" w:lineRule="auto"/>
              <w:jc w:val="right"/>
              <w:rPr>
                <w:rFonts w:ascii="Times New Roman" w:eastAsia="Times New Roman" w:hAnsi="Times New Roman"/>
              </w:rPr>
            </w:pPr>
          </w:p>
        </w:tc>
        <w:tc>
          <w:tcPr>
            <w:tcW w:w="2128" w:type="dxa"/>
            <w:tcBorders>
              <w:top w:val="nil"/>
              <w:left w:val="nil"/>
              <w:bottom w:val="nil"/>
              <w:right w:val="nil"/>
            </w:tcBorders>
            <w:shd w:val="clear" w:color="auto" w:fill="auto"/>
            <w:noWrap/>
            <w:vAlign w:val="center"/>
          </w:tcPr>
          <w:p w14:paraId="16D783FD" w14:textId="77777777" w:rsidR="00FB4ABA" w:rsidRPr="005C54D3" w:rsidRDefault="00FB4ABA" w:rsidP="00FB4ABA">
            <w:pPr>
              <w:spacing w:after="0" w:line="240" w:lineRule="auto"/>
              <w:jc w:val="right"/>
              <w:rPr>
                <w:rFonts w:ascii="Times New Roman" w:eastAsia="Times New Roman" w:hAnsi="Times New Roman"/>
              </w:rPr>
            </w:pPr>
            <w:r w:rsidRPr="005C54D3">
              <w:rPr>
                <w:rFonts w:ascii="Times New Roman" w:eastAsia="Times New Roman" w:hAnsi="Times New Roman"/>
              </w:rPr>
              <w:t>11.3%</w:t>
            </w:r>
          </w:p>
        </w:tc>
        <w:tc>
          <w:tcPr>
            <w:tcW w:w="380" w:type="dxa"/>
            <w:tcBorders>
              <w:top w:val="nil"/>
              <w:left w:val="nil"/>
              <w:bottom w:val="nil"/>
              <w:right w:val="nil"/>
            </w:tcBorders>
            <w:shd w:val="clear" w:color="auto" w:fill="auto"/>
            <w:noWrap/>
            <w:vAlign w:val="bottom"/>
          </w:tcPr>
          <w:p w14:paraId="64EF5115" w14:textId="77777777" w:rsidR="00FB4ABA" w:rsidRPr="005C54D3" w:rsidRDefault="00FB4ABA" w:rsidP="00FB4ABA">
            <w:pPr>
              <w:spacing w:after="0" w:line="240" w:lineRule="auto"/>
              <w:jc w:val="right"/>
              <w:rPr>
                <w:rFonts w:ascii="Times New Roman" w:eastAsia="Times New Roman" w:hAnsi="Times New Roman"/>
              </w:rPr>
            </w:pPr>
          </w:p>
        </w:tc>
        <w:tc>
          <w:tcPr>
            <w:tcW w:w="1254" w:type="dxa"/>
            <w:tcBorders>
              <w:top w:val="nil"/>
              <w:left w:val="nil"/>
              <w:bottom w:val="nil"/>
              <w:right w:val="nil"/>
            </w:tcBorders>
            <w:shd w:val="clear" w:color="auto" w:fill="auto"/>
            <w:noWrap/>
            <w:vAlign w:val="bottom"/>
          </w:tcPr>
          <w:p w14:paraId="4C067A1B" w14:textId="77777777" w:rsidR="00FB4ABA" w:rsidRPr="00372BD2" w:rsidRDefault="00FB4ABA" w:rsidP="00FB4ABA">
            <w:pPr>
              <w:spacing w:after="0" w:line="240" w:lineRule="auto"/>
              <w:rPr>
                <w:rFonts w:ascii="Times New Roman" w:eastAsia="Times New Roman" w:hAnsi="Times New Roman"/>
              </w:rPr>
            </w:pPr>
          </w:p>
        </w:tc>
      </w:tr>
      <w:tr w:rsidR="00FB4ABA" w:rsidRPr="00CE6838" w14:paraId="67E06F9B" w14:textId="77777777" w:rsidTr="00FB4ABA">
        <w:trPr>
          <w:trHeight w:val="255"/>
          <w:jc w:val="center"/>
        </w:trPr>
        <w:tc>
          <w:tcPr>
            <w:tcW w:w="3439" w:type="dxa"/>
            <w:tcBorders>
              <w:top w:val="nil"/>
              <w:left w:val="nil"/>
              <w:bottom w:val="nil"/>
              <w:right w:val="nil"/>
            </w:tcBorders>
            <w:shd w:val="clear" w:color="auto" w:fill="auto"/>
            <w:noWrap/>
            <w:vAlign w:val="center"/>
            <w:hideMark/>
          </w:tcPr>
          <w:p w14:paraId="708B9731" w14:textId="77777777" w:rsidR="00FB4ABA" w:rsidRPr="00912869" w:rsidRDefault="00FB4ABA" w:rsidP="00FB4ABA">
            <w:pPr>
              <w:spacing w:after="0" w:line="240" w:lineRule="auto"/>
              <w:rPr>
                <w:rFonts w:ascii="Times New Roman" w:eastAsia="Times New Roman" w:hAnsi="Times New Roman"/>
                <w:color w:val="000000"/>
              </w:rPr>
            </w:pPr>
            <w:r w:rsidRPr="005C54D3">
              <w:rPr>
                <w:rFonts w:ascii="Times New Roman" w:eastAsia="Times New Roman" w:hAnsi="Times New Roman"/>
                <w:color w:val="000000"/>
                <w:lang w:val="mk-MK"/>
              </w:rPr>
              <w:t>Трошоци / Приходи (</w:t>
            </w:r>
            <w:r w:rsidRPr="005C54D3">
              <w:rPr>
                <w:rFonts w:ascii="Times New Roman" w:eastAsia="Times New Roman" w:hAnsi="Times New Roman"/>
                <w:color w:val="000000"/>
              </w:rPr>
              <w:t>C:I</w:t>
            </w:r>
            <w:r w:rsidRPr="005C54D3">
              <w:rPr>
                <w:rFonts w:ascii="Times New Roman" w:eastAsia="Times New Roman" w:hAnsi="Times New Roman"/>
                <w:color w:val="000000"/>
                <w:lang w:val="mk-MK"/>
              </w:rPr>
              <w:t>)</w:t>
            </w:r>
            <w:r w:rsidRPr="00912869">
              <w:rPr>
                <w:rFonts w:ascii="Times New Roman" w:eastAsia="Times New Roman" w:hAnsi="Times New Roman"/>
                <w:color w:val="000000"/>
              </w:rPr>
              <w:t xml:space="preserve"> </w:t>
            </w:r>
          </w:p>
        </w:tc>
        <w:tc>
          <w:tcPr>
            <w:tcW w:w="380" w:type="dxa"/>
            <w:tcBorders>
              <w:top w:val="nil"/>
              <w:left w:val="nil"/>
              <w:bottom w:val="nil"/>
              <w:right w:val="nil"/>
            </w:tcBorders>
            <w:shd w:val="clear" w:color="auto" w:fill="auto"/>
            <w:noWrap/>
            <w:vAlign w:val="bottom"/>
            <w:hideMark/>
          </w:tcPr>
          <w:p w14:paraId="36341ED9" w14:textId="77777777" w:rsidR="00FB4ABA" w:rsidRPr="00F202F6" w:rsidRDefault="00FB4ABA" w:rsidP="00FB4ABA">
            <w:pPr>
              <w:spacing w:after="0" w:line="240" w:lineRule="auto"/>
              <w:rPr>
                <w:rFonts w:ascii="Times New Roman" w:eastAsia="Times New Roman" w:hAnsi="Times New Roman"/>
                <w:color w:val="000000"/>
              </w:rPr>
            </w:pPr>
          </w:p>
        </w:tc>
        <w:tc>
          <w:tcPr>
            <w:tcW w:w="1408" w:type="dxa"/>
            <w:tcBorders>
              <w:top w:val="nil"/>
              <w:left w:val="nil"/>
              <w:bottom w:val="nil"/>
              <w:right w:val="nil"/>
            </w:tcBorders>
            <w:shd w:val="clear" w:color="auto" w:fill="auto"/>
            <w:noWrap/>
            <w:vAlign w:val="center"/>
          </w:tcPr>
          <w:p w14:paraId="089041FA" w14:textId="77777777" w:rsidR="00FB4ABA" w:rsidRPr="005C54D3" w:rsidRDefault="00FB4ABA" w:rsidP="00FB4ABA">
            <w:pPr>
              <w:spacing w:after="0" w:line="240" w:lineRule="auto"/>
              <w:jc w:val="right"/>
              <w:rPr>
                <w:rFonts w:ascii="Times New Roman" w:eastAsia="Times New Roman" w:hAnsi="Times New Roman"/>
              </w:rPr>
            </w:pPr>
            <w:r w:rsidRPr="005C54D3">
              <w:rPr>
                <w:rFonts w:ascii="Times New Roman" w:eastAsia="Times New Roman" w:hAnsi="Times New Roman"/>
              </w:rPr>
              <w:t>47.8%</w:t>
            </w:r>
          </w:p>
        </w:tc>
        <w:tc>
          <w:tcPr>
            <w:tcW w:w="380" w:type="dxa"/>
            <w:tcBorders>
              <w:top w:val="nil"/>
              <w:left w:val="nil"/>
              <w:bottom w:val="nil"/>
              <w:right w:val="nil"/>
            </w:tcBorders>
            <w:shd w:val="clear" w:color="auto" w:fill="auto"/>
            <w:noWrap/>
            <w:vAlign w:val="bottom"/>
          </w:tcPr>
          <w:p w14:paraId="213FD0D0" w14:textId="77777777" w:rsidR="00FB4ABA" w:rsidRPr="005C54D3" w:rsidRDefault="00FB4ABA" w:rsidP="00FB4ABA">
            <w:pPr>
              <w:spacing w:after="0" w:line="240" w:lineRule="auto"/>
              <w:jc w:val="right"/>
              <w:rPr>
                <w:rFonts w:ascii="Times New Roman" w:eastAsia="Times New Roman" w:hAnsi="Times New Roman"/>
              </w:rPr>
            </w:pPr>
          </w:p>
        </w:tc>
        <w:tc>
          <w:tcPr>
            <w:tcW w:w="2128" w:type="dxa"/>
            <w:tcBorders>
              <w:top w:val="nil"/>
              <w:left w:val="nil"/>
              <w:bottom w:val="nil"/>
              <w:right w:val="nil"/>
            </w:tcBorders>
            <w:shd w:val="clear" w:color="auto" w:fill="auto"/>
            <w:noWrap/>
            <w:vAlign w:val="center"/>
          </w:tcPr>
          <w:p w14:paraId="283A8FDC" w14:textId="77777777" w:rsidR="00FB4ABA" w:rsidRPr="005C54D3" w:rsidRDefault="00FB4ABA" w:rsidP="00FB4ABA">
            <w:pPr>
              <w:spacing w:after="0" w:line="240" w:lineRule="auto"/>
              <w:jc w:val="right"/>
              <w:rPr>
                <w:rFonts w:ascii="Times New Roman" w:eastAsia="Times New Roman" w:hAnsi="Times New Roman"/>
              </w:rPr>
            </w:pPr>
            <w:r w:rsidRPr="005C54D3">
              <w:rPr>
                <w:rFonts w:ascii="Times New Roman" w:eastAsia="Times New Roman" w:hAnsi="Times New Roman"/>
              </w:rPr>
              <w:t>33.8%</w:t>
            </w:r>
          </w:p>
        </w:tc>
        <w:tc>
          <w:tcPr>
            <w:tcW w:w="380" w:type="dxa"/>
            <w:tcBorders>
              <w:top w:val="nil"/>
              <w:left w:val="nil"/>
              <w:bottom w:val="nil"/>
              <w:right w:val="nil"/>
            </w:tcBorders>
            <w:shd w:val="clear" w:color="auto" w:fill="auto"/>
            <w:noWrap/>
            <w:vAlign w:val="bottom"/>
          </w:tcPr>
          <w:p w14:paraId="69ADABA8" w14:textId="77777777" w:rsidR="00FB4ABA" w:rsidRPr="005C54D3" w:rsidRDefault="00FB4ABA" w:rsidP="00FB4ABA">
            <w:pPr>
              <w:spacing w:after="0" w:line="240" w:lineRule="auto"/>
              <w:jc w:val="right"/>
              <w:rPr>
                <w:rFonts w:ascii="Times New Roman" w:eastAsia="Times New Roman" w:hAnsi="Times New Roman"/>
              </w:rPr>
            </w:pPr>
          </w:p>
        </w:tc>
        <w:tc>
          <w:tcPr>
            <w:tcW w:w="1254" w:type="dxa"/>
            <w:tcBorders>
              <w:top w:val="nil"/>
              <w:left w:val="nil"/>
              <w:bottom w:val="nil"/>
              <w:right w:val="nil"/>
            </w:tcBorders>
            <w:shd w:val="clear" w:color="auto" w:fill="auto"/>
            <w:noWrap/>
            <w:vAlign w:val="bottom"/>
          </w:tcPr>
          <w:p w14:paraId="469F49D6" w14:textId="77777777" w:rsidR="00FB4ABA" w:rsidRPr="00372BD2" w:rsidRDefault="00FB4ABA" w:rsidP="00FB4ABA">
            <w:pPr>
              <w:spacing w:after="0" w:line="240" w:lineRule="auto"/>
              <w:rPr>
                <w:rFonts w:ascii="Times New Roman" w:eastAsia="Times New Roman" w:hAnsi="Times New Roman"/>
              </w:rPr>
            </w:pPr>
          </w:p>
        </w:tc>
      </w:tr>
      <w:tr w:rsidR="00FB4ABA" w:rsidRPr="00CE6838" w14:paraId="13449EC3" w14:textId="77777777" w:rsidTr="00FB4ABA">
        <w:trPr>
          <w:trHeight w:val="255"/>
          <w:jc w:val="center"/>
        </w:trPr>
        <w:tc>
          <w:tcPr>
            <w:tcW w:w="3439" w:type="dxa"/>
            <w:tcBorders>
              <w:top w:val="nil"/>
              <w:left w:val="nil"/>
              <w:bottom w:val="nil"/>
              <w:right w:val="nil"/>
            </w:tcBorders>
            <w:shd w:val="clear" w:color="auto" w:fill="auto"/>
            <w:noWrap/>
            <w:vAlign w:val="center"/>
            <w:hideMark/>
          </w:tcPr>
          <w:p w14:paraId="2826777C" w14:textId="77777777" w:rsidR="00FB4ABA" w:rsidRPr="00912869" w:rsidRDefault="00FB4ABA" w:rsidP="00FB4ABA">
            <w:pPr>
              <w:spacing w:after="0" w:line="240" w:lineRule="auto"/>
              <w:rPr>
                <w:rFonts w:ascii="Times New Roman" w:eastAsia="Times New Roman" w:hAnsi="Times New Roman"/>
                <w:color w:val="000000"/>
                <w:lang w:val="mk-MK"/>
              </w:rPr>
            </w:pPr>
            <w:r w:rsidRPr="005C54D3">
              <w:rPr>
                <w:rFonts w:ascii="Times New Roman" w:eastAsia="Times New Roman" w:hAnsi="Times New Roman"/>
                <w:color w:val="000000"/>
                <w:lang w:val="mk-MK"/>
              </w:rPr>
              <w:t>Нето каматна маргина (</w:t>
            </w:r>
            <w:r w:rsidRPr="005C54D3">
              <w:rPr>
                <w:rFonts w:ascii="Times New Roman" w:eastAsia="Times New Roman" w:hAnsi="Times New Roman"/>
                <w:color w:val="000000"/>
              </w:rPr>
              <w:t>NIM</w:t>
            </w:r>
            <w:r w:rsidRPr="00912869">
              <w:rPr>
                <w:rFonts w:ascii="Times New Roman" w:eastAsia="Times New Roman" w:hAnsi="Times New Roman"/>
                <w:color w:val="000000"/>
                <w:lang w:val="mk-MK"/>
              </w:rPr>
              <w:t>)</w:t>
            </w:r>
          </w:p>
        </w:tc>
        <w:tc>
          <w:tcPr>
            <w:tcW w:w="380" w:type="dxa"/>
            <w:tcBorders>
              <w:top w:val="nil"/>
              <w:left w:val="nil"/>
              <w:bottom w:val="nil"/>
              <w:right w:val="nil"/>
            </w:tcBorders>
            <w:shd w:val="clear" w:color="auto" w:fill="auto"/>
            <w:noWrap/>
            <w:vAlign w:val="bottom"/>
            <w:hideMark/>
          </w:tcPr>
          <w:p w14:paraId="66C29248" w14:textId="77777777" w:rsidR="00FB4ABA" w:rsidRPr="00F202F6" w:rsidRDefault="00FB4ABA" w:rsidP="00FB4ABA">
            <w:pPr>
              <w:spacing w:after="0" w:line="240" w:lineRule="auto"/>
              <w:rPr>
                <w:rFonts w:ascii="Times New Roman" w:eastAsia="Times New Roman" w:hAnsi="Times New Roman"/>
                <w:color w:val="000000"/>
              </w:rPr>
            </w:pPr>
          </w:p>
        </w:tc>
        <w:tc>
          <w:tcPr>
            <w:tcW w:w="1408" w:type="dxa"/>
            <w:tcBorders>
              <w:top w:val="nil"/>
              <w:left w:val="nil"/>
              <w:bottom w:val="nil"/>
              <w:right w:val="nil"/>
            </w:tcBorders>
            <w:shd w:val="clear" w:color="auto" w:fill="auto"/>
            <w:noWrap/>
            <w:vAlign w:val="center"/>
          </w:tcPr>
          <w:p w14:paraId="5172C3E0" w14:textId="77777777" w:rsidR="00FB4ABA" w:rsidRPr="005C54D3" w:rsidRDefault="00FB4ABA" w:rsidP="00FB4ABA">
            <w:pPr>
              <w:spacing w:after="0" w:line="240" w:lineRule="auto"/>
              <w:jc w:val="right"/>
              <w:rPr>
                <w:rFonts w:ascii="Times New Roman" w:eastAsia="Times New Roman" w:hAnsi="Times New Roman"/>
              </w:rPr>
            </w:pPr>
            <w:r w:rsidRPr="005C54D3">
              <w:rPr>
                <w:rFonts w:ascii="Times New Roman" w:eastAsia="Times New Roman" w:hAnsi="Times New Roman"/>
              </w:rPr>
              <w:t>2.7%</w:t>
            </w:r>
          </w:p>
        </w:tc>
        <w:tc>
          <w:tcPr>
            <w:tcW w:w="380" w:type="dxa"/>
            <w:tcBorders>
              <w:top w:val="nil"/>
              <w:left w:val="nil"/>
              <w:bottom w:val="nil"/>
              <w:right w:val="nil"/>
            </w:tcBorders>
            <w:shd w:val="clear" w:color="auto" w:fill="auto"/>
            <w:noWrap/>
            <w:vAlign w:val="bottom"/>
          </w:tcPr>
          <w:p w14:paraId="3AD13B8C" w14:textId="77777777" w:rsidR="00FB4ABA" w:rsidRPr="005C54D3" w:rsidRDefault="00FB4ABA" w:rsidP="00FB4ABA">
            <w:pPr>
              <w:spacing w:after="0" w:line="240" w:lineRule="auto"/>
              <w:jc w:val="right"/>
              <w:rPr>
                <w:rFonts w:ascii="Times New Roman" w:eastAsia="Times New Roman" w:hAnsi="Times New Roman"/>
              </w:rPr>
            </w:pPr>
          </w:p>
        </w:tc>
        <w:tc>
          <w:tcPr>
            <w:tcW w:w="2128" w:type="dxa"/>
            <w:tcBorders>
              <w:top w:val="nil"/>
              <w:left w:val="nil"/>
              <w:bottom w:val="nil"/>
              <w:right w:val="nil"/>
            </w:tcBorders>
            <w:shd w:val="clear" w:color="auto" w:fill="auto"/>
            <w:noWrap/>
            <w:vAlign w:val="center"/>
          </w:tcPr>
          <w:p w14:paraId="07E6352B" w14:textId="77777777" w:rsidR="00FB4ABA" w:rsidRPr="005C54D3" w:rsidRDefault="00FB4ABA" w:rsidP="00FB4ABA">
            <w:pPr>
              <w:spacing w:after="0" w:line="240" w:lineRule="auto"/>
              <w:jc w:val="right"/>
              <w:rPr>
                <w:rFonts w:ascii="Times New Roman" w:eastAsia="Times New Roman" w:hAnsi="Times New Roman"/>
              </w:rPr>
            </w:pPr>
            <w:r w:rsidRPr="005C54D3">
              <w:rPr>
                <w:rFonts w:ascii="Times New Roman" w:eastAsia="Times New Roman" w:hAnsi="Times New Roman"/>
              </w:rPr>
              <w:t>4.1%</w:t>
            </w:r>
          </w:p>
        </w:tc>
        <w:tc>
          <w:tcPr>
            <w:tcW w:w="380" w:type="dxa"/>
            <w:tcBorders>
              <w:top w:val="nil"/>
              <w:left w:val="nil"/>
              <w:bottom w:val="nil"/>
              <w:right w:val="nil"/>
            </w:tcBorders>
            <w:shd w:val="clear" w:color="auto" w:fill="auto"/>
            <w:noWrap/>
            <w:vAlign w:val="bottom"/>
          </w:tcPr>
          <w:p w14:paraId="259254CA" w14:textId="77777777" w:rsidR="00FB4ABA" w:rsidRPr="005C54D3" w:rsidRDefault="00FB4ABA" w:rsidP="00FB4ABA">
            <w:pPr>
              <w:spacing w:after="0" w:line="240" w:lineRule="auto"/>
              <w:jc w:val="right"/>
              <w:rPr>
                <w:rFonts w:ascii="Times New Roman" w:eastAsia="Times New Roman" w:hAnsi="Times New Roman"/>
              </w:rPr>
            </w:pPr>
          </w:p>
        </w:tc>
        <w:tc>
          <w:tcPr>
            <w:tcW w:w="1254" w:type="dxa"/>
            <w:tcBorders>
              <w:top w:val="nil"/>
              <w:left w:val="nil"/>
              <w:bottom w:val="nil"/>
              <w:right w:val="nil"/>
            </w:tcBorders>
            <w:shd w:val="clear" w:color="auto" w:fill="auto"/>
            <w:noWrap/>
            <w:vAlign w:val="bottom"/>
          </w:tcPr>
          <w:p w14:paraId="79CB9CA0" w14:textId="77777777" w:rsidR="00FB4ABA" w:rsidRPr="00372BD2" w:rsidRDefault="00FB4ABA" w:rsidP="00FB4ABA">
            <w:pPr>
              <w:spacing w:after="0" w:line="240" w:lineRule="auto"/>
              <w:rPr>
                <w:rFonts w:ascii="Times New Roman" w:eastAsia="Times New Roman" w:hAnsi="Times New Roman"/>
              </w:rPr>
            </w:pPr>
          </w:p>
        </w:tc>
      </w:tr>
      <w:tr w:rsidR="00FB4ABA" w:rsidRPr="00CE6838" w14:paraId="7140AF42" w14:textId="77777777" w:rsidTr="00FB4ABA">
        <w:trPr>
          <w:trHeight w:val="255"/>
          <w:jc w:val="center"/>
        </w:trPr>
        <w:tc>
          <w:tcPr>
            <w:tcW w:w="3439" w:type="dxa"/>
            <w:tcBorders>
              <w:top w:val="nil"/>
              <w:left w:val="nil"/>
              <w:bottom w:val="nil"/>
              <w:right w:val="nil"/>
            </w:tcBorders>
            <w:shd w:val="clear" w:color="auto" w:fill="auto"/>
            <w:noWrap/>
            <w:vAlign w:val="center"/>
            <w:hideMark/>
          </w:tcPr>
          <w:p w14:paraId="4A8B6366" w14:textId="77777777" w:rsidR="00FB4ABA" w:rsidRPr="005C54D3" w:rsidRDefault="00FB4ABA" w:rsidP="00FB4ABA">
            <w:pPr>
              <w:spacing w:after="0" w:line="240" w:lineRule="auto"/>
              <w:rPr>
                <w:rFonts w:ascii="Times New Roman" w:eastAsia="Times New Roman" w:hAnsi="Times New Roman"/>
                <w:color w:val="000000"/>
                <w:lang w:val="mk-MK"/>
              </w:rPr>
            </w:pPr>
            <w:r w:rsidRPr="005C54D3">
              <w:rPr>
                <w:rFonts w:ascii="Times New Roman" w:eastAsia="Times New Roman" w:hAnsi="Times New Roman"/>
                <w:color w:val="000000"/>
                <w:lang w:val="mk-MK"/>
              </w:rPr>
              <w:t>Нефункционална изложеност</w:t>
            </w:r>
          </w:p>
        </w:tc>
        <w:tc>
          <w:tcPr>
            <w:tcW w:w="380" w:type="dxa"/>
            <w:tcBorders>
              <w:top w:val="nil"/>
              <w:left w:val="nil"/>
              <w:bottom w:val="nil"/>
              <w:right w:val="nil"/>
            </w:tcBorders>
            <w:shd w:val="clear" w:color="auto" w:fill="auto"/>
            <w:noWrap/>
            <w:vAlign w:val="bottom"/>
            <w:hideMark/>
          </w:tcPr>
          <w:p w14:paraId="6071219C" w14:textId="77777777" w:rsidR="00FB4ABA" w:rsidRPr="00912869" w:rsidRDefault="00FB4ABA" w:rsidP="00FB4ABA">
            <w:pPr>
              <w:spacing w:after="0" w:line="240" w:lineRule="auto"/>
              <w:rPr>
                <w:rFonts w:ascii="Times New Roman" w:eastAsia="Times New Roman" w:hAnsi="Times New Roman"/>
                <w:color w:val="000000"/>
              </w:rPr>
            </w:pPr>
          </w:p>
        </w:tc>
        <w:tc>
          <w:tcPr>
            <w:tcW w:w="1408" w:type="dxa"/>
            <w:tcBorders>
              <w:top w:val="nil"/>
              <w:left w:val="nil"/>
              <w:bottom w:val="nil"/>
              <w:right w:val="nil"/>
            </w:tcBorders>
            <w:shd w:val="clear" w:color="auto" w:fill="auto"/>
            <w:noWrap/>
            <w:vAlign w:val="center"/>
          </w:tcPr>
          <w:p w14:paraId="6F234A8A" w14:textId="77777777" w:rsidR="00FB4ABA" w:rsidRPr="00F202F6" w:rsidRDefault="00FB4ABA" w:rsidP="00FB4ABA">
            <w:pPr>
              <w:spacing w:after="0" w:line="240" w:lineRule="auto"/>
              <w:jc w:val="right"/>
              <w:rPr>
                <w:rFonts w:ascii="Times New Roman" w:eastAsia="Times New Roman" w:hAnsi="Times New Roman"/>
              </w:rPr>
            </w:pPr>
            <w:r w:rsidRPr="00F202F6">
              <w:rPr>
                <w:rFonts w:ascii="Times New Roman" w:eastAsia="Times New Roman" w:hAnsi="Times New Roman"/>
              </w:rPr>
              <w:t>2.9%</w:t>
            </w:r>
          </w:p>
        </w:tc>
        <w:tc>
          <w:tcPr>
            <w:tcW w:w="380" w:type="dxa"/>
            <w:tcBorders>
              <w:top w:val="nil"/>
              <w:left w:val="nil"/>
              <w:bottom w:val="nil"/>
              <w:right w:val="nil"/>
            </w:tcBorders>
            <w:shd w:val="clear" w:color="auto" w:fill="auto"/>
            <w:noWrap/>
            <w:vAlign w:val="bottom"/>
          </w:tcPr>
          <w:p w14:paraId="37EF8D6A" w14:textId="77777777" w:rsidR="00FB4ABA" w:rsidRPr="005C54D3" w:rsidRDefault="00FB4ABA" w:rsidP="00FB4ABA">
            <w:pPr>
              <w:spacing w:after="0" w:line="240" w:lineRule="auto"/>
              <w:jc w:val="right"/>
              <w:rPr>
                <w:rFonts w:ascii="Times New Roman" w:eastAsia="Times New Roman" w:hAnsi="Times New Roman"/>
              </w:rPr>
            </w:pPr>
          </w:p>
        </w:tc>
        <w:tc>
          <w:tcPr>
            <w:tcW w:w="2128" w:type="dxa"/>
            <w:tcBorders>
              <w:top w:val="nil"/>
              <w:left w:val="nil"/>
              <w:bottom w:val="nil"/>
              <w:right w:val="nil"/>
            </w:tcBorders>
            <w:shd w:val="clear" w:color="auto" w:fill="auto"/>
            <w:noWrap/>
            <w:vAlign w:val="center"/>
          </w:tcPr>
          <w:p w14:paraId="7C10E9F4" w14:textId="77777777" w:rsidR="00FB4ABA" w:rsidRPr="005C54D3" w:rsidRDefault="00FB4ABA" w:rsidP="00FB4ABA">
            <w:pPr>
              <w:spacing w:after="0" w:line="240" w:lineRule="auto"/>
              <w:jc w:val="right"/>
              <w:rPr>
                <w:rFonts w:ascii="Times New Roman" w:eastAsia="Times New Roman" w:hAnsi="Times New Roman"/>
              </w:rPr>
            </w:pPr>
            <w:r w:rsidRPr="005C54D3">
              <w:rPr>
                <w:rFonts w:ascii="Times New Roman" w:eastAsia="Times New Roman" w:hAnsi="Times New Roman"/>
              </w:rPr>
              <w:t>3.9%</w:t>
            </w:r>
          </w:p>
        </w:tc>
        <w:tc>
          <w:tcPr>
            <w:tcW w:w="380" w:type="dxa"/>
            <w:tcBorders>
              <w:top w:val="nil"/>
              <w:left w:val="nil"/>
              <w:bottom w:val="nil"/>
              <w:right w:val="nil"/>
            </w:tcBorders>
            <w:shd w:val="clear" w:color="auto" w:fill="auto"/>
            <w:noWrap/>
            <w:vAlign w:val="bottom"/>
          </w:tcPr>
          <w:p w14:paraId="2FEC3CAA" w14:textId="77777777" w:rsidR="00FB4ABA" w:rsidRPr="005C54D3" w:rsidRDefault="00FB4ABA" w:rsidP="00FB4ABA">
            <w:pPr>
              <w:spacing w:after="0" w:line="240" w:lineRule="auto"/>
              <w:jc w:val="right"/>
              <w:rPr>
                <w:rFonts w:ascii="Times New Roman" w:eastAsia="Times New Roman" w:hAnsi="Times New Roman"/>
              </w:rPr>
            </w:pPr>
          </w:p>
        </w:tc>
        <w:tc>
          <w:tcPr>
            <w:tcW w:w="1254" w:type="dxa"/>
            <w:tcBorders>
              <w:top w:val="nil"/>
              <w:left w:val="nil"/>
              <w:bottom w:val="nil"/>
              <w:right w:val="nil"/>
            </w:tcBorders>
            <w:shd w:val="clear" w:color="auto" w:fill="auto"/>
            <w:noWrap/>
            <w:vAlign w:val="bottom"/>
          </w:tcPr>
          <w:p w14:paraId="14E00586" w14:textId="77777777" w:rsidR="00FB4ABA" w:rsidRPr="00372BD2" w:rsidRDefault="00FB4ABA" w:rsidP="00FB4ABA">
            <w:pPr>
              <w:spacing w:after="0" w:line="240" w:lineRule="auto"/>
              <w:rPr>
                <w:rFonts w:ascii="Times New Roman" w:eastAsia="Times New Roman" w:hAnsi="Times New Roman"/>
              </w:rPr>
            </w:pPr>
          </w:p>
        </w:tc>
      </w:tr>
      <w:tr w:rsidR="00FB4ABA" w:rsidRPr="00CE6838" w14:paraId="513AB54C" w14:textId="77777777" w:rsidTr="00FB4ABA">
        <w:trPr>
          <w:trHeight w:val="255"/>
          <w:jc w:val="center"/>
        </w:trPr>
        <w:tc>
          <w:tcPr>
            <w:tcW w:w="3439" w:type="dxa"/>
            <w:tcBorders>
              <w:top w:val="nil"/>
              <w:left w:val="nil"/>
              <w:bottom w:val="nil"/>
              <w:right w:val="nil"/>
            </w:tcBorders>
            <w:shd w:val="clear" w:color="auto" w:fill="auto"/>
            <w:noWrap/>
            <w:vAlign w:val="center"/>
            <w:hideMark/>
          </w:tcPr>
          <w:p w14:paraId="59905F0D" w14:textId="77777777" w:rsidR="00FB4ABA" w:rsidRPr="005C54D3" w:rsidRDefault="00FB4ABA" w:rsidP="00FB4ABA">
            <w:pPr>
              <w:spacing w:after="0" w:line="240" w:lineRule="auto"/>
              <w:rPr>
                <w:rFonts w:ascii="Times New Roman" w:eastAsia="Times New Roman" w:hAnsi="Times New Roman"/>
                <w:color w:val="000000"/>
                <w:lang w:val="mk-MK"/>
              </w:rPr>
            </w:pPr>
            <w:r w:rsidRPr="005C54D3">
              <w:rPr>
                <w:rFonts w:ascii="Times New Roman" w:eastAsia="Times New Roman" w:hAnsi="Times New Roman"/>
                <w:color w:val="000000"/>
                <w:lang w:val="mk-MK"/>
              </w:rPr>
              <w:t>Адекватност на капиталот</w:t>
            </w:r>
          </w:p>
        </w:tc>
        <w:tc>
          <w:tcPr>
            <w:tcW w:w="380" w:type="dxa"/>
            <w:tcBorders>
              <w:top w:val="nil"/>
              <w:left w:val="nil"/>
              <w:bottom w:val="nil"/>
              <w:right w:val="nil"/>
            </w:tcBorders>
            <w:shd w:val="clear" w:color="auto" w:fill="auto"/>
            <w:noWrap/>
            <w:vAlign w:val="bottom"/>
            <w:hideMark/>
          </w:tcPr>
          <w:p w14:paraId="129B5B1B" w14:textId="77777777" w:rsidR="00FB4ABA" w:rsidRPr="00912869" w:rsidRDefault="00FB4ABA" w:rsidP="00FB4ABA">
            <w:pPr>
              <w:spacing w:after="0" w:line="240" w:lineRule="auto"/>
              <w:rPr>
                <w:rFonts w:ascii="Times New Roman" w:eastAsia="Times New Roman" w:hAnsi="Times New Roman"/>
                <w:color w:val="000000"/>
              </w:rPr>
            </w:pPr>
          </w:p>
        </w:tc>
        <w:tc>
          <w:tcPr>
            <w:tcW w:w="1408" w:type="dxa"/>
            <w:tcBorders>
              <w:top w:val="nil"/>
              <w:left w:val="nil"/>
              <w:bottom w:val="nil"/>
              <w:right w:val="nil"/>
            </w:tcBorders>
            <w:shd w:val="clear" w:color="auto" w:fill="auto"/>
            <w:noWrap/>
            <w:vAlign w:val="center"/>
          </w:tcPr>
          <w:p w14:paraId="6D02C511" w14:textId="77777777" w:rsidR="00FB4ABA" w:rsidRPr="00F202F6" w:rsidRDefault="00FB4ABA" w:rsidP="00FB4ABA">
            <w:pPr>
              <w:spacing w:after="0" w:line="240" w:lineRule="auto"/>
              <w:jc w:val="right"/>
              <w:rPr>
                <w:rFonts w:ascii="Times New Roman" w:eastAsia="Times New Roman" w:hAnsi="Times New Roman"/>
              </w:rPr>
            </w:pPr>
            <w:r w:rsidRPr="00F202F6">
              <w:rPr>
                <w:rFonts w:ascii="Times New Roman" w:eastAsia="Times New Roman" w:hAnsi="Times New Roman"/>
              </w:rPr>
              <w:t>17.7%</w:t>
            </w:r>
          </w:p>
        </w:tc>
        <w:tc>
          <w:tcPr>
            <w:tcW w:w="380" w:type="dxa"/>
            <w:tcBorders>
              <w:top w:val="nil"/>
              <w:left w:val="nil"/>
              <w:bottom w:val="nil"/>
              <w:right w:val="nil"/>
            </w:tcBorders>
            <w:shd w:val="clear" w:color="auto" w:fill="auto"/>
            <w:noWrap/>
            <w:vAlign w:val="bottom"/>
          </w:tcPr>
          <w:p w14:paraId="1E4F081A" w14:textId="77777777" w:rsidR="00FB4ABA" w:rsidRPr="005C54D3" w:rsidRDefault="00FB4ABA" w:rsidP="00FB4ABA">
            <w:pPr>
              <w:spacing w:after="0" w:line="240" w:lineRule="auto"/>
              <w:jc w:val="right"/>
              <w:rPr>
                <w:rFonts w:ascii="Times New Roman" w:eastAsia="Times New Roman" w:hAnsi="Times New Roman"/>
              </w:rPr>
            </w:pPr>
          </w:p>
        </w:tc>
        <w:tc>
          <w:tcPr>
            <w:tcW w:w="2128" w:type="dxa"/>
            <w:tcBorders>
              <w:top w:val="nil"/>
              <w:left w:val="nil"/>
              <w:bottom w:val="nil"/>
              <w:right w:val="nil"/>
            </w:tcBorders>
            <w:shd w:val="clear" w:color="auto" w:fill="auto"/>
            <w:noWrap/>
            <w:vAlign w:val="center"/>
          </w:tcPr>
          <w:p w14:paraId="58F688B6" w14:textId="77777777" w:rsidR="00FB4ABA" w:rsidRPr="005C54D3" w:rsidRDefault="00FB4ABA" w:rsidP="00FB4ABA">
            <w:pPr>
              <w:spacing w:after="0" w:line="240" w:lineRule="auto"/>
              <w:jc w:val="right"/>
              <w:rPr>
                <w:rFonts w:ascii="Times New Roman" w:eastAsia="Times New Roman" w:hAnsi="Times New Roman"/>
                <w:color w:val="000000"/>
              </w:rPr>
            </w:pPr>
            <w:r w:rsidRPr="005C54D3">
              <w:rPr>
                <w:rFonts w:ascii="Times New Roman" w:eastAsia="Times New Roman" w:hAnsi="Times New Roman"/>
                <w:color w:val="000000"/>
              </w:rPr>
              <w:t>16.6%</w:t>
            </w:r>
          </w:p>
        </w:tc>
        <w:tc>
          <w:tcPr>
            <w:tcW w:w="380" w:type="dxa"/>
            <w:tcBorders>
              <w:top w:val="nil"/>
              <w:left w:val="nil"/>
              <w:bottom w:val="nil"/>
              <w:right w:val="nil"/>
            </w:tcBorders>
            <w:shd w:val="clear" w:color="auto" w:fill="auto"/>
            <w:noWrap/>
            <w:vAlign w:val="bottom"/>
          </w:tcPr>
          <w:p w14:paraId="04E7A1F6" w14:textId="77777777" w:rsidR="00FB4ABA" w:rsidRPr="005C54D3" w:rsidRDefault="00FB4ABA" w:rsidP="00FB4ABA">
            <w:pPr>
              <w:spacing w:after="0" w:line="240" w:lineRule="auto"/>
              <w:jc w:val="right"/>
              <w:rPr>
                <w:rFonts w:ascii="Times New Roman" w:eastAsia="Times New Roman" w:hAnsi="Times New Roman"/>
                <w:color w:val="000000"/>
              </w:rPr>
            </w:pPr>
          </w:p>
        </w:tc>
        <w:tc>
          <w:tcPr>
            <w:tcW w:w="1254" w:type="dxa"/>
            <w:tcBorders>
              <w:top w:val="nil"/>
              <w:left w:val="nil"/>
              <w:bottom w:val="nil"/>
              <w:right w:val="nil"/>
            </w:tcBorders>
            <w:shd w:val="clear" w:color="auto" w:fill="auto"/>
            <w:noWrap/>
            <w:vAlign w:val="bottom"/>
          </w:tcPr>
          <w:p w14:paraId="453D06CD" w14:textId="77777777" w:rsidR="00FB4ABA" w:rsidRPr="00372BD2" w:rsidRDefault="00FB4ABA" w:rsidP="00FB4ABA">
            <w:pPr>
              <w:spacing w:after="0" w:line="240" w:lineRule="auto"/>
              <w:rPr>
                <w:rFonts w:ascii="Times New Roman" w:eastAsia="Times New Roman" w:hAnsi="Times New Roman"/>
              </w:rPr>
            </w:pPr>
          </w:p>
        </w:tc>
      </w:tr>
    </w:tbl>
    <w:p w14:paraId="544A01BF" w14:textId="77777777" w:rsidR="00FB4ABA" w:rsidRPr="00CE6838" w:rsidRDefault="00FB4ABA" w:rsidP="00FB4ABA">
      <w:pPr>
        <w:spacing w:after="0"/>
        <w:rPr>
          <w:rFonts w:ascii="Times New Roman" w:hAnsi="Times New Roman"/>
          <w:sz w:val="20"/>
          <w:szCs w:val="20"/>
        </w:rPr>
      </w:pPr>
    </w:p>
    <w:p w14:paraId="3631CDC3" w14:textId="77777777" w:rsidR="00FB4ABA" w:rsidRPr="00CE6838" w:rsidRDefault="00FB4ABA" w:rsidP="00FB4ABA">
      <w:pPr>
        <w:rPr>
          <w:sz w:val="20"/>
        </w:rPr>
      </w:pPr>
      <w:r w:rsidRPr="006504C6">
        <w:rPr>
          <w:rFonts w:ascii="Times New Roman" w:hAnsi="Times New Roman"/>
          <w:sz w:val="20"/>
          <w:szCs w:val="20"/>
          <w:lang w:val="mk-MK"/>
        </w:rPr>
        <w:t>Извор</w:t>
      </w:r>
      <w:r w:rsidRPr="006504C6">
        <w:rPr>
          <w:rFonts w:ascii="Times New Roman" w:hAnsi="Times New Roman"/>
          <w:sz w:val="20"/>
          <w:szCs w:val="20"/>
        </w:rPr>
        <w:t xml:space="preserve">: </w:t>
      </w:r>
      <w:r w:rsidRPr="006504C6">
        <w:rPr>
          <w:rFonts w:ascii="Times New Roman" w:hAnsi="Times New Roman"/>
          <w:sz w:val="20"/>
          <w:szCs w:val="20"/>
          <w:lang w:val="mk-MK"/>
        </w:rPr>
        <w:t>Податоците за банкарскиот сектор се од НБРСМ</w:t>
      </w:r>
    </w:p>
    <w:p w14:paraId="2FAF6F5B" w14:textId="77777777" w:rsidR="00FB4ABA" w:rsidRPr="00372BD2" w:rsidRDefault="00FB4ABA" w:rsidP="00372BD2">
      <w:pPr>
        <w:jc w:val="both"/>
        <w:rPr>
          <w:lang w:val="mk-MK"/>
        </w:rPr>
      </w:pPr>
      <w:r w:rsidRPr="00F54E29">
        <w:rPr>
          <w:rFonts w:ascii="Times New Roman" w:hAnsi="Times New Roman"/>
          <w:sz w:val="24"/>
          <w:szCs w:val="24"/>
          <w:lang w:val="mk-MK"/>
        </w:rPr>
        <w:t>Стопанска Банка АД Скопје поседува 1</w:t>
      </w:r>
      <w:r>
        <w:rPr>
          <w:rFonts w:ascii="Times New Roman" w:hAnsi="Times New Roman"/>
          <w:sz w:val="24"/>
          <w:szCs w:val="24"/>
        </w:rPr>
        <w:t>8</w:t>
      </w:r>
      <w:r w:rsidRPr="00F54E29">
        <w:rPr>
          <w:rFonts w:ascii="Times New Roman" w:hAnsi="Times New Roman"/>
          <w:sz w:val="24"/>
          <w:szCs w:val="24"/>
          <w:lang w:val="mk-MK"/>
        </w:rPr>
        <w:t xml:space="preserve">% од вкупната актива на банкарскиот сектор и </w:t>
      </w:r>
      <w:r>
        <w:rPr>
          <w:rFonts w:ascii="Times New Roman" w:hAnsi="Times New Roman"/>
          <w:sz w:val="24"/>
          <w:szCs w:val="24"/>
          <w:lang w:val="mk-MK"/>
        </w:rPr>
        <w:t xml:space="preserve">приближно </w:t>
      </w:r>
      <w:r w:rsidRPr="00F54E29">
        <w:rPr>
          <w:rFonts w:ascii="Times New Roman" w:hAnsi="Times New Roman"/>
          <w:sz w:val="24"/>
          <w:szCs w:val="24"/>
          <w:lang w:val="mk-MK"/>
        </w:rPr>
        <w:t>1/5 од депозитите и кредитите. Во 202</w:t>
      </w:r>
      <w:r>
        <w:rPr>
          <w:rFonts w:ascii="Times New Roman" w:hAnsi="Times New Roman"/>
          <w:sz w:val="24"/>
          <w:szCs w:val="24"/>
          <w:lang w:val="mk-MK"/>
        </w:rPr>
        <w:t>2</w:t>
      </w:r>
      <w:r w:rsidRPr="00F54E29">
        <w:rPr>
          <w:rFonts w:ascii="Times New Roman" w:hAnsi="Times New Roman"/>
          <w:sz w:val="24"/>
          <w:szCs w:val="24"/>
          <w:lang w:val="mk-MK"/>
        </w:rPr>
        <w:t xml:space="preserve"> година</w:t>
      </w:r>
      <w:r>
        <w:rPr>
          <w:rFonts w:ascii="Times New Roman" w:hAnsi="Times New Roman"/>
          <w:sz w:val="24"/>
          <w:szCs w:val="24"/>
          <w:lang w:val="mk-MK"/>
        </w:rPr>
        <w:t>,</w:t>
      </w:r>
      <w:r w:rsidRPr="00F54E29">
        <w:rPr>
          <w:rFonts w:ascii="Times New Roman" w:hAnsi="Times New Roman"/>
          <w:sz w:val="24"/>
          <w:szCs w:val="24"/>
          <w:lang w:val="mk-MK"/>
        </w:rPr>
        <w:t xml:space="preserve"> реализираната стапка на раст на</w:t>
      </w:r>
      <w:r>
        <w:rPr>
          <w:rFonts w:ascii="Times New Roman" w:hAnsi="Times New Roman"/>
          <w:sz w:val="24"/>
          <w:szCs w:val="24"/>
          <w:lang w:val="mk-MK"/>
        </w:rPr>
        <w:t xml:space="preserve"> бруто</w:t>
      </w:r>
      <w:r w:rsidRPr="00F54E29">
        <w:rPr>
          <w:rFonts w:ascii="Times New Roman" w:hAnsi="Times New Roman"/>
          <w:sz w:val="24"/>
          <w:szCs w:val="24"/>
          <w:lang w:val="mk-MK"/>
        </w:rPr>
        <w:t xml:space="preserve"> кредитите беше </w:t>
      </w:r>
      <w:r w:rsidRPr="001C5B17">
        <w:rPr>
          <w:rFonts w:ascii="Times New Roman" w:hAnsi="Times New Roman"/>
          <w:sz w:val="24"/>
          <w:szCs w:val="24"/>
          <w:lang w:val="mk-MK"/>
        </w:rPr>
        <w:t>10</w:t>
      </w:r>
      <w:r w:rsidRPr="00F54E29">
        <w:rPr>
          <w:rFonts w:ascii="Times New Roman" w:hAnsi="Times New Roman"/>
          <w:sz w:val="24"/>
          <w:szCs w:val="24"/>
          <w:lang w:val="mk-MK"/>
        </w:rPr>
        <w:t>,</w:t>
      </w:r>
      <w:r>
        <w:rPr>
          <w:rFonts w:ascii="Times New Roman" w:hAnsi="Times New Roman"/>
          <w:sz w:val="24"/>
          <w:szCs w:val="24"/>
          <w:lang w:val="mk-MK"/>
        </w:rPr>
        <w:t>7% и 5</w:t>
      </w:r>
      <w:r w:rsidRPr="00F54E29">
        <w:rPr>
          <w:rFonts w:ascii="Times New Roman" w:hAnsi="Times New Roman"/>
          <w:sz w:val="24"/>
          <w:szCs w:val="24"/>
          <w:lang w:val="mk-MK"/>
        </w:rPr>
        <w:t>,</w:t>
      </w:r>
      <w:r>
        <w:rPr>
          <w:rFonts w:ascii="Times New Roman" w:hAnsi="Times New Roman"/>
          <w:sz w:val="24"/>
          <w:szCs w:val="24"/>
          <w:lang w:val="mk-MK"/>
        </w:rPr>
        <w:t>5</w:t>
      </w:r>
      <w:r w:rsidRPr="00F54E29">
        <w:rPr>
          <w:rFonts w:ascii="Times New Roman" w:hAnsi="Times New Roman"/>
          <w:sz w:val="24"/>
          <w:szCs w:val="24"/>
          <w:lang w:val="mk-MK"/>
        </w:rPr>
        <w:t xml:space="preserve">% на депозитите. </w:t>
      </w:r>
      <w:r w:rsidRPr="006504C6">
        <w:rPr>
          <w:rFonts w:ascii="Times New Roman" w:hAnsi="Times New Roman"/>
          <w:sz w:val="24"/>
          <w:szCs w:val="24"/>
          <w:lang w:val="mk-MK"/>
        </w:rPr>
        <w:t xml:space="preserve">Во </w:t>
      </w:r>
      <w:r>
        <w:rPr>
          <w:rFonts w:ascii="Times New Roman" w:hAnsi="Times New Roman"/>
          <w:sz w:val="24"/>
          <w:szCs w:val="24"/>
          <w:lang w:val="mk-MK"/>
        </w:rPr>
        <w:t>анализираниот период</w:t>
      </w:r>
      <w:r w:rsidRPr="006504C6">
        <w:rPr>
          <w:rFonts w:ascii="Times New Roman" w:hAnsi="Times New Roman"/>
          <w:sz w:val="24"/>
          <w:szCs w:val="24"/>
          <w:lang w:val="mk-MK"/>
        </w:rPr>
        <w:t>, перформансите на Банката беа во многу аспекти подобри во споредба со вкупниот банкарски сектор како што е прикажано погоре. Имено, повратот на средства беше 2,</w:t>
      </w:r>
      <w:r>
        <w:rPr>
          <w:rFonts w:ascii="Times New Roman" w:hAnsi="Times New Roman"/>
          <w:sz w:val="24"/>
          <w:szCs w:val="24"/>
          <w:lang w:val="mk-MK"/>
        </w:rPr>
        <w:t>0</w:t>
      </w:r>
      <w:r w:rsidRPr="006504C6">
        <w:rPr>
          <w:rFonts w:ascii="Times New Roman" w:hAnsi="Times New Roman"/>
          <w:sz w:val="24"/>
          <w:szCs w:val="24"/>
          <w:lang w:val="mk-MK"/>
        </w:rPr>
        <w:t>% наспроти 1,5%, нето каматната маргина 4,</w:t>
      </w:r>
      <w:r w:rsidRPr="001C5B17">
        <w:rPr>
          <w:rFonts w:ascii="Times New Roman" w:hAnsi="Times New Roman"/>
          <w:sz w:val="24"/>
          <w:szCs w:val="24"/>
          <w:lang w:val="mk-MK"/>
        </w:rPr>
        <w:t>1</w:t>
      </w:r>
      <w:r w:rsidRPr="006504C6">
        <w:rPr>
          <w:rFonts w:ascii="Times New Roman" w:hAnsi="Times New Roman"/>
          <w:sz w:val="24"/>
          <w:szCs w:val="24"/>
          <w:lang w:val="mk-MK"/>
        </w:rPr>
        <w:t>% наспроти 2,</w:t>
      </w:r>
      <w:r w:rsidRPr="001C5B17">
        <w:rPr>
          <w:rFonts w:ascii="Times New Roman" w:hAnsi="Times New Roman"/>
          <w:sz w:val="24"/>
          <w:szCs w:val="24"/>
          <w:lang w:val="mk-MK"/>
        </w:rPr>
        <w:t>7</w:t>
      </w:r>
      <w:r w:rsidRPr="006504C6">
        <w:rPr>
          <w:rFonts w:ascii="Times New Roman" w:hAnsi="Times New Roman"/>
          <w:sz w:val="24"/>
          <w:szCs w:val="24"/>
          <w:lang w:val="mk-MK"/>
        </w:rPr>
        <w:t>% и коефициентот трошоци/приходи далеку под бан</w:t>
      </w:r>
      <w:r>
        <w:rPr>
          <w:rFonts w:ascii="Times New Roman" w:hAnsi="Times New Roman"/>
          <w:sz w:val="24"/>
          <w:szCs w:val="24"/>
          <w:lang w:val="mk-MK"/>
        </w:rPr>
        <w:t>карскиот сектор со извонредни 33</w:t>
      </w:r>
      <w:r w:rsidRPr="001C5B17">
        <w:rPr>
          <w:rFonts w:ascii="Times New Roman" w:hAnsi="Times New Roman"/>
          <w:sz w:val="24"/>
          <w:szCs w:val="24"/>
          <w:lang w:val="mk-MK"/>
        </w:rPr>
        <w:t>,</w:t>
      </w:r>
      <w:r>
        <w:rPr>
          <w:rFonts w:ascii="Times New Roman" w:hAnsi="Times New Roman"/>
          <w:sz w:val="24"/>
          <w:szCs w:val="24"/>
          <w:lang w:val="mk-MK"/>
        </w:rPr>
        <w:t>8</w:t>
      </w:r>
      <w:r w:rsidRPr="006504C6">
        <w:rPr>
          <w:rFonts w:ascii="Times New Roman" w:hAnsi="Times New Roman"/>
          <w:sz w:val="24"/>
          <w:szCs w:val="24"/>
          <w:lang w:val="mk-MK"/>
        </w:rPr>
        <w:t>% наспроти 4</w:t>
      </w:r>
      <w:r w:rsidRPr="001C5B17">
        <w:rPr>
          <w:rFonts w:ascii="Times New Roman" w:hAnsi="Times New Roman"/>
          <w:sz w:val="24"/>
          <w:szCs w:val="24"/>
          <w:lang w:val="mk-MK"/>
        </w:rPr>
        <w:t>7</w:t>
      </w:r>
      <w:r w:rsidRPr="006504C6">
        <w:rPr>
          <w:rFonts w:ascii="Times New Roman" w:hAnsi="Times New Roman"/>
          <w:sz w:val="24"/>
          <w:szCs w:val="24"/>
          <w:lang w:val="mk-MK"/>
        </w:rPr>
        <w:t>,</w:t>
      </w:r>
      <w:r w:rsidRPr="001C5B17">
        <w:rPr>
          <w:rFonts w:ascii="Times New Roman" w:hAnsi="Times New Roman"/>
          <w:sz w:val="24"/>
          <w:szCs w:val="24"/>
          <w:lang w:val="mk-MK"/>
        </w:rPr>
        <w:t>8</w:t>
      </w:r>
      <w:r w:rsidRPr="006504C6">
        <w:rPr>
          <w:rFonts w:ascii="Times New Roman" w:hAnsi="Times New Roman"/>
          <w:sz w:val="24"/>
          <w:szCs w:val="24"/>
          <w:lang w:val="mk-MK"/>
        </w:rPr>
        <w:t>%. Стапката на ад</w:t>
      </w:r>
      <w:r>
        <w:rPr>
          <w:rFonts w:ascii="Times New Roman" w:hAnsi="Times New Roman"/>
          <w:sz w:val="24"/>
          <w:szCs w:val="24"/>
          <w:lang w:val="mk-MK"/>
        </w:rPr>
        <w:t>екватност на капиталот беше 16,6</w:t>
      </w:r>
      <w:r w:rsidRPr="006504C6">
        <w:rPr>
          <w:rFonts w:ascii="Times New Roman" w:hAnsi="Times New Roman"/>
          <w:sz w:val="24"/>
          <w:szCs w:val="24"/>
          <w:lang w:val="mk-MK"/>
        </w:rPr>
        <w:t>%.</w:t>
      </w:r>
    </w:p>
    <w:p w14:paraId="784FD4C4" w14:textId="77777777" w:rsidR="0003797B" w:rsidRPr="001C5B17" w:rsidRDefault="0003797B" w:rsidP="006D56D8">
      <w:pPr>
        <w:spacing w:after="120"/>
        <w:jc w:val="both"/>
        <w:rPr>
          <w:rFonts w:ascii="Times New Roman" w:hAnsi="Times New Roman"/>
          <w:b/>
          <w:sz w:val="28"/>
          <w:szCs w:val="28"/>
          <w:lang w:val="mk-MK"/>
        </w:rPr>
      </w:pPr>
    </w:p>
    <w:p w14:paraId="29A253D2" w14:textId="77777777" w:rsidR="006D56D8" w:rsidRPr="00A75476" w:rsidRDefault="00E86AEB" w:rsidP="00A75476">
      <w:pPr>
        <w:pStyle w:val="Heading1"/>
        <w:rPr>
          <w:b/>
          <w:sz w:val="28"/>
          <w:lang w:val="mk-MK"/>
        </w:rPr>
      </w:pPr>
      <w:bookmarkStart w:id="23" w:name="_Toc132974473"/>
      <w:bookmarkStart w:id="24" w:name="_Toc132978833"/>
      <w:r w:rsidRPr="00A75476">
        <w:rPr>
          <w:b/>
          <w:sz w:val="28"/>
          <w:lang w:val="mk-MK"/>
        </w:rPr>
        <w:t>Финансиско работење</w:t>
      </w:r>
      <w:bookmarkEnd w:id="23"/>
      <w:bookmarkEnd w:id="24"/>
    </w:p>
    <w:p w14:paraId="5376796D" w14:textId="77777777" w:rsidR="006D56D8" w:rsidRPr="001C5B17" w:rsidRDefault="00E86AEB" w:rsidP="006D56D8">
      <w:pPr>
        <w:spacing w:before="240"/>
        <w:jc w:val="both"/>
        <w:rPr>
          <w:rFonts w:ascii="Times New Roman" w:eastAsia="Times New Roman" w:hAnsi="Times New Roman"/>
          <w:sz w:val="24"/>
          <w:szCs w:val="24"/>
          <w:lang w:val="mk-MK"/>
        </w:rPr>
      </w:pPr>
      <w:r>
        <w:rPr>
          <w:rFonts w:ascii="Times New Roman" w:eastAsia="Times New Roman" w:hAnsi="Times New Roman"/>
          <w:sz w:val="24"/>
          <w:szCs w:val="24"/>
          <w:lang w:val="mk-MK"/>
        </w:rPr>
        <w:t>Најважните аспекти од финансиското работење на Банката се посочени подолу</w:t>
      </w:r>
      <w:r w:rsidRPr="001C5B17">
        <w:rPr>
          <w:rFonts w:ascii="Times New Roman" w:eastAsia="Times New Roman" w:hAnsi="Times New Roman"/>
          <w:sz w:val="24"/>
          <w:szCs w:val="24"/>
          <w:lang w:val="mk-MK"/>
        </w:rPr>
        <w:t>:</w:t>
      </w:r>
    </w:p>
    <w:p w14:paraId="031D3826" w14:textId="77777777" w:rsidR="006D56D8" w:rsidRPr="00A75476" w:rsidRDefault="00E86AEB" w:rsidP="00A75476">
      <w:pPr>
        <w:pStyle w:val="Heading2"/>
        <w:rPr>
          <w:i/>
          <w:lang w:val="mk-MK"/>
        </w:rPr>
      </w:pPr>
      <w:bookmarkStart w:id="25" w:name="_Toc132974474"/>
      <w:bookmarkStart w:id="26" w:name="_Toc132978834"/>
      <w:r w:rsidRPr="00A75476">
        <w:rPr>
          <w:i/>
          <w:lang w:val="mk-MK"/>
        </w:rPr>
        <w:t>Приходи од камати</w:t>
      </w:r>
      <w:bookmarkEnd w:id="25"/>
      <w:bookmarkEnd w:id="26"/>
    </w:p>
    <w:p w14:paraId="12FFAC5A" w14:textId="77777777" w:rsidR="00475815" w:rsidRPr="001C5B17" w:rsidRDefault="00E86AEB" w:rsidP="00475815">
      <w:pPr>
        <w:spacing w:before="240" w:after="0"/>
        <w:jc w:val="both"/>
        <w:rPr>
          <w:rFonts w:ascii="Times New Roman" w:eastAsia="Times New Roman" w:hAnsi="Times New Roman"/>
          <w:sz w:val="24"/>
          <w:szCs w:val="24"/>
          <w:lang w:val="mk-MK"/>
        </w:rPr>
      </w:pPr>
      <w:r>
        <w:rPr>
          <w:rFonts w:ascii="Times New Roman" w:eastAsia="Times New Roman" w:hAnsi="Times New Roman"/>
          <w:sz w:val="24"/>
          <w:szCs w:val="24"/>
          <w:lang w:val="mk-MK"/>
        </w:rPr>
        <w:t>Во текот на 202</w:t>
      </w:r>
      <w:r w:rsidR="00FB4ABA">
        <w:rPr>
          <w:rFonts w:ascii="Times New Roman" w:eastAsia="Times New Roman" w:hAnsi="Times New Roman"/>
          <w:sz w:val="24"/>
          <w:szCs w:val="24"/>
          <w:lang w:val="mk-MK"/>
        </w:rPr>
        <w:t>2</w:t>
      </w:r>
      <w:r>
        <w:rPr>
          <w:rFonts w:ascii="Times New Roman" w:eastAsia="Times New Roman" w:hAnsi="Times New Roman"/>
          <w:sz w:val="24"/>
          <w:szCs w:val="24"/>
          <w:lang w:val="mk-MK"/>
        </w:rPr>
        <w:t xml:space="preserve"> година</w:t>
      </w:r>
      <w:r w:rsidR="00FB4ABA">
        <w:rPr>
          <w:rFonts w:ascii="Times New Roman" w:eastAsia="Times New Roman" w:hAnsi="Times New Roman"/>
          <w:sz w:val="24"/>
          <w:szCs w:val="24"/>
          <w:lang w:val="mk-MK"/>
        </w:rPr>
        <w:t>,</w:t>
      </w:r>
      <w:r>
        <w:rPr>
          <w:rFonts w:ascii="Times New Roman" w:eastAsia="Times New Roman" w:hAnsi="Times New Roman"/>
          <w:sz w:val="24"/>
          <w:szCs w:val="24"/>
          <w:lang w:val="mk-MK"/>
        </w:rPr>
        <w:t xml:space="preserve"> приходите од камати на кредити на население изнесуваа </w:t>
      </w:r>
      <w:r w:rsidR="00FB4ABA">
        <w:rPr>
          <w:rFonts w:ascii="Times New Roman" w:eastAsia="Times New Roman" w:hAnsi="Times New Roman"/>
          <w:sz w:val="24"/>
          <w:szCs w:val="24"/>
          <w:lang w:val="mk-MK"/>
        </w:rPr>
        <w:t>50,2</w:t>
      </w:r>
      <w:r>
        <w:rPr>
          <w:rFonts w:ascii="Times New Roman" w:eastAsia="Times New Roman" w:hAnsi="Times New Roman"/>
          <w:sz w:val="24"/>
          <w:szCs w:val="24"/>
          <w:lang w:val="mk-MK"/>
        </w:rPr>
        <w:t xml:space="preserve"> милиони евра, со што имаа најголемо учество во вкупните приходи од камати од </w:t>
      </w:r>
      <w:r w:rsidR="00FB4ABA">
        <w:rPr>
          <w:rFonts w:ascii="Times New Roman" w:eastAsia="Times New Roman" w:hAnsi="Times New Roman"/>
          <w:sz w:val="24"/>
          <w:szCs w:val="24"/>
          <w:lang w:val="mk-MK"/>
        </w:rPr>
        <w:t>69,8</w:t>
      </w:r>
      <w:r>
        <w:rPr>
          <w:rFonts w:ascii="Times New Roman" w:eastAsia="Times New Roman" w:hAnsi="Times New Roman"/>
          <w:sz w:val="24"/>
          <w:szCs w:val="24"/>
          <w:lang w:val="mk-MK"/>
        </w:rPr>
        <w:t xml:space="preserve">%. Во исто време, каматните приходи од корпоративни и други активности (инвестиции во хартии од вредност, меѓубанкарски пласмани и др.) изнесуваа </w:t>
      </w:r>
      <w:r w:rsidR="00FB4ABA">
        <w:rPr>
          <w:rFonts w:ascii="Times New Roman" w:eastAsia="Times New Roman" w:hAnsi="Times New Roman"/>
          <w:sz w:val="24"/>
          <w:szCs w:val="24"/>
          <w:lang w:val="mk-MK"/>
        </w:rPr>
        <w:t>21,8</w:t>
      </w:r>
      <w:r>
        <w:rPr>
          <w:rFonts w:ascii="Times New Roman" w:eastAsia="Times New Roman" w:hAnsi="Times New Roman"/>
          <w:sz w:val="24"/>
          <w:szCs w:val="24"/>
          <w:lang w:val="mk-MK"/>
        </w:rPr>
        <w:t xml:space="preserve"> милиони евра, односно беа повисоки за </w:t>
      </w:r>
      <w:r w:rsidR="00FB4ABA">
        <w:rPr>
          <w:rFonts w:ascii="Times New Roman" w:eastAsia="Times New Roman" w:hAnsi="Times New Roman"/>
          <w:sz w:val="24"/>
          <w:szCs w:val="24"/>
          <w:lang w:val="mk-MK"/>
        </w:rPr>
        <w:t>20,4</w:t>
      </w:r>
      <w:r>
        <w:rPr>
          <w:rFonts w:ascii="Times New Roman" w:eastAsia="Times New Roman" w:hAnsi="Times New Roman"/>
          <w:sz w:val="24"/>
          <w:szCs w:val="24"/>
          <w:lang w:val="mk-MK"/>
        </w:rPr>
        <w:t xml:space="preserve">% споредено со претходната година. Во услови на </w:t>
      </w:r>
      <w:r w:rsidR="00FB4ABA">
        <w:rPr>
          <w:rFonts w:ascii="Times New Roman" w:eastAsia="Times New Roman" w:hAnsi="Times New Roman"/>
          <w:sz w:val="24"/>
          <w:szCs w:val="24"/>
          <w:lang w:val="mk-MK"/>
        </w:rPr>
        <w:t xml:space="preserve">висока и брзорастечка инфлација и затегнување на монетарната политика од страна на Народната </w:t>
      </w:r>
      <w:r w:rsidR="00FB4ABA">
        <w:rPr>
          <w:rFonts w:ascii="Times New Roman" w:eastAsia="Times New Roman" w:hAnsi="Times New Roman"/>
          <w:sz w:val="24"/>
          <w:szCs w:val="24"/>
          <w:lang w:val="mk-MK"/>
        </w:rPr>
        <w:lastRenderedPageBreak/>
        <w:t>банка, која се фокусира на зголемување</w:t>
      </w:r>
      <w:r>
        <w:rPr>
          <w:rFonts w:ascii="Times New Roman" w:eastAsia="Times New Roman" w:hAnsi="Times New Roman"/>
          <w:sz w:val="24"/>
          <w:szCs w:val="24"/>
          <w:lang w:val="mk-MK"/>
        </w:rPr>
        <w:t xml:space="preserve"> на каматните стапки, вкупните приходи од камати изнесуваа </w:t>
      </w:r>
      <w:r w:rsidR="00FB4ABA">
        <w:rPr>
          <w:rFonts w:ascii="Times New Roman" w:eastAsia="Times New Roman" w:hAnsi="Times New Roman"/>
          <w:sz w:val="24"/>
          <w:szCs w:val="24"/>
          <w:lang w:val="mk-MK"/>
        </w:rPr>
        <w:t>71,9</w:t>
      </w:r>
      <w:r>
        <w:rPr>
          <w:rFonts w:ascii="Times New Roman" w:eastAsia="Times New Roman" w:hAnsi="Times New Roman"/>
          <w:sz w:val="24"/>
          <w:szCs w:val="24"/>
          <w:lang w:val="mk-MK"/>
        </w:rPr>
        <w:t xml:space="preserve"> милиони евра.</w:t>
      </w:r>
    </w:p>
    <w:p w14:paraId="7583A20E" w14:textId="77777777" w:rsidR="00475815" w:rsidRPr="001C5B17" w:rsidRDefault="00475815" w:rsidP="00475815">
      <w:pPr>
        <w:spacing w:before="240" w:after="0"/>
        <w:jc w:val="both"/>
        <w:rPr>
          <w:rFonts w:ascii="Times New Roman" w:eastAsia="Times New Roman" w:hAnsi="Times New Roman"/>
          <w:sz w:val="24"/>
          <w:szCs w:val="24"/>
          <w:lang w:val="mk-MK"/>
        </w:rPr>
      </w:pPr>
    </w:p>
    <w:tbl>
      <w:tblPr>
        <w:tblW w:w="7624" w:type="dxa"/>
        <w:tblLook w:val="04A0" w:firstRow="1" w:lastRow="0" w:firstColumn="1" w:lastColumn="0" w:noHBand="0" w:noVBand="1"/>
      </w:tblPr>
      <w:tblGrid>
        <w:gridCol w:w="3776"/>
        <w:gridCol w:w="1276"/>
        <w:gridCol w:w="1185"/>
        <w:gridCol w:w="1387"/>
      </w:tblGrid>
      <w:tr w:rsidR="00475815" w:rsidRPr="00FD3A1F" w14:paraId="582E07DF" w14:textId="77777777" w:rsidTr="00E86AEB">
        <w:trPr>
          <w:trHeight w:val="300"/>
        </w:trPr>
        <w:tc>
          <w:tcPr>
            <w:tcW w:w="3776" w:type="dxa"/>
            <w:tcBorders>
              <w:top w:val="nil"/>
              <w:left w:val="nil"/>
              <w:bottom w:val="nil"/>
              <w:right w:val="nil"/>
            </w:tcBorders>
            <w:shd w:val="clear" w:color="auto" w:fill="auto"/>
            <w:noWrap/>
            <w:vAlign w:val="bottom"/>
            <w:hideMark/>
          </w:tcPr>
          <w:p w14:paraId="55ECEE1E" w14:textId="77777777" w:rsidR="00475815" w:rsidRPr="00E86AEB" w:rsidRDefault="00E86AEB" w:rsidP="00E738DC">
            <w:pPr>
              <w:spacing w:after="0" w:line="240" w:lineRule="auto"/>
              <w:rPr>
                <w:rFonts w:ascii="Times New Roman" w:eastAsia="Times New Roman" w:hAnsi="Times New Roman"/>
                <w:i/>
                <w:iCs/>
                <w:lang w:val="mk-MK"/>
              </w:rPr>
            </w:pPr>
            <w:r>
              <w:rPr>
                <w:rFonts w:ascii="Times New Roman" w:eastAsia="Times New Roman" w:hAnsi="Times New Roman"/>
                <w:i/>
                <w:iCs/>
                <w:lang w:val="mk-MK"/>
              </w:rPr>
              <w:t>Во милиони евра</w:t>
            </w:r>
          </w:p>
        </w:tc>
        <w:tc>
          <w:tcPr>
            <w:tcW w:w="1276" w:type="dxa"/>
            <w:tcBorders>
              <w:top w:val="nil"/>
              <w:left w:val="nil"/>
              <w:bottom w:val="nil"/>
              <w:right w:val="nil"/>
            </w:tcBorders>
            <w:shd w:val="clear" w:color="auto" w:fill="auto"/>
            <w:noWrap/>
            <w:vAlign w:val="bottom"/>
            <w:hideMark/>
          </w:tcPr>
          <w:p w14:paraId="7D77D8A0" w14:textId="77777777" w:rsidR="00475815" w:rsidRPr="00FD3A1F" w:rsidRDefault="00475815" w:rsidP="00E738DC">
            <w:pPr>
              <w:spacing w:after="0" w:line="240" w:lineRule="auto"/>
              <w:rPr>
                <w:rFonts w:ascii="Times New Roman" w:eastAsia="Times New Roman" w:hAnsi="Times New Roman"/>
                <w:i/>
                <w:iCs/>
              </w:rPr>
            </w:pPr>
          </w:p>
        </w:tc>
        <w:tc>
          <w:tcPr>
            <w:tcW w:w="1185" w:type="dxa"/>
            <w:tcBorders>
              <w:top w:val="nil"/>
              <w:left w:val="nil"/>
              <w:bottom w:val="nil"/>
              <w:right w:val="nil"/>
            </w:tcBorders>
            <w:shd w:val="clear" w:color="auto" w:fill="auto"/>
            <w:noWrap/>
            <w:vAlign w:val="bottom"/>
            <w:hideMark/>
          </w:tcPr>
          <w:p w14:paraId="79BE6942" w14:textId="77777777" w:rsidR="00475815" w:rsidRPr="00FD3A1F" w:rsidRDefault="00475815" w:rsidP="00E738DC">
            <w:pPr>
              <w:spacing w:after="0" w:line="240" w:lineRule="auto"/>
              <w:rPr>
                <w:rFonts w:ascii="Times New Roman" w:eastAsia="Times New Roman" w:hAnsi="Times New Roman"/>
              </w:rPr>
            </w:pPr>
          </w:p>
        </w:tc>
        <w:tc>
          <w:tcPr>
            <w:tcW w:w="1387" w:type="dxa"/>
            <w:tcBorders>
              <w:top w:val="nil"/>
              <w:left w:val="nil"/>
              <w:bottom w:val="nil"/>
              <w:right w:val="nil"/>
            </w:tcBorders>
            <w:shd w:val="clear" w:color="auto" w:fill="auto"/>
            <w:noWrap/>
            <w:vAlign w:val="bottom"/>
            <w:hideMark/>
          </w:tcPr>
          <w:p w14:paraId="18D901FD" w14:textId="77777777" w:rsidR="00475815" w:rsidRPr="00FD3A1F" w:rsidRDefault="00475815" w:rsidP="00E738DC">
            <w:pPr>
              <w:spacing w:after="0" w:line="240" w:lineRule="auto"/>
              <w:rPr>
                <w:rFonts w:ascii="Times New Roman" w:eastAsia="Times New Roman" w:hAnsi="Times New Roman"/>
              </w:rPr>
            </w:pPr>
          </w:p>
        </w:tc>
      </w:tr>
      <w:tr w:rsidR="00475815" w:rsidRPr="00FD3A1F" w14:paraId="6C44EBB4" w14:textId="77777777" w:rsidTr="00E86AEB">
        <w:trPr>
          <w:trHeight w:val="405"/>
        </w:trPr>
        <w:tc>
          <w:tcPr>
            <w:tcW w:w="3776" w:type="dxa"/>
            <w:tcBorders>
              <w:top w:val="single" w:sz="4" w:space="0" w:color="auto"/>
              <w:left w:val="nil"/>
              <w:bottom w:val="single" w:sz="4" w:space="0" w:color="auto"/>
              <w:right w:val="nil"/>
            </w:tcBorders>
            <w:shd w:val="clear" w:color="auto" w:fill="auto"/>
            <w:noWrap/>
            <w:vAlign w:val="bottom"/>
            <w:hideMark/>
          </w:tcPr>
          <w:p w14:paraId="78F0E25B" w14:textId="77777777" w:rsidR="00475815" w:rsidRPr="00FD3A1F" w:rsidRDefault="00475815" w:rsidP="00E738DC">
            <w:pPr>
              <w:spacing w:after="0" w:line="240" w:lineRule="auto"/>
              <w:rPr>
                <w:rFonts w:ascii="Times New Roman" w:eastAsia="Times New Roman" w:hAnsi="Times New Roman"/>
              </w:rPr>
            </w:pPr>
            <w:r w:rsidRPr="00FD3A1F">
              <w:rPr>
                <w:rFonts w:ascii="Times New Roman" w:eastAsia="Times New Roman" w:hAnsi="Times New Roman"/>
              </w:rPr>
              <w:t> </w:t>
            </w:r>
          </w:p>
        </w:tc>
        <w:tc>
          <w:tcPr>
            <w:tcW w:w="1276" w:type="dxa"/>
            <w:tcBorders>
              <w:top w:val="single" w:sz="4" w:space="0" w:color="auto"/>
              <w:left w:val="nil"/>
              <w:bottom w:val="single" w:sz="4" w:space="0" w:color="auto"/>
              <w:right w:val="nil"/>
            </w:tcBorders>
            <w:shd w:val="clear" w:color="auto" w:fill="auto"/>
            <w:noWrap/>
            <w:vAlign w:val="bottom"/>
            <w:hideMark/>
          </w:tcPr>
          <w:p w14:paraId="4C28AFEC" w14:textId="77777777" w:rsidR="00475815" w:rsidRPr="00FD3A1F" w:rsidRDefault="00475815" w:rsidP="00E738DC">
            <w:pPr>
              <w:spacing w:after="0" w:line="240" w:lineRule="auto"/>
              <w:jc w:val="right"/>
              <w:rPr>
                <w:rFonts w:ascii="Times New Roman" w:eastAsia="Times New Roman" w:hAnsi="Times New Roman"/>
                <w:b/>
                <w:bCs/>
              </w:rPr>
            </w:pPr>
            <w:r>
              <w:rPr>
                <w:rFonts w:ascii="Times New Roman" w:eastAsia="Times New Roman" w:hAnsi="Times New Roman"/>
                <w:b/>
                <w:bCs/>
              </w:rPr>
              <w:t>202</w:t>
            </w:r>
            <w:r w:rsidR="00FB4ABA">
              <w:rPr>
                <w:rFonts w:ascii="Times New Roman" w:eastAsia="Times New Roman" w:hAnsi="Times New Roman"/>
                <w:b/>
                <w:bCs/>
                <w:lang w:val="mk-MK"/>
              </w:rPr>
              <w:t>1</w:t>
            </w:r>
          </w:p>
        </w:tc>
        <w:tc>
          <w:tcPr>
            <w:tcW w:w="1185" w:type="dxa"/>
            <w:tcBorders>
              <w:top w:val="single" w:sz="4" w:space="0" w:color="auto"/>
              <w:left w:val="nil"/>
              <w:bottom w:val="single" w:sz="4" w:space="0" w:color="auto"/>
              <w:right w:val="nil"/>
            </w:tcBorders>
            <w:shd w:val="clear" w:color="auto" w:fill="auto"/>
            <w:noWrap/>
            <w:vAlign w:val="bottom"/>
            <w:hideMark/>
          </w:tcPr>
          <w:p w14:paraId="4FF1DC1B" w14:textId="77777777" w:rsidR="00475815" w:rsidRPr="00FD3A1F" w:rsidRDefault="00475815" w:rsidP="00E738DC">
            <w:pPr>
              <w:spacing w:after="0" w:line="240" w:lineRule="auto"/>
              <w:jc w:val="right"/>
              <w:rPr>
                <w:rFonts w:ascii="Times New Roman" w:eastAsia="Times New Roman" w:hAnsi="Times New Roman"/>
                <w:b/>
                <w:bCs/>
              </w:rPr>
            </w:pPr>
            <w:r>
              <w:rPr>
                <w:rFonts w:ascii="Times New Roman" w:eastAsia="Times New Roman" w:hAnsi="Times New Roman"/>
                <w:b/>
                <w:bCs/>
              </w:rPr>
              <w:t>202</w:t>
            </w:r>
            <w:r w:rsidR="00FB4ABA">
              <w:rPr>
                <w:rFonts w:ascii="Times New Roman" w:eastAsia="Times New Roman" w:hAnsi="Times New Roman"/>
                <w:b/>
                <w:bCs/>
                <w:lang w:val="mk-MK"/>
              </w:rPr>
              <w:t>2</w:t>
            </w:r>
          </w:p>
        </w:tc>
        <w:tc>
          <w:tcPr>
            <w:tcW w:w="1387" w:type="dxa"/>
            <w:tcBorders>
              <w:top w:val="single" w:sz="4" w:space="0" w:color="auto"/>
              <w:left w:val="nil"/>
              <w:bottom w:val="single" w:sz="4" w:space="0" w:color="auto"/>
              <w:right w:val="nil"/>
            </w:tcBorders>
            <w:shd w:val="clear" w:color="auto" w:fill="auto"/>
            <w:noWrap/>
            <w:vAlign w:val="bottom"/>
            <w:hideMark/>
          </w:tcPr>
          <w:p w14:paraId="0C95DCD1" w14:textId="77777777" w:rsidR="00475815" w:rsidRPr="00E86AEB" w:rsidRDefault="00475815" w:rsidP="00E86AEB">
            <w:pPr>
              <w:spacing w:after="0" w:line="240" w:lineRule="auto"/>
              <w:jc w:val="right"/>
              <w:rPr>
                <w:rFonts w:ascii="Times New Roman" w:eastAsia="Times New Roman" w:hAnsi="Times New Roman"/>
                <w:b/>
                <w:bCs/>
                <w:lang w:val="mk-MK"/>
              </w:rPr>
            </w:pPr>
            <w:r w:rsidRPr="00FD3A1F">
              <w:rPr>
                <w:rFonts w:ascii="Times New Roman" w:eastAsia="Times New Roman" w:hAnsi="Times New Roman"/>
                <w:b/>
                <w:bCs/>
              </w:rPr>
              <w:t xml:space="preserve">% </w:t>
            </w:r>
            <w:r w:rsidR="00E86AEB">
              <w:rPr>
                <w:rFonts w:ascii="Times New Roman" w:eastAsia="Times New Roman" w:hAnsi="Times New Roman"/>
                <w:b/>
                <w:bCs/>
                <w:lang w:val="mk-MK"/>
              </w:rPr>
              <w:t>промена</w:t>
            </w:r>
          </w:p>
        </w:tc>
      </w:tr>
      <w:tr w:rsidR="00FB4ABA" w:rsidRPr="00FD3A1F" w14:paraId="7DB5D8DF" w14:textId="77777777" w:rsidTr="00372BD2">
        <w:trPr>
          <w:trHeight w:val="300"/>
        </w:trPr>
        <w:tc>
          <w:tcPr>
            <w:tcW w:w="3776" w:type="dxa"/>
            <w:tcBorders>
              <w:top w:val="nil"/>
              <w:left w:val="nil"/>
              <w:bottom w:val="nil"/>
              <w:right w:val="nil"/>
            </w:tcBorders>
            <w:shd w:val="clear" w:color="auto" w:fill="auto"/>
            <w:noWrap/>
            <w:vAlign w:val="bottom"/>
            <w:hideMark/>
          </w:tcPr>
          <w:p w14:paraId="2B1357EC" w14:textId="77777777" w:rsidR="00FB4ABA" w:rsidRPr="00E86AEB" w:rsidRDefault="00FB4ABA" w:rsidP="00FB4ABA">
            <w:pPr>
              <w:spacing w:after="0" w:line="240" w:lineRule="auto"/>
              <w:rPr>
                <w:rFonts w:ascii="Times New Roman" w:eastAsia="Times New Roman" w:hAnsi="Times New Roman"/>
                <w:b/>
                <w:bCs/>
                <w:lang w:val="mk-MK"/>
              </w:rPr>
            </w:pPr>
            <w:r>
              <w:rPr>
                <w:rFonts w:ascii="Times New Roman" w:eastAsia="Times New Roman" w:hAnsi="Times New Roman"/>
                <w:b/>
                <w:bCs/>
                <w:lang w:val="mk-MK"/>
              </w:rPr>
              <w:t>Приходи од камати</w:t>
            </w:r>
          </w:p>
        </w:tc>
        <w:tc>
          <w:tcPr>
            <w:tcW w:w="1276" w:type="dxa"/>
            <w:tcBorders>
              <w:top w:val="nil"/>
              <w:left w:val="nil"/>
              <w:bottom w:val="nil"/>
              <w:right w:val="nil"/>
            </w:tcBorders>
            <w:shd w:val="clear" w:color="auto" w:fill="auto"/>
            <w:noWrap/>
            <w:hideMark/>
          </w:tcPr>
          <w:p w14:paraId="2020B235" w14:textId="77777777" w:rsidR="00FB4ABA" w:rsidRPr="00FB4ABA" w:rsidRDefault="00FB4ABA" w:rsidP="00FB4ABA">
            <w:pPr>
              <w:spacing w:after="0" w:line="240" w:lineRule="auto"/>
              <w:jc w:val="right"/>
              <w:rPr>
                <w:rFonts w:ascii="Times New Roman" w:eastAsia="Times New Roman" w:hAnsi="Times New Roman"/>
                <w:b/>
                <w:bCs/>
              </w:rPr>
            </w:pPr>
            <w:r w:rsidRPr="00372BD2">
              <w:rPr>
                <w:rFonts w:ascii="Times New Roman" w:hAnsi="Times New Roman"/>
              </w:rPr>
              <w:t>66.8</w:t>
            </w:r>
          </w:p>
        </w:tc>
        <w:tc>
          <w:tcPr>
            <w:tcW w:w="1185" w:type="dxa"/>
            <w:tcBorders>
              <w:top w:val="nil"/>
              <w:left w:val="nil"/>
              <w:bottom w:val="nil"/>
              <w:right w:val="nil"/>
            </w:tcBorders>
            <w:shd w:val="clear" w:color="auto" w:fill="auto"/>
            <w:noWrap/>
            <w:hideMark/>
          </w:tcPr>
          <w:p w14:paraId="21615AF2" w14:textId="77777777" w:rsidR="00FB4ABA" w:rsidRPr="00FB4ABA" w:rsidRDefault="00FB4ABA" w:rsidP="00FB4ABA">
            <w:pPr>
              <w:spacing w:after="0" w:line="240" w:lineRule="auto"/>
              <w:jc w:val="right"/>
              <w:rPr>
                <w:rFonts w:ascii="Times New Roman" w:eastAsia="Times New Roman" w:hAnsi="Times New Roman"/>
                <w:b/>
                <w:bCs/>
              </w:rPr>
            </w:pPr>
            <w:r w:rsidRPr="00372BD2">
              <w:rPr>
                <w:rFonts w:ascii="Times New Roman" w:hAnsi="Times New Roman"/>
              </w:rPr>
              <w:t>71.9</w:t>
            </w:r>
          </w:p>
        </w:tc>
        <w:tc>
          <w:tcPr>
            <w:tcW w:w="1387" w:type="dxa"/>
            <w:tcBorders>
              <w:top w:val="nil"/>
              <w:left w:val="nil"/>
              <w:bottom w:val="nil"/>
              <w:right w:val="nil"/>
            </w:tcBorders>
            <w:shd w:val="clear" w:color="auto" w:fill="auto"/>
            <w:noWrap/>
            <w:hideMark/>
          </w:tcPr>
          <w:p w14:paraId="2EEAB887" w14:textId="77777777" w:rsidR="00FB4ABA" w:rsidRPr="00FB4ABA" w:rsidRDefault="00FB4ABA" w:rsidP="00FB4ABA">
            <w:pPr>
              <w:spacing w:after="0" w:line="240" w:lineRule="auto"/>
              <w:jc w:val="right"/>
              <w:rPr>
                <w:rFonts w:ascii="Times New Roman" w:eastAsia="Times New Roman" w:hAnsi="Times New Roman"/>
                <w:b/>
                <w:bCs/>
              </w:rPr>
            </w:pPr>
            <w:r w:rsidRPr="00372BD2">
              <w:rPr>
                <w:rFonts w:ascii="Times New Roman" w:hAnsi="Times New Roman"/>
              </w:rPr>
              <w:t>7.6%</w:t>
            </w:r>
          </w:p>
        </w:tc>
      </w:tr>
      <w:tr w:rsidR="00FB4ABA" w:rsidRPr="00FD3A1F" w14:paraId="3D048228" w14:textId="77777777" w:rsidTr="00372BD2">
        <w:trPr>
          <w:trHeight w:val="300"/>
        </w:trPr>
        <w:tc>
          <w:tcPr>
            <w:tcW w:w="3776" w:type="dxa"/>
            <w:tcBorders>
              <w:top w:val="nil"/>
              <w:left w:val="nil"/>
              <w:bottom w:val="nil"/>
              <w:right w:val="nil"/>
            </w:tcBorders>
            <w:shd w:val="clear" w:color="auto" w:fill="auto"/>
            <w:noWrap/>
            <w:vAlign w:val="bottom"/>
            <w:hideMark/>
          </w:tcPr>
          <w:p w14:paraId="444DEE4E" w14:textId="77777777" w:rsidR="00FB4ABA" w:rsidRPr="00E86AEB" w:rsidRDefault="00FB4ABA" w:rsidP="00FB4ABA">
            <w:pPr>
              <w:spacing w:after="0" w:line="240" w:lineRule="auto"/>
              <w:rPr>
                <w:rFonts w:ascii="Times New Roman" w:eastAsia="Times New Roman" w:hAnsi="Times New Roman"/>
                <w:lang w:val="mk-MK"/>
              </w:rPr>
            </w:pPr>
            <w:r w:rsidRPr="00FD3A1F">
              <w:rPr>
                <w:rFonts w:ascii="Times New Roman" w:eastAsia="Times New Roman" w:hAnsi="Times New Roman"/>
              </w:rPr>
              <w:t xml:space="preserve">  </w:t>
            </w:r>
            <w:r>
              <w:rPr>
                <w:rFonts w:ascii="Times New Roman" w:eastAsia="Times New Roman" w:hAnsi="Times New Roman"/>
                <w:lang w:val="mk-MK"/>
              </w:rPr>
              <w:t>Кредити на физички лица</w:t>
            </w:r>
          </w:p>
        </w:tc>
        <w:tc>
          <w:tcPr>
            <w:tcW w:w="1276" w:type="dxa"/>
            <w:tcBorders>
              <w:top w:val="nil"/>
              <w:left w:val="nil"/>
              <w:bottom w:val="nil"/>
              <w:right w:val="nil"/>
            </w:tcBorders>
            <w:shd w:val="clear" w:color="auto" w:fill="auto"/>
            <w:noWrap/>
            <w:hideMark/>
          </w:tcPr>
          <w:p w14:paraId="7CBBF395" w14:textId="77777777" w:rsidR="00FB4ABA" w:rsidRPr="00FB4ABA" w:rsidRDefault="00FB4ABA" w:rsidP="00FB4ABA">
            <w:pPr>
              <w:spacing w:after="0" w:line="240" w:lineRule="auto"/>
              <w:jc w:val="right"/>
              <w:rPr>
                <w:rFonts w:ascii="Times New Roman" w:eastAsia="Times New Roman" w:hAnsi="Times New Roman"/>
              </w:rPr>
            </w:pPr>
            <w:r w:rsidRPr="00372BD2">
              <w:rPr>
                <w:rFonts w:ascii="Times New Roman" w:hAnsi="Times New Roman"/>
              </w:rPr>
              <w:t>48.7</w:t>
            </w:r>
          </w:p>
        </w:tc>
        <w:tc>
          <w:tcPr>
            <w:tcW w:w="1185" w:type="dxa"/>
            <w:tcBorders>
              <w:top w:val="nil"/>
              <w:left w:val="nil"/>
              <w:bottom w:val="nil"/>
              <w:right w:val="nil"/>
            </w:tcBorders>
            <w:shd w:val="clear" w:color="auto" w:fill="auto"/>
            <w:noWrap/>
            <w:hideMark/>
          </w:tcPr>
          <w:p w14:paraId="517CA5BF" w14:textId="77777777" w:rsidR="00FB4ABA" w:rsidRPr="00FB4ABA" w:rsidRDefault="00FB4ABA" w:rsidP="00FB4ABA">
            <w:pPr>
              <w:spacing w:after="0" w:line="240" w:lineRule="auto"/>
              <w:jc w:val="right"/>
              <w:rPr>
                <w:rFonts w:ascii="Times New Roman" w:eastAsia="Times New Roman" w:hAnsi="Times New Roman"/>
              </w:rPr>
            </w:pPr>
            <w:r w:rsidRPr="00372BD2">
              <w:rPr>
                <w:rFonts w:ascii="Times New Roman" w:hAnsi="Times New Roman"/>
              </w:rPr>
              <w:t>50.2</w:t>
            </w:r>
          </w:p>
        </w:tc>
        <w:tc>
          <w:tcPr>
            <w:tcW w:w="1387" w:type="dxa"/>
            <w:tcBorders>
              <w:top w:val="nil"/>
              <w:left w:val="nil"/>
              <w:bottom w:val="nil"/>
              <w:right w:val="nil"/>
            </w:tcBorders>
            <w:shd w:val="clear" w:color="auto" w:fill="auto"/>
            <w:noWrap/>
            <w:hideMark/>
          </w:tcPr>
          <w:p w14:paraId="35EF6BBA" w14:textId="77777777" w:rsidR="00FB4ABA" w:rsidRPr="00FB4ABA" w:rsidRDefault="00FB4ABA" w:rsidP="00FB4ABA">
            <w:pPr>
              <w:spacing w:after="0" w:line="240" w:lineRule="auto"/>
              <w:jc w:val="right"/>
              <w:rPr>
                <w:rFonts w:ascii="Times New Roman" w:eastAsia="Times New Roman" w:hAnsi="Times New Roman"/>
              </w:rPr>
            </w:pPr>
            <w:r w:rsidRPr="00372BD2">
              <w:rPr>
                <w:rFonts w:ascii="Times New Roman" w:hAnsi="Times New Roman"/>
              </w:rPr>
              <w:t>3.1%</w:t>
            </w:r>
          </w:p>
        </w:tc>
      </w:tr>
      <w:tr w:rsidR="00FB4ABA" w:rsidRPr="00FD3A1F" w14:paraId="7C476ADE" w14:textId="77777777" w:rsidTr="00372BD2">
        <w:trPr>
          <w:trHeight w:val="193"/>
        </w:trPr>
        <w:tc>
          <w:tcPr>
            <w:tcW w:w="3776" w:type="dxa"/>
            <w:tcBorders>
              <w:top w:val="nil"/>
              <w:left w:val="nil"/>
              <w:bottom w:val="nil"/>
              <w:right w:val="nil"/>
            </w:tcBorders>
            <w:shd w:val="clear" w:color="auto" w:fill="auto"/>
            <w:noWrap/>
            <w:vAlign w:val="bottom"/>
            <w:hideMark/>
          </w:tcPr>
          <w:p w14:paraId="71020C39" w14:textId="77777777" w:rsidR="00FB4ABA" w:rsidRPr="00E86AEB" w:rsidRDefault="00FB4ABA" w:rsidP="00FB4ABA">
            <w:pPr>
              <w:spacing w:after="0" w:line="240" w:lineRule="auto"/>
              <w:rPr>
                <w:rFonts w:ascii="Times New Roman" w:eastAsia="Times New Roman" w:hAnsi="Times New Roman"/>
                <w:lang w:val="mk-MK"/>
              </w:rPr>
            </w:pPr>
            <w:r w:rsidRPr="00FD3A1F">
              <w:rPr>
                <w:rFonts w:ascii="Times New Roman" w:eastAsia="Times New Roman" w:hAnsi="Times New Roman"/>
              </w:rPr>
              <w:t xml:space="preserve">  </w:t>
            </w:r>
            <w:r>
              <w:rPr>
                <w:rFonts w:ascii="Times New Roman" w:eastAsia="Times New Roman" w:hAnsi="Times New Roman"/>
                <w:lang w:val="mk-MK"/>
              </w:rPr>
              <w:t>Кредити на правни лица</w:t>
            </w:r>
          </w:p>
        </w:tc>
        <w:tc>
          <w:tcPr>
            <w:tcW w:w="1276" w:type="dxa"/>
            <w:tcBorders>
              <w:top w:val="nil"/>
              <w:left w:val="nil"/>
              <w:bottom w:val="nil"/>
              <w:right w:val="nil"/>
            </w:tcBorders>
            <w:shd w:val="clear" w:color="auto" w:fill="auto"/>
            <w:noWrap/>
            <w:hideMark/>
          </w:tcPr>
          <w:p w14:paraId="769BE2C9" w14:textId="77777777" w:rsidR="00FB4ABA" w:rsidRPr="00FB4ABA" w:rsidRDefault="00FB4ABA" w:rsidP="00FB4ABA">
            <w:pPr>
              <w:spacing w:after="0" w:line="240" w:lineRule="auto"/>
              <w:jc w:val="right"/>
              <w:rPr>
                <w:rFonts w:ascii="Times New Roman" w:eastAsia="Times New Roman" w:hAnsi="Times New Roman"/>
              </w:rPr>
            </w:pPr>
            <w:r w:rsidRPr="00372BD2">
              <w:rPr>
                <w:rFonts w:ascii="Times New Roman" w:hAnsi="Times New Roman"/>
              </w:rPr>
              <w:t>13.3</w:t>
            </w:r>
          </w:p>
        </w:tc>
        <w:tc>
          <w:tcPr>
            <w:tcW w:w="1185" w:type="dxa"/>
            <w:tcBorders>
              <w:top w:val="nil"/>
              <w:left w:val="nil"/>
              <w:bottom w:val="nil"/>
              <w:right w:val="nil"/>
            </w:tcBorders>
            <w:shd w:val="clear" w:color="auto" w:fill="auto"/>
            <w:noWrap/>
            <w:hideMark/>
          </w:tcPr>
          <w:p w14:paraId="5558316E" w14:textId="77777777" w:rsidR="00FB4ABA" w:rsidRPr="00FB4ABA" w:rsidRDefault="00FB4ABA" w:rsidP="00FB4ABA">
            <w:pPr>
              <w:spacing w:after="0" w:line="240" w:lineRule="auto"/>
              <w:jc w:val="right"/>
              <w:rPr>
                <w:rFonts w:ascii="Times New Roman" w:eastAsia="Times New Roman" w:hAnsi="Times New Roman"/>
              </w:rPr>
            </w:pPr>
            <w:r w:rsidRPr="00372BD2">
              <w:rPr>
                <w:rFonts w:ascii="Times New Roman" w:hAnsi="Times New Roman"/>
              </w:rPr>
              <w:t>15.5</w:t>
            </w:r>
          </w:p>
        </w:tc>
        <w:tc>
          <w:tcPr>
            <w:tcW w:w="1387" w:type="dxa"/>
            <w:tcBorders>
              <w:top w:val="nil"/>
              <w:left w:val="nil"/>
              <w:bottom w:val="nil"/>
              <w:right w:val="nil"/>
            </w:tcBorders>
            <w:shd w:val="clear" w:color="auto" w:fill="auto"/>
            <w:noWrap/>
            <w:hideMark/>
          </w:tcPr>
          <w:p w14:paraId="336D1EE8" w14:textId="77777777" w:rsidR="00FB4ABA" w:rsidRPr="00FB4ABA" w:rsidRDefault="00FB4ABA" w:rsidP="00FB4ABA">
            <w:pPr>
              <w:spacing w:after="0" w:line="240" w:lineRule="auto"/>
              <w:jc w:val="right"/>
              <w:rPr>
                <w:rFonts w:ascii="Times New Roman" w:eastAsia="Times New Roman" w:hAnsi="Times New Roman"/>
              </w:rPr>
            </w:pPr>
            <w:r w:rsidRPr="00372BD2">
              <w:rPr>
                <w:rFonts w:ascii="Times New Roman" w:hAnsi="Times New Roman"/>
              </w:rPr>
              <w:t>16.5%</w:t>
            </w:r>
          </w:p>
        </w:tc>
      </w:tr>
      <w:tr w:rsidR="00FB4ABA" w:rsidRPr="00FD3A1F" w14:paraId="5158466F" w14:textId="77777777" w:rsidTr="00372BD2">
        <w:trPr>
          <w:trHeight w:val="315"/>
        </w:trPr>
        <w:tc>
          <w:tcPr>
            <w:tcW w:w="3776" w:type="dxa"/>
            <w:tcBorders>
              <w:top w:val="nil"/>
              <w:left w:val="nil"/>
              <w:bottom w:val="single" w:sz="8" w:space="0" w:color="auto"/>
              <w:right w:val="nil"/>
            </w:tcBorders>
            <w:shd w:val="clear" w:color="auto" w:fill="auto"/>
            <w:hideMark/>
          </w:tcPr>
          <w:p w14:paraId="5ADBB684" w14:textId="77777777" w:rsidR="00FB4ABA" w:rsidRPr="00E86AEB" w:rsidRDefault="00FB4ABA" w:rsidP="00FB4ABA">
            <w:pPr>
              <w:spacing w:after="0" w:line="240" w:lineRule="auto"/>
              <w:rPr>
                <w:rFonts w:ascii="Times New Roman" w:eastAsia="Times New Roman" w:hAnsi="Times New Roman"/>
                <w:lang w:val="mk-MK"/>
              </w:rPr>
            </w:pPr>
            <w:r w:rsidRPr="00FD3A1F">
              <w:rPr>
                <w:rFonts w:ascii="Times New Roman" w:eastAsia="Times New Roman" w:hAnsi="Times New Roman"/>
              </w:rPr>
              <w:t xml:space="preserve">  </w:t>
            </w:r>
            <w:r>
              <w:rPr>
                <w:rFonts w:ascii="Times New Roman" w:eastAsia="Times New Roman" w:hAnsi="Times New Roman"/>
                <w:lang w:val="mk-MK"/>
              </w:rPr>
              <w:t>Останато</w:t>
            </w:r>
          </w:p>
        </w:tc>
        <w:tc>
          <w:tcPr>
            <w:tcW w:w="1276" w:type="dxa"/>
            <w:tcBorders>
              <w:top w:val="nil"/>
              <w:left w:val="nil"/>
              <w:bottom w:val="single" w:sz="8" w:space="0" w:color="auto"/>
              <w:right w:val="nil"/>
            </w:tcBorders>
            <w:shd w:val="clear" w:color="auto" w:fill="auto"/>
            <w:noWrap/>
            <w:hideMark/>
          </w:tcPr>
          <w:p w14:paraId="39F5C723" w14:textId="77777777" w:rsidR="00FB4ABA" w:rsidRPr="00FB4ABA" w:rsidRDefault="00FB4ABA" w:rsidP="00FB4ABA">
            <w:pPr>
              <w:spacing w:after="0" w:line="240" w:lineRule="auto"/>
              <w:jc w:val="right"/>
              <w:rPr>
                <w:rFonts w:ascii="Times New Roman" w:eastAsia="Times New Roman" w:hAnsi="Times New Roman"/>
              </w:rPr>
            </w:pPr>
            <w:r w:rsidRPr="00372BD2">
              <w:rPr>
                <w:rFonts w:ascii="Times New Roman" w:hAnsi="Times New Roman"/>
              </w:rPr>
              <w:t>4.8</w:t>
            </w:r>
          </w:p>
        </w:tc>
        <w:tc>
          <w:tcPr>
            <w:tcW w:w="1185" w:type="dxa"/>
            <w:tcBorders>
              <w:top w:val="nil"/>
              <w:left w:val="nil"/>
              <w:bottom w:val="single" w:sz="8" w:space="0" w:color="auto"/>
              <w:right w:val="nil"/>
            </w:tcBorders>
            <w:shd w:val="clear" w:color="auto" w:fill="auto"/>
            <w:noWrap/>
            <w:hideMark/>
          </w:tcPr>
          <w:p w14:paraId="24E553BF" w14:textId="77777777" w:rsidR="00FB4ABA" w:rsidRPr="00FB4ABA" w:rsidRDefault="00FB4ABA" w:rsidP="00FB4ABA">
            <w:pPr>
              <w:spacing w:after="0" w:line="240" w:lineRule="auto"/>
              <w:jc w:val="right"/>
              <w:rPr>
                <w:rFonts w:ascii="Times New Roman" w:eastAsia="Times New Roman" w:hAnsi="Times New Roman"/>
              </w:rPr>
            </w:pPr>
            <w:r w:rsidRPr="00372BD2">
              <w:rPr>
                <w:rFonts w:ascii="Times New Roman" w:hAnsi="Times New Roman"/>
              </w:rPr>
              <w:t>6.3</w:t>
            </w:r>
          </w:p>
        </w:tc>
        <w:tc>
          <w:tcPr>
            <w:tcW w:w="1387" w:type="dxa"/>
            <w:tcBorders>
              <w:top w:val="nil"/>
              <w:left w:val="nil"/>
              <w:bottom w:val="single" w:sz="8" w:space="0" w:color="auto"/>
              <w:right w:val="nil"/>
            </w:tcBorders>
            <w:shd w:val="clear" w:color="auto" w:fill="auto"/>
            <w:noWrap/>
            <w:hideMark/>
          </w:tcPr>
          <w:p w14:paraId="0CCA8B8D" w14:textId="77777777" w:rsidR="00FB4ABA" w:rsidRPr="00FB4ABA" w:rsidRDefault="00FB4ABA" w:rsidP="00FB4ABA">
            <w:pPr>
              <w:spacing w:after="0" w:line="240" w:lineRule="auto"/>
              <w:jc w:val="right"/>
              <w:rPr>
                <w:rFonts w:ascii="Times New Roman" w:eastAsia="Times New Roman" w:hAnsi="Times New Roman"/>
              </w:rPr>
            </w:pPr>
            <w:r w:rsidRPr="00372BD2">
              <w:rPr>
                <w:rFonts w:ascii="Times New Roman" w:hAnsi="Times New Roman"/>
              </w:rPr>
              <w:t>31.3%</w:t>
            </w:r>
          </w:p>
        </w:tc>
      </w:tr>
    </w:tbl>
    <w:p w14:paraId="42930297" w14:textId="77777777" w:rsidR="006D56D8" w:rsidRPr="00E86AEB" w:rsidRDefault="00E86AEB" w:rsidP="0003797B">
      <w:pPr>
        <w:spacing w:before="480" w:after="0"/>
        <w:jc w:val="both"/>
        <w:rPr>
          <w:rFonts w:ascii="Times New Roman" w:eastAsia="Times New Roman" w:hAnsi="Times New Roman"/>
          <w:b/>
          <w:i/>
          <w:iCs/>
          <w:sz w:val="24"/>
          <w:lang w:val="mk-MK"/>
        </w:rPr>
      </w:pPr>
      <w:r>
        <w:rPr>
          <w:rFonts w:ascii="Times New Roman" w:eastAsia="Times New Roman" w:hAnsi="Times New Roman"/>
          <w:b/>
          <w:i/>
          <w:iCs/>
          <w:sz w:val="24"/>
          <w:lang w:val="mk-MK"/>
        </w:rPr>
        <w:t>Расходи од камати</w:t>
      </w:r>
    </w:p>
    <w:p w14:paraId="1CD734C6" w14:textId="77777777" w:rsidR="00475815" w:rsidRPr="001C5B17" w:rsidRDefault="00E86AEB" w:rsidP="00475815">
      <w:pPr>
        <w:spacing w:before="240" w:after="240"/>
        <w:jc w:val="both"/>
        <w:rPr>
          <w:rFonts w:ascii="Times New Roman" w:eastAsia="Times New Roman" w:hAnsi="Times New Roman"/>
          <w:sz w:val="24"/>
          <w:szCs w:val="24"/>
          <w:lang w:val="mk-MK"/>
        </w:rPr>
      </w:pPr>
      <w:r>
        <w:rPr>
          <w:rFonts w:ascii="Times New Roman" w:eastAsia="Times New Roman" w:hAnsi="Times New Roman"/>
          <w:sz w:val="24"/>
          <w:lang w:val="mk-MK"/>
        </w:rPr>
        <w:t xml:space="preserve">Банката регистрираше намалување на расходите од камати во просек околу </w:t>
      </w:r>
      <w:r w:rsidR="00FB4ABA">
        <w:rPr>
          <w:rFonts w:ascii="Times New Roman" w:eastAsia="Times New Roman" w:hAnsi="Times New Roman"/>
          <w:sz w:val="24"/>
          <w:lang w:val="mk-MK"/>
        </w:rPr>
        <w:t>18</w:t>
      </w:r>
      <w:r>
        <w:rPr>
          <w:rFonts w:ascii="Times New Roman" w:eastAsia="Times New Roman" w:hAnsi="Times New Roman"/>
          <w:sz w:val="24"/>
          <w:lang w:val="mk-MK"/>
        </w:rPr>
        <w:t>%.</w:t>
      </w:r>
    </w:p>
    <w:tbl>
      <w:tblPr>
        <w:tblW w:w="7624" w:type="dxa"/>
        <w:tblLook w:val="04A0" w:firstRow="1" w:lastRow="0" w:firstColumn="1" w:lastColumn="0" w:noHBand="0" w:noVBand="1"/>
      </w:tblPr>
      <w:tblGrid>
        <w:gridCol w:w="3776"/>
        <w:gridCol w:w="1276"/>
        <w:gridCol w:w="1185"/>
        <w:gridCol w:w="1387"/>
      </w:tblGrid>
      <w:tr w:rsidR="00475815" w:rsidRPr="00FD3A1F" w14:paraId="66ACB8B3" w14:textId="77777777" w:rsidTr="00E86AEB">
        <w:trPr>
          <w:trHeight w:val="300"/>
        </w:trPr>
        <w:tc>
          <w:tcPr>
            <w:tcW w:w="3776" w:type="dxa"/>
            <w:tcBorders>
              <w:top w:val="nil"/>
              <w:left w:val="nil"/>
              <w:bottom w:val="nil"/>
              <w:right w:val="nil"/>
            </w:tcBorders>
            <w:shd w:val="clear" w:color="auto" w:fill="auto"/>
            <w:noWrap/>
            <w:vAlign w:val="bottom"/>
            <w:hideMark/>
          </w:tcPr>
          <w:p w14:paraId="07104236" w14:textId="77777777" w:rsidR="00475815" w:rsidRPr="00E86AEB" w:rsidRDefault="00E86AEB" w:rsidP="00E738DC">
            <w:pPr>
              <w:spacing w:after="0" w:line="240" w:lineRule="auto"/>
              <w:rPr>
                <w:rFonts w:ascii="Times New Roman" w:eastAsia="Times New Roman" w:hAnsi="Times New Roman"/>
                <w:i/>
                <w:iCs/>
                <w:lang w:val="mk-MK"/>
              </w:rPr>
            </w:pPr>
            <w:r>
              <w:rPr>
                <w:rFonts w:ascii="Times New Roman" w:eastAsia="Times New Roman" w:hAnsi="Times New Roman"/>
                <w:i/>
                <w:iCs/>
                <w:lang w:val="mk-MK"/>
              </w:rPr>
              <w:t>Во милиони евра</w:t>
            </w:r>
          </w:p>
        </w:tc>
        <w:tc>
          <w:tcPr>
            <w:tcW w:w="1276" w:type="dxa"/>
            <w:tcBorders>
              <w:top w:val="nil"/>
              <w:left w:val="nil"/>
              <w:bottom w:val="nil"/>
              <w:right w:val="nil"/>
            </w:tcBorders>
            <w:shd w:val="clear" w:color="auto" w:fill="auto"/>
            <w:noWrap/>
            <w:vAlign w:val="bottom"/>
            <w:hideMark/>
          </w:tcPr>
          <w:p w14:paraId="15C8C086" w14:textId="77777777" w:rsidR="00475815" w:rsidRPr="00FD3A1F" w:rsidRDefault="00475815" w:rsidP="00E738DC">
            <w:pPr>
              <w:spacing w:after="0" w:line="240" w:lineRule="auto"/>
              <w:rPr>
                <w:rFonts w:ascii="Times New Roman" w:eastAsia="Times New Roman" w:hAnsi="Times New Roman"/>
                <w:i/>
                <w:iCs/>
              </w:rPr>
            </w:pPr>
          </w:p>
        </w:tc>
        <w:tc>
          <w:tcPr>
            <w:tcW w:w="1185" w:type="dxa"/>
            <w:tcBorders>
              <w:top w:val="nil"/>
              <w:left w:val="nil"/>
              <w:bottom w:val="nil"/>
              <w:right w:val="nil"/>
            </w:tcBorders>
            <w:shd w:val="clear" w:color="auto" w:fill="auto"/>
            <w:noWrap/>
            <w:vAlign w:val="bottom"/>
            <w:hideMark/>
          </w:tcPr>
          <w:p w14:paraId="518EA347" w14:textId="77777777" w:rsidR="00475815" w:rsidRPr="00FD3A1F" w:rsidRDefault="00475815" w:rsidP="00E738DC">
            <w:pPr>
              <w:spacing w:after="0" w:line="240" w:lineRule="auto"/>
              <w:rPr>
                <w:rFonts w:ascii="Times New Roman" w:eastAsia="Times New Roman" w:hAnsi="Times New Roman"/>
              </w:rPr>
            </w:pPr>
          </w:p>
        </w:tc>
        <w:tc>
          <w:tcPr>
            <w:tcW w:w="1387" w:type="dxa"/>
            <w:tcBorders>
              <w:top w:val="nil"/>
              <w:left w:val="nil"/>
              <w:bottom w:val="nil"/>
              <w:right w:val="nil"/>
            </w:tcBorders>
            <w:shd w:val="clear" w:color="auto" w:fill="auto"/>
            <w:noWrap/>
            <w:vAlign w:val="bottom"/>
            <w:hideMark/>
          </w:tcPr>
          <w:p w14:paraId="681AC963" w14:textId="77777777" w:rsidR="00475815" w:rsidRPr="00FD3A1F" w:rsidRDefault="00475815" w:rsidP="00E738DC">
            <w:pPr>
              <w:spacing w:after="0" w:line="240" w:lineRule="auto"/>
              <w:rPr>
                <w:rFonts w:ascii="Times New Roman" w:eastAsia="Times New Roman" w:hAnsi="Times New Roman"/>
              </w:rPr>
            </w:pPr>
          </w:p>
        </w:tc>
      </w:tr>
      <w:tr w:rsidR="00475815" w:rsidRPr="00FD3A1F" w14:paraId="26D036DA" w14:textId="77777777" w:rsidTr="00E86AEB">
        <w:trPr>
          <w:trHeight w:val="345"/>
        </w:trPr>
        <w:tc>
          <w:tcPr>
            <w:tcW w:w="3776" w:type="dxa"/>
            <w:tcBorders>
              <w:top w:val="single" w:sz="4" w:space="0" w:color="auto"/>
              <w:left w:val="nil"/>
              <w:bottom w:val="single" w:sz="4" w:space="0" w:color="auto"/>
              <w:right w:val="nil"/>
            </w:tcBorders>
            <w:shd w:val="clear" w:color="auto" w:fill="auto"/>
            <w:noWrap/>
            <w:vAlign w:val="bottom"/>
            <w:hideMark/>
          </w:tcPr>
          <w:p w14:paraId="0B368DC9" w14:textId="77777777" w:rsidR="00475815" w:rsidRPr="00FD3A1F" w:rsidRDefault="00475815" w:rsidP="00E738DC">
            <w:pPr>
              <w:spacing w:after="0" w:line="240" w:lineRule="auto"/>
              <w:rPr>
                <w:rFonts w:ascii="Times New Roman" w:eastAsia="Times New Roman" w:hAnsi="Times New Roman"/>
              </w:rPr>
            </w:pPr>
            <w:r w:rsidRPr="00FD3A1F">
              <w:rPr>
                <w:rFonts w:ascii="Times New Roman" w:eastAsia="Times New Roman" w:hAnsi="Times New Roman"/>
              </w:rPr>
              <w:t> </w:t>
            </w:r>
          </w:p>
        </w:tc>
        <w:tc>
          <w:tcPr>
            <w:tcW w:w="1276" w:type="dxa"/>
            <w:tcBorders>
              <w:top w:val="single" w:sz="4" w:space="0" w:color="auto"/>
              <w:left w:val="nil"/>
              <w:bottom w:val="single" w:sz="4" w:space="0" w:color="auto"/>
              <w:right w:val="nil"/>
            </w:tcBorders>
            <w:shd w:val="clear" w:color="auto" w:fill="auto"/>
            <w:noWrap/>
            <w:vAlign w:val="bottom"/>
            <w:hideMark/>
          </w:tcPr>
          <w:p w14:paraId="46EA1AEE" w14:textId="77777777" w:rsidR="00475815" w:rsidRPr="00FD3A1F" w:rsidRDefault="00475815" w:rsidP="00E738DC">
            <w:pPr>
              <w:spacing w:after="0" w:line="240" w:lineRule="auto"/>
              <w:jc w:val="right"/>
              <w:rPr>
                <w:rFonts w:ascii="Times New Roman" w:eastAsia="Times New Roman" w:hAnsi="Times New Roman"/>
                <w:b/>
                <w:bCs/>
              </w:rPr>
            </w:pPr>
            <w:r>
              <w:rPr>
                <w:rFonts w:ascii="Times New Roman" w:eastAsia="Times New Roman" w:hAnsi="Times New Roman"/>
                <w:b/>
                <w:bCs/>
              </w:rPr>
              <w:t>202</w:t>
            </w:r>
            <w:r w:rsidR="00FB4ABA">
              <w:rPr>
                <w:rFonts w:ascii="Times New Roman" w:eastAsia="Times New Roman" w:hAnsi="Times New Roman"/>
                <w:b/>
                <w:bCs/>
                <w:lang w:val="mk-MK"/>
              </w:rPr>
              <w:t>1</w:t>
            </w:r>
          </w:p>
        </w:tc>
        <w:tc>
          <w:tcPr>
            <w:tcW w:w="1185" w:type="dxa"/>
            <w:tcBorders>
              <w:top w:val="single" w:sz="4" w:space="0" w:color="auto"/>
              <w:left w:val="nil"/>
              <w:bottom w:val="single" w:sz="4" w:space="0" w:color="auto"/>
              <w:right w:val="nil"/>
            </w:tcBorders>
            <w:shd w:val="clear" w:color="auto" w:fill="auto"/>
            <w:noWrap/>
            <w:vAlign w:val="bottom"/>
            <w:hideMark/>
          </w:tcPr>
          <w:p w14:paraId="1E17FE2B" w14:textId="77777777" w:rsidR="00475815" w:rsidRPr="00FD3A1F" w:rsidRDefault="00475815" w:rsidP="00E738DC">
            <w:pPr>
              <w:spacing w:after="0" w:line="240" w:lineRule="auto"/>
              <w:jc w:val="right"/>
              <w:rPr>
                <w:rFonts w:ascii="Times New Roman" w:eastAsia="Times New Roman" w:hAnsi="Times New Roman"/>
                <w:b/>
                <w:bCs/>
              </w:rPr>
            </w:pPr>
            <w:r>
              <w:rPr>
                <w:rFonts w:ascii="Times New Roman" w:eastAsia="Times New Roman" w:hAnsi="Times New Roman"/>
                <w:b/>
                <w:bCs/>
              </w:rPr>
              <w:t>202</w:t>
            </w:r>
            <w:r w:rsidR="00FB4ABA">
              <w:rPr>
                <w:rFonts w:ascii="Times New Roman" w:eastAsia="Times New Roman" w:hAnsi="Times New Roman"/>
                <w:b/>
                <w:bCs/>
                <w:lang w:val="mk-MK"/>
              </w:rPr>
              <w:t>2</w:t>
            </w:r>
          </w:p>
        </w:tc>
        <w:tc>
          <w:tcPr>
            <w:tcW w:w="1387" w:type="dxa"/>
            <w:tcBorders>
              <w:top w:val="single" w:sz="4" w:space="0" w:color="auto"/>
              <w:left w:val="nil"/>
              <w:bottom w:val="single" w:sz="4" w:space="0" w:color="auto"/>
              <w:right w:val="nil"/>
            </w:tcBorders>
            <w:shd w:val="clear" w:color="auto" w:fill="auto"/>
            <w:noWrap/>
            <w:vAlign w:val="bottom"/>
            <w:hideMark/>
          </w:tcPr>
          <w:p w14:paraId="197E8C11" w14:textId="77777777" w:rsidR="00475815" w:rsidRPr="00E86AEB" w:rsidRDefault="00475815" w:rsidP="00E86AEB">
            <w:pPr>
              <w:spacing w:after="0" w:line="240" w:lineRule="auto"/>
              <w:jc w:val="right"/>
              <w:rPr>
                <w:rFonts w:ascii="Times New Roman" w:eastAsia="Times New Roman" w:hAnsi="Times New Roman"/>
                <w:b/>
                <w:bCs/>
                <w:lang w:val="mk-MK"/>
              </w:rPr>
            </w:pPr>
            <w:r w:rsidRPr="00FD3A1F">
              <w:rPr>
                <w:rFonts w:ascii="Times New Roman" w:eastAsia="Times New Roman" w:hAnsi="Times New Roman"/>
                <w:b/>
                <w:bCs/>
              </w:rPr>
              <w:t xml:space="preserve">% </w:t>
            </w:r>
            <w:r w:rsidR="00E86AEB">
              <w:rPr>
                <w:rFonts w:ascii="Times New Roman" w:eastAsia="Times New Roman" w:hAnsi="Times New Roman"/>
                <w:b/>
                <w:bCs/>
                <w:lang w:val="mk-MK"/>
              </w:rPr>
              <w:t>промена</w:t>
            </w:r>
          </w:p>
        </w:tc>
      </w:tr>
      <w:tr w:rsidR="00FB4ABA" w:rsidRPr="00FD3A1F" w14:paraId="7BD711CB" w14:textId="77777777" w:rsidTr="00372BD2">
        <w:trPr>
          <w:trHeight w:val="300"/>
        </w:trPr>
        <w:tc>
          <w:tcPr>
            <w:tcW w:w="3776" w:type="dxa"/>
            <w:tcBorders>
              <w:top w:val="nil"/>
              <w:left w:val="nil"/>
              <w:bottom w:val="nil"/>
              <w:right w:val="nil"/>
            </w:tcBorders>
            <w:shd w:val="clear" w:color="auto" w:fill="auto"/>
            <w:noWrap/>
            <w:vAlign w:val="bottom"/>
            <w:hideMark/>
          </w:tcPr>
          <w:p w14:paraId="1CD51866" w14:textId="77777777" w:rsidR="00FB4ABA" w:rsidRPr="00E86AEB" w:rsidRDefault="00FB4ABA" w:rsidP="00FB4ABA">
            <w:pPr>
              <w:spacing w:after="0" w:line="240" w:lineRule="auto"/>
              <w:rPr>
                <w:rFonts w:ascii="Times New Roman" w:eastAsia="Times New Roman" w:hAnsi="Times New Roman"/>
                <w:b/>
                <w:bCs/>
                <w:lang w:val="mk-MK"/>
              </w:rPr>
            </w:pPr>
            <w:r>
              <w:rPr>
                <w:rFonts w:ascii="Times New Roman" w:eastAsia="Times New Roman" w:hAnsi="Times New Roman"/>
                <w:b/>
                <w:bCs/>
                <w:lang w:val="mk-MK"/>
              </w:rPr>
              <w:t>Расходи од камати</w:t>
            </w:r>
          </w:p>
        </w:tc>
        <w:tc>
          <w:tcPr>
            <w:tcW w:w="1276" w:type="dxa"/>
            <w:tcBorders>
              <w:top w:val="nil"/>
              <w:left w:val="nil"/>
              <w:bottom w:val="nil"/>
              <w:right w:val="nil"/>
            </w:tcBorders>
            <w:shd w:val="clear" w:color="auto" w:fill="auto"/>
            <w:noWrap/>
            <w:hideMark/>
          </w:tcPr>
          <w:p w14:paraId="3615B44E" w14:textId="77777777" w:rsidR="00FB4ABA" w:rsidRPr="00FB4ABA" w:rsidRDefault="00FB4ABA" w:rsidP="00FB4ABA">
            <w:pPr>
              <w:spacing w:after="0" w:line="240" w:lineRule="auto"/>
              <w:jc w:val="right"/>
              <w:rPr>
                <w:rFonts w:ascii="Times New Roman" w:eastAsia="Times New Roman" w:hAnsi="Times New Roman"/>
                <w:b/>
                <w:bCs/>
              </w:rPr>
            </w:pPr>
            <w:r w:rsidRPr="00372BD2">
              <w:rPr>
                <w:rFonts w:ascii="Times New Roman" w:hAnsi="Times New Roman"/>
              </w:rPr>
              <w:t>4.4</w:t>
            </w:r>
          </w:p>
        </w:tc>
        <w:tc>
          <w:tcPr>
            <w:tcW w:w="1185" w:type="dxa"/>
            <w:tcBorders>
              <w:top w:val="nil"/>
              <w:left w:val="nil"/>
              <w:bottom w:val="nil"/>
              <w:right w:val="nil"/>
            </w:tcBorders>
            <w:shd w:val="clear" w:color="auto" w:fill="auto"/>
            <w:noWrap/>
            <w:hideMark/>
          </w:tcPr>
          <w:p w14:paraId="79B2F776" w14:textId="77777777" w:rsidR="00FB4ABA" w:rsidRPr="00FB4ABA" w:rsidRDefault="00FB4ABA" w:rsidP="00FB4ABA">
            <w:pPr>
              <w:spacing w:after="0" w:line="240" w:lineRule="auto"/>
              <w:jc w:val="right"/>
              <w:rPr>
                <w:rFonts w:ascii="Times New Roman" w:eastAsia="Times New Roman" w:hAnsi="Times New Roman"/>
                <w:b/>
                <w:bCs/>
              </w:rPr>
            </w:pPr>
            <w:r w:rsidRPr="00372BD2">
              <w:rPr>
                <w:rFonts w:ascii="Times New Roman" w:hAnsi="Times New Roman"/>
              </w:rPr>
              <w:t>3.6</w:t>
            </w:r>
          </w:p>
        </w:tc>
        <w:tc>
          <w:tcPr>
            <w:tcW w:w="1387" w:type="dxa"/>
            <w:tcBorders>
              <w:top w:val="nil"/>
              <w:left w:val="nil"/>
              <w:bottom w:val="nil"/>
              <w:right w:val="nil"/>
            </w:tcBorders>
            <w:shd w:val="clear" w:color="auto" w:fill="auto"/>
            <w:noWrap/>
            <w:hideMark/>
          </w:tcPr>
          <w:p w14:paraId="61CC75FB" w14:textId="77777777" w:rsidR="00FB4ABA" w:rsidRPr="00FB4ABA" w:rsidRDefault="00FB4ABA" w:rsidP="00FB4ABA">
            <w:pPr>
              <w:spacing w:after="0" w:line="240" w:lineRule="auto"/>
              <w:jc w:val="right"/>
              <w:rPr>
                <w:rFonts w:ascii="Times New Roman" w:eastAsia="Times New Roman" w:hAnsi="Times New Roman"/>
                <w:b/>
                <w:bCs/>
              </w:rPr>
            </w:pPr>
            <w:r w:rsidRPr="00372BD2">
              <w:rPr>
                <w:rFonts w:ascii="Times New Roman" w:hAnsi="Times New Roman"/>
              </w:rPr>
              <w:t>-18.2%</w:t>
            </w:r>
          </w:p>
        </w:tc>
      </w:tr>
      <w:tr w:rsidR="00FB4ABA" w:rsidRPr="00FD3A1F" w14:paraId="4B9A82C8" w14:textId="77777777" w:rsidTr="00372BD2">
        <w:trPr>
          <w:trHeight w:val="300"/>
        </w:trPr>
        <w:tc>
          <w:tcPr>
            <w:tcW w:w="3776" w:type="dxa"/>
            <w:tcBorders>
              <w:top w:val="nil"/>
              <w:left w:val="nil"/>
              <w:bottom w:val="nil"/>
              <w:right w:val="nil"/>
            </w:tcBorders>
            <w:shd w:val="clear" w:color="auto" w:fill="auto"/>
            <w:noWrap/>
            <w:vAlign w:val="bottom"/>
            <w:hideMark/>
          </w:tcPr>
          <w:p w14:paraId="04D2A35E" w14:textId="77777777" w:rsidR="00FB4ABA" w:rsidRPr="00E86AEB" w:rsidRDefault="00FB4ABA" w:rsidP="00FB4ABA">
            <w:pPr>
              <w:spacing w:after="0" w:line="240" w:lineRule="auto"/>
              <w:rPr>
                <w:rFonts w:ascii="Times New Roman" w:eastAsia="Times New Roman" w:hAnsi="Times New Roman"/>
                <w:lang w:val="mk-MK"/>
              </w:rPr>
            </w:pPr>
            <w:r w:rsidRPr="00FD3A1F">
              <w:rPr>
                <w:rFonts w:ascii="Times New Roman" w:eastAsia="Times New Roman" w:hAnsi="Times New Roman"/>
              </w:rPr>
              <w:t xml:space="preserve">  </w:t>
            </w:r>
            <w:r>
              <w:rPr>
                <w:rFonts w:ascii="Times New Roman" w:eastAsia="Times New Roman" w:hAnsi="Times New Roman"/>
                <w:lang w:val="mk-MK"/>
              </w:rPr>
              <w:t>Депозити на физички лица</w:t>
            </w:r>
          </w:p>
        </w:tc>
        <w:tc>
          <w:tcPr>
            <w:tcW w:w="1276" w:type="dxa"/>
            <w:tcBorders>
              <w:top w:val="nil"/>
              <w:left w:val="nil"/>
              <w:bottom w:val="nil"/>
              <w:right w:val="nil"/>
            </w:tcBorders>
            <w:shd w:val="clear" w:color="auto" w:fill="auto"/>
            <w:noWrap/>
            <w:hideMark/>
          </w:tcPr>
          <w:p w14:paraId="1FD20220" w14:textId="77777777" w:rsidR="00FB4ABA" w:rsidRPr="00FB4ABA" w:rsidRDefault="00FB4ABA" w:rsidP="00FB4ABA">
            <w:pPr>
              <w:spacing w:after="0" w:line="240" w:lineRule="auto"/>
              <w:jc w:val="right"/>
              <w:rPr>
                <w:rFonts w:ascii="Times New Roman" w:eastAsia="Times New Roman" w:hAnsi="Times New Roman"/>
              </w:rPr>
            </w:pPr>
            <w:r w:rsidRPr="00372BD2">
              <w:rPr>
                <w:rFonts w:ascii="Times New Roman" w:hAnsi="Times New Roman"/>
              </w:rPr>
              <w:t>3.3</w:t>
            </w:r>
          </w:p>
        </w:tc>
        <w:tc>
          <w:tcPr>
            <w:tcW w:w="1185" w:type="dxa"/>
            <w:tcBorders>
              <w:top w:val="nil"/>
              <w:left w:val="nil"/>
              <w:bottom w:val="nil"/>
              <w:right w:val="nil"/>
            </w:tcBorders>
            <w:shd w:val="clear" w:color="auto" w:fill="auto"/>
            <w:noWrap/>
            <w:hideMark/>
          </w:tcPr>
          <w:p w14:paraId="56A84936" w14:textId="77777777" w:rsidR="00FB4ABA" w:rsidRPr="00FB4ABA" w:rsidRDefault="00FB4ABA" w:rsidP="00FB4ABA">
            <w:pPr>
              <w:spacing w:after="0" w:line="240" w:lineRule="auto"/>
              <w:jc w:val="right"/>
              <w:rPr>
                <w:rFonts w:ascii="Times New Roman" w:eastAsia="Times New Roman" w:hAnsi="Times New Roman"/>
              </w:rPr>
            </w:pPr>
            <w:r w:rsidRPr="00372BD2">
              <w:rPr>
                <w:rFonts w:ascii="Times New Roman" w:hAnsi="Times New Roman"/>
              </w:rPr>
              <w:t>2.2</w:t>
            </w:r>
          </w:p>
        </w:tc>
        <w:tc>
          <w:tcPr>
            <w:tcW w:w="1387" w:type="dxa"/>
            <w:tcBorders>
              <w:top w:val="nil"/>
              <w:left w:val="nil"/>
              <w:bottom w:val="nil"/>
              <w:right w:val="nil"/>
            </w:tcBorders>
            <w:shd w:val="clear" w:color="auto" w:fill="auto"/>
            <w:noWrap/>
            <w:hideMark/>
          </w:tcPr>
          <w:p w14:paraId="110D7051" w14:textId="77777777" w:rsidR="00FB4ABA" w:rsidRPr="00FB4ABA" w:rsidRDefault="00FB4ABA" w:rsidP="00FB4ABA">
            <w:pPr>
              <w:spacing w:after="0" w:line="240" w:lineRule="auto"/>
              <w:jc w:val="right"/>
              <w:rPr>
                <w:rFonts w:ascii="Times New Roman" w:eastAsia="Times New Roman" w:hAnsi="Times New Roman"/>
              </w:rPr>
            </w:pPr>
            <w:r w:rsidRPr="00372BD2">
              <w:rPr>
                <w:rFonts w:ascii="Times New Roman" w:hAnsi="Times New Roman"/>
              </w:rPr>
              <w:t>-33.3%</w:t>
            </w:r>
          </w:p>
        </w:tc>
      </w:tr>
      <w:tr w:rsidR="00FB4ABA" w:rsidRPr="00FD3A1F" w14:paraId="223DE939" w14:textId="77777777" w:rsidTr="00372BD2">
        <w:trPr>
          <w:trHeight w:val="300"/>
        </w:trPr>
        <w:tc>
          <w:tcPr>
            <w:tcW w:w="3776" w:type="dxa"/>
            <w:tcBorders>
              <w:top w:val="nil"/>
              <w:left w:val="nil"/>
              <w:bottom w:val="nil"/>
              <w:right w:val="nil"/>
            </w:tcBorders>
            <w:shd w:val="clear" w:color="auto" w:fill="auto"/>
            <w:noWrap/>
            <w:vAlign w:val="bottom"/>
            <w:hideMark/>
          </w:tcPr>
          <w:p w14:paraId="019804B5" w14:textId="77777777" w:rsidR="00FB4ABA" w:rsidRPr="00E86AEB" w:rsidRDefault="00FB4ABA" w:rsidP="00FB4ABA">
            <w:pPr>
              <w:spacing w:after="0" w:line="240" w:lineRule="auto"/>
              <w:rPr>
                <w:rFonts w:ascii="Times New Roman" w:eastAsia="Times New Roman" w:hAnsi="Times New Roman"/>
                <w:lang w:val="mk-MK"/>
              </w:rPr>
            </w:pPr>
            <w:r w:rsidRPr="00FD3A1F">
              <w:rPr>
                <w:rFonts w:ascii="Times New Roman" w:eastAsia="Times New Roman" w:hAnsi="Times New Roman"/>
              </w:rPr>
              <w:t xml:space="preserve">  </w:t>
            </w:r>
            <w:r>
              <w:rPr>
                <w:rFonts w:ascii="Times New Roman" w:eastAsia="Times New Roman" w:hAnsi="Times New Roman"/>
                <w:lang w:val="mk-MK"/>
              </w:rPr>
              <w:t>Депозити на правни лица</w:t>
            </w:r>
          </w:p>
        </w:tc>
        <w:tc>
          <w:tcPr>
            <w:tcW w:w="1276" w:type="dxa"/>
            <w:tcBorders>
              <w:top w:val="nil"/>
              <w:left w:val="nil"/>
              <w:bottom w:val="nil"/>
              <w:right w:val="nil"/>
            </w:tcBorders>
            <w:shd w:val="clear" w:color="auto" w:fill="auto"/>
            <w:noWrap/>
            <w:hideMark/>
          </w:tcPr>
          <w:p w14:paraId="3FF94342" w14:textId="77777777" w:rsidR="00FB4ABA" w:rsidRPr="00FB4ABA" w:rsidRDefault="00FB4ABA" w:rsidP="00FB4ABA">
            <w:pPr>
              <w:spacing w:after="0" w:line="240" w:lineRule="auto"/>
              <w:jc w:val="right"/>
              <w:rPr>
                <w:rFonts w:ascii="Times New Roman" w:eastAsia="Times New Roman" w:hAnsi="Times New Roman"/>
              </w:rPr>
            </w:pPr>
            <w:r w:rsidRPr="00372BD2">
              <w:rPr>
                <w:rFonts w:ascii="Times New Roman" w:hAnsi="Times New Roman"/>
              </w:rPr>
              <w:t>0.3</w:t>
            </w:r>
          </w:p>
        </w:tc>
        <w:tc>
          <w:tcPr>
            <w:tcW w:w="1185" w:type="dxa"/>
            <w:tcBorders>
              <w:top w:val="nil"/>
              <w:left w:val="nil"/>
              <w:bottom w:val="nil"/>
              <w:right w:val="nil"/>
            </w:tcBorders>
            <w:shd w:val="clear" w:color="auto" w:fill="auto"/>
            <w:noWrap/>
            <w:hideMark/>
          </w:tcPr>
          <w:p w14:paraId="58961AF6" w14:textId="77777777" w:rsidR="00FB4ABA" w:rsidRPr="00FB4ABA" w:rsidRDefault="00FB4ABA" w:rsidP="00FB4ABA">
            <w:pPr>
              <w:spacing w:after="0" w:line="240" w:lineRule="auto"/>
              <w:jc w:val="right"/>
              <w:rPr>
                <w:rFonts w:ascii="Times New Roman" w:eastAsia="Times New Roman" w:hAnsi="Times New Roman"/>
              </w:rPr>
            </w:pPr>
            <w:r w:rsidRPr="00372BD2">
              <w:rPr>
                <w:rFonts w:ascii="Times New Roman" w:hAnsi="Times New Roman"/>
              </w:rPr>
              <w:t>0.4</w:t>
            </w:r>
          </w:p>
        </w:tc>
        <w:tc>
          <w:tcPr>
            <w:tcW w:w="1387" w:type="dxa"/>
            <w:tcBorders>
              <w:top w:val="nil"/>
              <w:left w:val="nil"/>
              <w:bottom w:val="nil"/>
              <w:right w:val="nil"/>
            </w:tcBorders>
            <w:shd w:val="clear" w:color="auto" w:fill="auto"/>
            <w:noWrap/>
            <w:hideMark/>
          </w:tcPr>
          <w:p w14:paraId="11952876" w14:textId="77777777" w:rsidR="00FB4ABA" w:rsidRPr="00FB4ABA" w:rsidRDefault="00FB4ABA" w:rsidP="00FB4ABA">
            <w:pPr>
              <w:spacing w:after="0" w:line="240" w:lineRule="auto"/>
              <w:jc w:val="right"/>
              <w:rPr>
                <w:rFonts w:ascii="Times New Roman" w:eastAsia="Times New Roman" w:hAnsi="Times New Roman"/>
              </w:rPr>
            </w:pPr>
            <w:r w:rsidRPr="00372BD2">
              <w:rPr>
                <w:rFonts w:ascii="Times New Roman" w:hAnsi="Times New Roman"/>
              </w:rPr>
              <w:t>33.3%</w:t>
            </w:r>
          </w:p>
        </w:tc>
      </w:tr>
      <w:tr w:rsidR="00FB4ABA" w:rsidRPr="00FD3A1F" w14:paraId="6A989CE0" w14:textId="77777777" w:rsidTr="00372BD2">
        <w:trPr>
          <w:trHeight w:val="315"/>
        </w:trPr>
        <w:tc>
          <w:tcPr>
            <w:tcW w:w="3776" w:type="dxa"/>
            <w:tcBorders>
              <w:top w:val="nil"/>
              <w:left w:val="nil"/>
              <w:bottom w:val="single" w:sz="8" w:space="0" w:color="auto"/>
              <w:right w:val="nil"/>
            </w:tcBorders>
            <w:shd w:val="clear" w:color="auto" w:fill="auto"/>
            <w:noWrap/>
            <w:vAlign w:val="bottom"/>
            <w:hideMark/>
          </w:tcPr>
          <w:p w14:paraId="3C28E595" w14:textId="77777777" w:rsidR="00FB4ABA" w:rsidRPr="00E86AEB" w:rsidRDefault="00FB4ABA" w:rsidP="00FB4ABA">
            <w:pPr>
              <w:spacing w:after="0" w:line="240" w:lineRule="auto"/>
              <w:rPr>
                <w:rFonts w:ascii="Times New Roman" w:eastAsia="Times New Roman" w:hAnsi="Times New Roman"/>
                <w:lang w:val="mk-MK"/>
              </w:rPr>
            </w:pPr>
            <w:r w:rsidRPr="00FD3A1F">
              <w:rPr>
                <w:rFonts w:ascii="Times New Roman" w:eastAsia="Times New Roman" w:hAnsi="Times New Roman"/>
              </w:rPr>
              <w:t xml:space="preserve">  </w:t>
            </w:r>
            <w:r>
              <w:rPr>
                <w:rFonts w:ascii="Times New Roman" w:eastAsia="Times New Roman" w:hAnsi="Times New Roman"/>
                <w:lang w:val="mk-MK"/>
              </w:rPr>
              <w:t>Останати обврски</w:t>
            </w:r>
          </w:p>
        </w:tc>
        <w:tc>
          <w:tcPr>
            <w:tcW w:w="1276" w:type="dxa"/>
            <w:tcBorders>
              <w:top w:val="nil"/>
              <w:left w:val="nil"/>
              <w:bottom w:val="single" w:sz="8" w:space="0" w:color="auto"/>
              <w:right w:val="nil"/>
            </w:tcBorders>
            <w:shd w:val="clear" w:color="auto" w:fill="auto"/>
            <w:noWrap/>
            <w:hideMark/>
          </w:tcPr>
          <w:p w14:paraId="07FC4F9D" w14:textId="77777777" w:rsidR="00FB4ABA" w:rsidRPr="00FB4ABA" w:rsidRDefault="00FB4ABA" w:rsidP="00FB4ABA">
            <w:pPr>
              <w:spacing w:after="0" w:line="240" w:lineRule="auto"/>
              <w:jc w:val="right"/>
              <w:rPr>
                <w:rFonts w:ascii="Times New Roman" w:eastAsia="Times New Roman" w:hAnsi="Times New Roman"/>
              </w:rPr>
            </w:pPr>
            <w:r w:rsidRPr="00372BD2">
              <w:rPr>
                <w:rFonts w:ascii="Times New Roman" w:hAnsi="Times New Roman"/>
              </w:rPr>
              <w:t>0.8</w:t>
            </w:r>
          </w:p>
        </w:tc>
        <w:tc>
          <w:tcPr>
            <w:tcW w:w="1185" w:type="dxa"/>
            <w:tcBorders>
              <w:top w:val="nil"/>
              <w:left w:val="nil"/>
              <w:bottom w:val="single" w:sz="8" w:space="0" w:color="auto"/>
              <w:right w:val="nil"/>
            </w:tcBorders>
            <w:shd w:val="clear" w:color="auto" w:fill="auto"/>
            <w:noWrap/>
            <w:hideMark/>
          </w:tcPr>
          <w:p w14:paraId="7586DC46" w14:textId="77777777" w:rsidR="00FB4ABA" w:rsidRPr="00FB4ABA" w:rsidRDefault="00FB4ABA" w:rsidP="00FB4ABA">
            <w:pPr>
              <w:spacing w:after="0" w:line="240" w:lineRule="auto"/>
              <w:jc w:val="right"/>
              <w:rPr>
                <w:rFonts w:ascii="Times New Roman" w:eastAsia="Times New Roman" w:hAnsi="Times New Roman"/>
              </w:rPr>
            </w:pPr>
            <w:r w:rsidRPr="00372BD2">
              <w:rPr>
                <w:rFonts w:ascii="Times New Roman" w:hAnsi="Times New Roman"/>
              </w:rPr>
              <w:t>0.9</w:t>
            </w:r>
          </w:p>
        </w:tc>
        <w:tc>
          <w:tcPr>
            <w:tcW w:w="1387" w:type="dxa"/>
            <w:tcBorders>
              <w:top w:val="nil"/>
              <w:left w:val="nil"/>
              <w:bottom w:val="single" w:sz="8" w:space="0" w:color="auto"/>
              <w:right w:val="nil"/>
            </w:tcBorders>
            <w:shd w:val="clear" w:color="auto" w:fill="auto"/>
            <w:noWrap/>
            <w:hideMark/>
          </w:tcPr>
          <w:p w14:paraId="51BD6A02" w14:textId="77777777" w:rsidR="00FB4ABA" w:rsidRPr="00141263" w:rsidRDefault="00FB4ABA" w:rsidP="00FB4ABA">
            <w:pPr>
              <w:spacing w:after="0" w:line="240" w:lineRule="auto"/>
              <w:jc w:val="right"/>
              <w:rPr>
                <w:rFonts w:ascii="Times New Roman" w:eastAsia="Times New Roman" w:hAnsi="Times New Roman"/>
              </w:rPr>
            </w:pPr>
            <w:r w:rsidRPr="00372BD2">
              <w:rPr>
                <w:rFonts w:ascii="Times New Roman" w:hAnsi="Times New Roman"/>
              </w:rPr>
              <w:t>12.5%</w:t>
            </w:r>
          </w:p>
        </w:tc>
      </w:tr>
    </w:tbl>
    <w:p w14:paraId="7BC72885" w14:textId="77777777" w:rsidR="006D56D8" w:rsidRDefault="006D56D8" w:rsidP="006D56D8">
      <w:pPr>
        <w:spacing w:after="0"/>
        <w:jc w:val="both"/>
        <w:outlineLvl w:val="0"/>
        <w:rPr>
          <w:rFonts w:ascii="Times New Roman" w:eastAsia="Times New Roman" w:hAnsi="Times New Roman"/>
          <w:b/>
          <w:i/>
          <w:sz w:val="24"/>
          <w:szCs w:val="24"/>
        </w:rPr>
      </w:pPr>
    </w:p>
    <w:p w14:paraId="226A6CC8" w14:textId="77777777" w:rsidR="006D56D8" w:rsidRPr="00E86AEB" w:rsidRDefault="00E86AEB" w:rsidP="009802EA">
      <w:pPr>
        <w:spacing w:before="240" w:after="0"/>
        <w:jc w:val="both"/>
        <w:rPr>
          <w:rFonts w:ascii="Times New Roman" w:eastAsia="Times New Roman" w:hAnsi="Times New Roman"/>
          <w:b/>
          <w:i/>
          <w:iCs/>
          <w:sz w:val="24"/>
          <w:lang w:val="mk-MK"/>
        </w:rPr>
      </w:pPr>
      <w:r>
        <w:rPr>
          <w:rFonts w:ascii="Times New Roman" w:eastAsia="Times New Roman" w:hAnsi="Times New Roman"/>
          <w:b/>
          <w:i/>
          <w:iCs/>
          <w:sz w:val="24"/>
          <w:lang w:val="mk-MK"/>
        </w:rPr>
        <w:t>Нето приходи од камати</w:t>
      </w:r>
    </w:p>
    <w:p w14:paraId="67DBEEE0" w14:textId="77777777" w:rsidR="00475815" w:rsidRPr="00727C7E" w:rsidRDefault="00E86AEB" w:rsidP="00475815">
      <w:pPr>
        <w:spacing w:before="240"/>
        <w:jc w:val="both"/>
        <w:rPr>
          <w:rFonts w:ascii="Times New Roman" w:eastAsia="Times New Roman" w:hAnsi="Times New Roman"/>
          <w:sz w:val="24"/>
          <w:szCs w:val="24"/>
          <w:lang w:val="mk-MK"/>
        </w:rPr>
      </w:pPr>
      <w:bookmarkStart w:id="27" w:name="_Toc479677759"/>
      <w:r>
        <w:rPr>
          <w:rFonts w:ascii="Times New Roman" w:eastAsia="Times New Roman" w:hAnsi="Times New Roman"/>
          <w:sz w:val="24"/>
          <w:szCs w:val="24"/>
          <w:lang w:val="mk-MK"/>
        </w:rPr>
        <w:t>Нето приходите од камати изнесуваа 6</w:t>
      </w:r>
      <w:r w:rsidR="00FB4ABA">
        <w:rPr>
          <w:rFonts w:ascii="Times New Roman" w:eastAsia="Times New Roman" w:hAnsi="Times New Roman"/>
          <w:sz w:val="24"/>
          <w:szCs w:val="24"/>
          <w:lang w:val="mk-MK"/>
        </w:rPr>
        <w:t>8</w:t>
      </w:r>
      <w:r>
        <w:rPr>
          <w:rFonts w:ascii="Times New Roman" w:eastAsia="Times New Roman" w:hAnsi="Times New Roman"/>
          <w:sz w:val="24"/>
          <w:szCs w:val="24"/>
          <w:lang w:val="mk-MK"/>
        </w:rPr>
        <w:t>,</w:t>
      </w:r>
      <w:r w:rsidRPr="001C5B17">
        <w:rPr>
          <w:rFonts w:ascii="Times New Roman" w:eastAsia="Times New Roman" w:hAnsi="Times New Roman"/>
          <w:sz w:val="24"/>
          <w:szCs w:val="24"/>
          <w:lang w:val="mk-MK"/>
        </w:rPr>
        <w:t>4</w:t>
      </w:r>
      <w:r>
        <w:rPr>
          <w:rFonts w:ascii="Times New Roman" w:eastAsia="Times New Roman" w:hAnsi="Times New Roman"/>
          <w:sz w:val="24"/>
          <w:szCs w:val="24"/>
          <w:lang w:val="mk-MK"/>
        </w:rPr>
        <w:t xml:space="preserve"> милиони евра и се зголемија за </w:t>
      </w:r>
      <w:r w:rsidR="00FB4ABA">
        <w:rPr>
          <w:rFonts w:ascii="Times New Roman" w:eastAsia="Times New Roman" w:hAnsi="Times New Roman"/>
          <w:sz w:val="24"/>
          <w:szCs w:val="24"/>
          <w:lang w:val="mk-MK"/>
        </w:rPr>
        <w:t>9,6</w:t>
      </w:r>
      <w:r>
        <w:rPr>
          <w:rFonts w:ascii="Times New Roman" w:eastAsia="Times New Roman" w:hAnsi="Times New Roman"/>
          <w:sz w:val="24"/>
          <w:szCs w:val="24"/>
          <w:lang w:val="mk-MK"/>
        </w:rPr>
        <w:t xml:space="preserve">% главно </w:t>
      </w:r>
      <w:r w:rsidRPr="005D604C">
        <w:rPr>
          <w:rFonts w:ascii="Times New Roman" w:eastAsia="Times New Roman" w:hAnsi="Times New Roman"/>
          <w:sz w:val="24"/>
          <w:szCs w:val="24"/>
          <w:lang w:val="mk-MK"/>
        </w:rPr>
        <w:t xml:space="preserve">поради </w:t>
      </w:r>
      <w:r w:rsidR="00141263">
        <w:rPr>
          <w:rFonts w:ascii="Times New Roman" w:eastAsia="Times New Roman" w:hAnsi="Times New Roman"/>
          <w:sz w:val="24"/>
          <w:szCs w:val="24"/>
          <w:lang w:val="mk-MK"/>
        </w:rPr>
        <w:t>интензивните кредитни активности и зголемувањето на кредитното портфолио</w:t>
      </w:r>
      <w:r w:rsidRPr="005D604C">
        <w:rPr>
          <w:rFonts w:ascii="Times New Roman" w:eastAsia="Times New Roman" w:hAnsi="Times New Roman"/>
          <w:sz w:val="24"/>
          <w:szCs w:val="24"/>
          <w:lang w:val="mk-MK"/>
        </w:rPr>
        <w:t>.</w:t>
      </w:r>
    </w:p>
    <w:p w14:paraId="7B67E661" w14:textId="77777777" w:rsidR="00475815" w:rsidRPr="0034674A" w:rsidRDefault="00475815" w:rsidP="00475815">
      <w:pPr>
        <w:spacing w:after="0"/>
        <w:jc w:val="both"/>
        <w:rPr>
          <w:sz w:val="20"/>
          <w:szCs w:val="20"/>
          <w:lang w:val="mk-MK"/>
        </w:rPr>
      </w:pPr>
    </w:p>
    <w:tbl>
      <w:tblPr>
        <w:tblW w:w="7624" w:type="dxa"/>
        <w:tblLook w:val="04A0" w:firstRow="1" w:lastRow="0" w:firstColumn="1" w:lastColumn="0" w:noHBand="0" w:noVBand="1"/>
      </w:tblPr>
      <w:tblGrid>
        <w:gridCol w:w="3776"/>
        <w:gridCol w:w="1276"/>
        <w:gridCol w:w="1185"/>
        <w:gridCol w:w="1387"/>
      </w:tblGrid>
      <w:tr w:rsidR="00475815" w:rsidRPr="00CC70D1" w14:paraId="772A31BE" w14:textId="77777777" w:rsidTr="00E86AEB">
        <w:trPr>
          <w:trHeight w:val="300"/>
        </w:trPr>
        <w:tc>
          <w:tcPr>
            <w:tcW w:w="3776" w:type="dxa"/>
            <w:tcBorders>
              <w:top w:val="nil"/>
              <w:left w:val="nil"/>
              <w:bottom w:val="nil"/>
              <w:right w:val="nil"/>
            </w:tcBorders>
            <w:shd w:val="clear" w:color="auto" w:fill="auto"/>
            <w:noWrap/>
            <w:vAlign w:val="bottom"/>
            <w:hideMark/>
          </w:tcPr>
          <w:p w14:paraId="5BFE23BA" w14:textId="77777777" w:rsidR="00475815" w:rsidRPr="00E86AEB" w:rsidRDefault="00E86AEB" w:rsidP="00E738DC">
            <w:pPr>
              <w:spacing w:after="0" w:line="240" w:lineRule="auto"/>
              <w:rPr>
                <w:rFonts w:ascii="Times New Roman" w:eastAsia="Times New Roman" w:hAnsi="Times New Roman"/>
                <w:i/>
                <w:iCs/>
                <w:lang w:val="mk-MK"/>
              </w:rPr>
            </w:pPr>
            <w:r>
              <w:rPr>
                <w:rFonts w:ascii="Times New Roman" w:eastAsia="Times New Roman" w:hAnsi="Times New Roman"/>
                <w:i/>
                <w:iCs/>
                <w:lang w:val="mk-MK"/>
              </w:rPr>
              <w:t>Во милиони евра</w:t>
            </w:r>
          </w:p>
        </w:tc>
        <w:tc>
          <w:tcPr>
            <w:tcW w:w="1276" w:type="dxa"/>
            <w:tcBorders>
              <w:top w:val="nil"/>
              <w:left w:val="nil"/>
              <w:bottom w:val="nil"/>
              <w:right w:val="nil"/>
            </w:tcBorders>
            <w:shd w:val="clear" w:color="auto" w:fill="auto"/>
            <w:noWrap/>
            <w:vAlign w:val="bottom"/>
            <w:hideMark/>
          </w:tcPr>
          <w:p w14:paraId="3FAD8697" w14:textId="77777777" w:rsidR="00475815" w:rsidRPr="00CC70D1" w:rsidRDefault="00475815" w:rsidP="00E738DC">
            <w:pPr>
              <w:spacing w:after="0" w:line="240" w:lineRule="auto"/>
              <w:rPr>
                <w:rFonts w:ascii="Times New Roman" w:eastAsia="Times New Roman" w:hAnsi="Times New Roman"/>
                <w:i/>
                <w:iCs/>
              </w:rPr>
            </w:pPr>
          </w:p>
        </w:tc>
        <w:tc>
          <w:tcPr>
            <w:tcW w:w="1185" w:type="dxa"/>
            <w:tcBorders>
              <w:top w:val="nil"/>
              <w:left w:val="nil"/>
              <w:bottom w:val="nil"/>
              <w:right w:val="nil"/>
            </w:tcBorders>
            <w:shd w:val="clear" w:color="auto" w:fill="auto"/>
            <w:noWrap/>
            <w:vAlign w:val="bottom"/>
            <w:hideMark/>
          </w:tcPr>
          <w:p w14:paraId="7F111788" w14:textId="77777777" w:rsidR="00475815" w:rsidRPr="00CC70D1" w:rsidRDefault="00475815" w:rsidP="00E738DC">
            <w:pPr>
              <w:spacing w:after="0" w:line="240" w:lineRule="auto"/>
              <w:rPr>
                <w:rFonts w:ascii="Times New Roman" w:eastAsia="Times New Roman" w:hAnsi="Times New Roman"/>
              </w:rPr>
            </w:pPr>
          </w:p>
        </w:tc>
        <w:tc>
          <w:tcPr>
            <w:tcW w:w="1387" w:type="dxa"/>
            <w:tcBorders>
              <w:top w:val="nil"/>
              <w:left w:val="nil"/>
              <w:bottom w:val="nil"/>
              <w:right w:val="nil"/>
            </w:tcBorders>
            <w:shd w:val="clear" w:color="auto" w:fill="auto"/>
            <w:noWrap/>
            <w:vAlign w:val="bottom"/>
            <w:hideMark/>
          </w:tcPr>
          <w:p w14:paraId="4DC0C3F3" w14:textId="77777777" w:rsidR="00475815" w:rsidRPr="00CC70D1" w:rsidRDefault="00475815" w:rsidP="00E738DC">
            <w:pPr>
              <w:spacing w:after="0" w:line="240" w:lineRule="auto"/>
              <w:rPr>
                <w:rFonts w:ascii="Times New Roman" w:eastAsia="Times New Roman" w:hAnsi="Times New Roman"/>
              </w:rPr>
            </w:pPr>
          </w:p>
        </w:tc>
      </w:tr>
      <w:tr w:rsidR="00475815" w:rsidRPr="00CC70D1" w14:paraId="10480587" w14:textId="77777777" w:rsidTr="00E86AEB">
        <w:trPr>
          <w:trHeight w:val="300"/>
        </w:trPr>
        <w:tc>
          <w:tcPr>
            <w:tcW w:w="3776" w:type="dxa"/>
            <w:tcBorders>
              <w:top w:val="single" w:sz="4" w:space="0" w:color="auto"/>
              <w:left w:val="nil"/>
              <w:bottom w:val="single" w:sz="4" w:space="0" w:color="auto"/>
              <w:right w:val="nil"/>
            </w:tcBorders>
            <w:shd w:val="clear" w:color="auto" w:fill="auto"/>
            <w:noWrap/>
            <w:vAlign w:val="bottom"/>
            <w:hideMark/>
          </w:tcPr>
          <w:p w14:paraId="28C33884" w14:textId="77777777" w:rsidR="00475815" w:rsidRPr="00CC70D1" w:rsidRDefault="00475815" w:rsidP="00E738DC">
            <w:pPr>
              <w:spacing w:after="0" w:line="240" w:lineRule="auto"/>
              <w:rPr>
                <w:rFonts w:ascii="Times New Roman" w:eastAsia="Times New Roman" w:hAnsi="Times New Roman"/>
              </w:rPr>
            </w:pPr>
            <w:r w:rsidRPr="00CC70D1">
              <w:rPr>
                <w:rFonts w:ascii="Times New Roman" w:eastAsia="Times New Roman" w:hAnsi="Times New Roman"/>
              </w:rPr>
              <w:t> </w:t>
            </w:r>
          </w:p>
        </w:tc>
        <w:tc>
          <w:tcPr>
            <w:tcW w:w="1276" w:type="dxa"/>
            <w:tcBorders>
              <w:top w:val="single" w:sz="4" w:space="0" w:color="auto"/>
              <w:left w:val="nil"/>
              <w:bottom w:val="single" w:sz="4" w:space="0" w:color="auto"/>
              <w:right w:val="nil"/>
            </w:tcBorders>
            <w:shd w:val="clear" w:color="auto" w:fill="auto"/>
            <w:noWrap/>
            <w:vAlign w:val="bottom"/>
            <w:hideMark/>
          </w:tcPr>
          <w:p w14:paraId="645BE868" w14:textId="77777777" w:rsidR="00475815" w:rsidRPr="00CC70D1" w:rsidRDefault="00475815" w:rsidP="00E738DC">
            <w:pPr>
              <w:spacing w:after="0" w:line="240" w:lineRule="auto"/>
              <w:jc w:val="right"/>
              <w:rPr>
                <w:rFonts w:ascii="Times New Roman" w:eastAsia="Times New Roman" w:hAnsi="Times New Roman"/>
                <w:b/>
                <w:bCs/>
              </w:rPr>
            </w:pPr>
            <w:r>
              <w:rPr>
                <w:rFonts w:ascii="Times New Roman" w:eastAsia="Times New Roman" w:hAnsi="Times New Roman"/>
                <w:b/>
                <w:bCs/>
              </w:rPr>
              <w:t>202</w:t>
            </w:r>
            <w:r w:rsidR="00141263">
              <w:rPr>
                <w:rFonts w:ascii="Times New Roman" w:eastAsia="Times New Roman" w:hAnsi="Times New Roman"/>
                <w:b/>
                <w:bCs/>
                <w:lang w:val="mk-MK"/>
              </w:rPr>
              <w:t>1</w:t>
            </w:r>
          </w:p>
        </w:tc>
        <w:tc>
          <w:tcPr>
            <w:tcW w:w="1185" w:type="dxa"/>
            <w:tcBorders>
              <w:top w:val="single" w:sz="4" w:space="0" w:color="auto"/>
              <w:left w:val="nil"/>
              <w:bottom w:val="single" w:sz="4" w:space="0" w:color="auto"/>
              <w:right w:val="nil"/>
            </w:tcBorders>
            <w:shd w:val="clear" w:color="auto" w:fill="auto"/>
            <w:noWrap/>
            <w:vAlign w:val="bottom"/>
            <w:hideMark/>
          </w:tcPr>
          <w:p w14:paraId="34EFD06C" w14:textId="77777777" w:rsidR="00475815" w:rsidRPr="00CC70D1" w:rsidRDefault="00475815" w:rsidP="00E738DC">
            <w:pPr>
              <w:spacing w:after="0" w:line="240" w:lineRule="auto"/>
              <w:jc w:val="right"/>
              <w:rPr>
                <w:rFonts w:ascii="Times New Roman" w:eastAsia="Times New Roman" w:hAnsi="Times New Roman"/>
                <w:b/>
                <w:bCs/>
              </w:rPr>
            </w:pPr>
            <w:r w:rsidRPr="00CC70D1">
              <w:rPr>
                <w:rFonts w:ascii="Times New Roman" w:eastAsia="Times New Roman" w:hAnsi="Times New Roman"/>
                <w:b/>
                <w:bCs/>
              </w:rPr>
              <w:t>202</w:t>
            </w:r>
            <w:r w:rsidR="00141263">
              <w:rPr>
                <w:rFonts w:ascii="Times New Roman" w:eastAsia="Times New Roman" w:hAnsi="Times New Roman"/>
                <w:b/>
                <w:bCs/>
                <w:lang w:val="mk-MK"/>
              </w:rPr>
              <w:t>2</w:t>
            </w:r>
          </w:p>
        </w:tc>
        <w:tc>
          <w:tcPr>
            <w:tcW w:w="1387" w:type="dxa"/>
            <w:tcBorders>
              <w:top w:val="single" w:sz="4" w:space="0" w:color="auto"/>
              <w:left w:val="nil"/>
              <w:bottom w:val="single" w:sz="4" w:space="0" w:color="auto"/>
              <w:right w:val="nil"/>
            </w:tcBorders>
            <w:shd w:val="clear" w:color="auto" w:fill="auto"/>
            <w:noWrap/>
            <w:vAlign w:val="bottom"/>
            <w:hideMark/>
          </w:tcPr>
          <w:p w14:paraId="6F1B95A0" w14:textId="77777777" w:rsidR="00475815" w:rsidRPr="00E86AEB" w:rsidRDefault="00475815" w:rsidP="00E86AEB">
            <w:pPr>
              <w:spacing w:after="0" w:line="240" w:lineRule="auto"/>
              <w:jc w:val="right"/>
              <w:rPr>
                <w:rFonts w:ascii="Times New Roman" w:eastAsia="Times New Roman" w:hAnsi="Times New Roman"/>
                <w:b/>
                <w:bCs/>
                <w:lang w:val="mk-MK"/>
              </w:rPr>
            </w:pPr>
            <w:r w:rsidRPr="00CC70D1">
              <w:rPr>
                <w:rFonts w:ascii="Times New Roman" w:eastAsia="Times New Roman" w:hAnsi="Times New Roman"/>
                <w:b/>
                <w:bCs/>
              </w:rPr>
              <w:t xml:space="preserve">% </w:t>
            </w:r>
            <w:r w:rsidR="00E86AEB">
              <w:rPr>
                <w:rFonts w:ascii="Times New Roman" w:eastAsia="Times New Roman" w:hAnsi="Times New Roman"/>
                <w:b/>
                <w:bCs/>
                <w:lang w:val="mk-MK"/>
              </w:rPr>
              <w:t>промена</w:t>
            </w:r>
          </w:p>
        </w:tc>
      </w:tr>
      <w:tr w:rsidR="00141263" w:rsidRPr="00CC70D1" w14:paraId="7F08E3FE" w14:textId="77777777" w:rsidTr="00372BD2">
        <w:trPr>
          <w:trHeight w:val="300"/>
        </w:trPr>
        <w:tc>
          <w:tcPr>
            <w:tcW w:w="3776" w:type="dxa"/>
            <w:tcBorders>
              <w:top w:val="nil"/>
              <w:left w:val="nil"/>
              <w:bottom w:val="nil"/>
              <w:right w:val="nil"/>
            </w:tcBorders>
            <w:shd w:val="clear" w:color="auto" w:fill="auto"/>
            <w:noWrap/>
            <w:vAlign w:val="bottom"/>
            <w:hideMark/>
          </w:tcPr>
          <w:p w14:paraId="3608BCD2" w14:textId="77777777" w:rsidR="00141263" w:rsidRPr="00E86AEB" w:rsidRDefault="00141263" w:rsidP="00141263">
            <w:pPr>
              <w:spacing w:after="0" w:line="240" w:lineRule="auto"/>
              <w:rPr>
                <w:rFonts w:ascii="Times New Roman" w:eastAsia="Times New Roman" w:hAnsi="Times New Roman"/>
                <w:b/>
                <w:bCs/>
                <w:lang w:val="mk-MK"/>
              </w:rPr>
            </w:pPr>
            <w:r>
              <w:rPr>
                <w:rFonts w:ascii="Times New Roman" w:eastAsia="Times New Roman" w:hAnsi="Times New Roman"/>
                <w:b/>
                <w:bCs/>
                <w:lang w:val="mk-MK"/>
              </w:rPr>
              <w:t>Нето каматни приходи</w:t>
            </w:r>
          </w:p>
        </w:tc>
        <w:tc>
          <w:tcPr>
            <w:tcW w:w="1276" w:type="dxa"/>
            <w:tcBorders>
              <w:top w:val="nil"/>
              <w:left w:val="nil"/>
              <w:bottom w:val="nil"/>
              <w:right w:val="nil"/>
            </w:tcBorders>
            <w:shd w:val="clear" w:color="auto" w:fill="auto"/>
            <w:noWrap/>
            <w:hideMark/>
          </w:tcPr>
          <w:p w14:paraId="0840A7A6" w14:textId="77777777" w:rsidR="00141263" w:rsidRPr="00141263" w:rsidRDefault="00141263" w:rsidP="00141263">
            <w:pPr>
              <w:spacing w:after="0" w:line="240" w:lineRule="auto"/>
              <w:jc w:val="right"/>
              <w:rPr>
                <w:rFonts w:ascii="Times New Roman" w:eastAsia="Times New Roman" w:hAnsi="Times New Roman"/>
                <w:b/>
                <w:bCs/>
              </w:rPr>
            </w:pPr>
            <w:r w:rsidRPr="00372BD2">
              <w:rPr>
                <w:rFonts w:ascii="Times New Roman" w:hAnsi="Times New Roman"/>
              </w:rPr>
              <w:t>62.4</w:t>
            </w:r>
          </w:p>
        </w:tc>
        <w:tc>
          <w:tcPr>
            <w:tcW w:w="1185" w:type="dxa"/>
            <w:tcBorders>
              <w:top w:val="nil"/>
              <w:left w:val="nil"/>
              <w:bottom w:val="nil"/>
              <w:right w:val="nil"/>
            </w:tcBorders>
            <w:shd w:val="clear" w:color="auto" w:fill="auto"/>
            <w:noWrap/>
            <w:hideMark/>
          </w:tcPr>
          <w:p w14:paraId="336C393D" w14:textId="77777777" w:rsidR="00141263" w:rsidRPr="00141263" w:rsidRDefault="00141263" w:rsidP="00141263">
            <w:pPr>
              <w:spacing w:after="0" w:line="240" w:lineRule="auto"/>
              <w:jc w:val="right"/>
              <w:rPr>
                <w:rFonts w:ascii="Times New Roman" w:eastAsia="Times New Roman" w:hAnsi="Times New Roman"/>
                <w:b/>
                <w:bCs/>
              </w:rPr>
            </w:pPr>
            <w:r w:rsidRPr="00372BD2">
              <w:rPr>
                <w:rFonts w:ascii="Times New Roman" w:hAnsi="Times New Roman"/>
              </w:rPr>
              <w:t>68.4</w:t>
            </w:r>
          </w:p>
        </w:tc>
        <w:tc>
          <w:tcPr>
            <w:tcW w:w="1387" w:type="dxa"/>
            <w:tcBorders>
              <w:top w:val="nil"/>
              <w:left w:val="nil"/>
              <w:bottom w:val="nil"/>
              <w:right w:val="nil"/>
            </w:tcBorders>
            <w:shd w:val="clear" w:color="auto" w:fill="auto"/>
            <w:noWrap/>
            <w:hideMark/>
          </w:tcPr>
          <w:p w14:paraId="59DC99E6" w14:textId="77777777" w:rsidR="00141263" w:rsidRPr="00141263" w:rsidRDefault="00141263" w:rsidP="00141263">
            <w:pPr>
              <w:spacing w:after="0" w:line="240" w:lineRule="auto"/>
              <w:jc w:val="right"/>
              <w:rPr>
                <w:rFonts w:ascii="Times New Roman" w:eastAsia="Times New Roman" w:hAnsi="Times New Roman"/>
                <w:b/>
                <w:bCs/>
              </w:rPr>
            </w:pPr>
            <w:r w:rsidRPr="00372BD2">
              <w:rPr>
                <w:rFonts w:ascii="Times New Roman" w:hAnsi="Times New Roman"/>
              </w:rPr>
              <w:t>9.6%</w:t>
            </w:r>
          </w:p>
        </w:tc>
      </w:tr>
      <w:tr w:rsidR="00141263" w:rsidRPr="00CC70D1" w14:paraId="3941AFFC" w14:textId="77777777" w:rsidTr="00372BD2">
        <w:trPr>
          <w:trHeight w:val="300"/>
        </w:trPr>
        <w:tc>
          <w:tcPr>
            <w:tcW w:w="3776" w:type="dxa"/>
            <w:tcBorders>
              <w:top w:val="nil"/>
              <w:left w:val="nil"/>
              <w:bottom w:val="nil"/>
              <w:right w:val="nil"/>
            </w:tcBorders>
            <w:shd w:val="clear" w:color="auto" w:fill="auto"/>
            <w:noWrap/>
            <w:vAlign w:val="bottom"/>
            <w:hideMark/>
          </w:tcPr>
          <w:p w14:paraId="131F8681" w14:textId="77777777" w:rsidR="00141263" w:rsidRPr="00E86AEB" w:rsidRDefault="00141263" w:rsidP="00141263">
            <w:pPr>
              <w:spacing w:after="0" w:line="240" w:lineRule="auto"/>
              <w:rPr>
                <w:rFonts w:ascii="Times New Roman" w:eastAsia="Times New Roman" w:hAnsi="Times New Roman"/>
                <w:lang w:val="mk-MK"/>
              </w:rPr>
            </w:pPr>
            <w:r w:rsidRPr="00CC70D1">
              <w:rPr>
                <w:rFonts w:ascii="Times New Roman" w:eastAsia="Times New Roman" w:hAnsi="Times New Roman"/>
              </w:rPr>
              <w:t xml:space="preserve">  </w:t>
            </w:r>
            <w:r>
              <w:rPr>
                <w:rFonts w:ascii="Times New Roman" w:eastAsia="Times New Roman" w:hAnsi="Times New Roman"/>
                <w:lang w:val="mk-MK"/>
              </w:rPr>
              <w:t>Каматни приходи</w:t>
            </w:r>
          </w:p>
        </w:tc>
        <w:tc>
          <w:tcPr>
            <w:tcW w:w="1276" w:type="dxa"/>
            <w:tcBorders>
              <w:top w:val="nil"/>
              <w:left w:val="nil"/>
              <w:bottom w:val="nil"/>
              <w:right w:val="nil"/>
            </w:tcBorders>
            <w:shd w:val="clear" w:color="auto" w:fill="auto"/>
            <w:noWrap/>
            <w:hideMark/>
          </w:tcPr>
          <w:p w14:paraId="3B77C6D3" w14:textId="77777777" w:rsidR="00141263" w:rsidRPr="00141263" w:rsidRDefault="00141263" w:rsidP="00141263">
            <w:pPr>
              <w:spacing w:after="0" w:line="240" w:lineRule="auto"/>
              <w:jc w:val="right"/>
              <w:rPr>
                <w:rFonts w:ascii="Times New Roman" w:eastAsia="Times New Roman" w:hAnsi="Times New Roman"/>
              </w:rPr>
            </w:pPr>
            <w:r w:rsidRPr="00372BD2">
              <w:rPr>
                <w:rFonts w:ascii="Times New Roman" w:hAnsi="Times New Roman"/>
              </w:rPr>
              <w:t>66.8</w:t>
            </w:r>
          </w:p>
        </w:tc>
        <w:tc>
          <w:tcPr>
            <w:tcW w:w="1185" w:type="dxa"/>
            <w:tcBorders>
              <w:top w:val="nil"/>
              <w:left w:val="nil"/>
              <w:bottom w:val="nil"/>
              <w:right w:val="nil"/>
            </w:tcBorders>
            <w:shd w:val="clear" w:color="auto" w:fill="auto"/>
            <w:noWrap/>
            <w:hideMark/>
          </w:tcPr>
          <w:p w14:paraId="7D135CD2" w14:textId="77777777" w:rsidR="00141263" w:rsidRPr="00141263" w:rsidRDefault="00141263" w:rsidP="00141263">
            <w:pPr>
              <w:spacing w:after="0" w:line="240" w:lineRule="auto"/>
              <w:jc w:val="right"/>
              <w:rPr>
                <w:rFonts w:ascii="Times New Roman" w:eastAsia="Times New Roman" w:hAnsi="Times New Roman"/>
              </w:rPr>
            </w:pPr>
            <w:r w:rsidRPr="00372BD2">
              <w:rPr>
                <w:rFonts w:ascii="Times New Roman" w:hAnsi="Times New Roman"/>
              </w:rPr>
              <w:t>72.0</w:t>
            </w:r>
          </w:p>
        </w:tc>
        <w:tc>
          <w:tcPr>
            <w:tcW w:w="1387" w:type="dxa"/>
            <w:tcBorders>
              <w:top w:val="nil"/>
              <w:left w:val="nil"/>
              <w:bottom w:val="nil"/>
              <w:right w:val="nil"/>
            </w:tcBorders>
            <w:shd w:val="clear" w:color="auto" w:fill="auto"/>
            <w:noWrap/>
            <w:hideMark/>
          </w:tcPr>
          <w:p w14:paraId="6ADCF220" w14:textId="77777777" w:rsidR="00141263" w:rsidRPr="00141263" w:rsidRDefault="00141263" w:rsidP="00141263">
            <w:pPr>
              <w:spacing w:after="0" w:line="240" w:lineRule="auto"/>
              <w:jc w:val="right"/>
              <w:rPr>
                <w:rFonts w:ascii="Times New Roman" w:eastAsia="Times New Roman" w:hAnsi="Times New Roman"/>
              </w:rPr>
            </w:pPr>
            <w:r w:rsidRPr="00372BD2">
              <w:rPr>
                <w:rFonts w:ascii="Times New Roman" w:hAnsi="Times New Roman"/>
              </w:rPr>
              <w:t>7.8%</w:t>
            </w:r>
          </w:p>
        </w:tc>
      </w:tr>
      <w:tr w:rsidR="00141263" w:rsidRPr="00CC70D1" w14:paraId="02497A70" w14:textId="77777777" w:rsidTr="00372BD2">
        <w:trPr>
          <w:trHeight w:val="315"/>
        </w:trPr>
        <w:tc>
          <w:tcPr>
            <w:tcW w:w="3776" w:type="dxa"/>
            <w:tcBorders>
              <w:top w:val="nil"/>
              <w:left w:val="nil"/>
              <w:bottom w:val="single" w:sz="8" w:space="0" w:color="auto"/>
              <w:right w:val="nil"/>
            </w:tcBorders>
            <w:shd w:val="clear" w:color="auto" w:fill="auto"/>
            <w:noWrap/>
            <w:vAlign w:val="bottom"/>
            <w:hideMark/>
          </w:tcPr>
          <w:p w14:paraId="280921DA" w14:textId="77777777" w:rsidR="00141263" w:rsidRPr="00E86AEB" w:rsidRDefault="00141263" w:rsidP="00141263">
            <w:pPr>
              <w:spacing w:after="0" w:line="240" w:lineRule="auto"/>
              <w:rPr>
                <w:rFonts w:ascii="Times New Roman" w:eastAsia="Times New Roman" w:hAnsi="Times New Roman"/>
                <w:lang w:val="mk-MK"/>
              </w:rPr>
            </w:pPr>
            <w:r w:rsidRPr="00CC70D1">
              <w:rPr>
                <w:rFonts w:ascii="Times New Roman" w:eastAsia="Times New Roman" w:hAnsi="Times New Roman"/>
              </w:rPr>
              <w:t xml:space="preserve">  </w:t>
            </w:r>
            <w:r>
              <w:rPr>
                <w:rFonts w:ascii="Times New Roman" w:eastAsia="Times New Roman" w:hAnsi="Times New Roman"/>
                <w:lang w:val="mk-MK"/>
              </w:rPr>
              <w:t>Каматни расходи</w:t>
            </w:r>
          </w:p>
        </w:tc>
        <w:tc>
          <w:tcPr>
            <w:tcW w:w="1276" w:type="dxa"/>
            <w:tcBorders>
              <w:top w:val="nil"/>
              <w:left w:val="nil"/>
              <w:bottom w:val="single" w:sz="8" w:space="0" w:color="auto"/>
              <w:right w:val="nil"/>
            </w:tcBorders>
            <w:shd w:val="clear" w:color="auto" w:fill="auto"/>
            <w:noWrap/>
            <w:hideMark/>
          </w:tcPr>
          <w:p w14:paraId="016470BB" w14:textId="77777777" w:rsidR="00141263" w:rsidRPr="00141263" w:rsidRDefault="00141263" w:rsidP="00141263">
            <w:pPr>
              <w:spacing w:after="0" w:line="240" w:lineRule="auto"/>
              <w:jc w:val="right"/>
              <w:rPr>
                <w:rFonts w:ascii="Times New Roman" w:eastAsia="Times New Roman" w:hAnsi="Times New Roman"/>
              </w:rPr>
            </w:pPr>
            <w:r w:rsidRPr="00372BD2">
              <w:rPr>
                <w:rFonts w:ascii="Times New Roman" w:hAnsi="Times New Roman"/>
              </w:rPr>
              <w:t>4.4</w:t>
            </w:r>
          </w:p>
        </w:tc>
        <w:tc>
          <w:tcPr>
            <w:tcW w:w="1185" w:type="dxa"/>
            <w:tcBorders>
              <w:top w:val="nil"/>
              <w:left w:val="nil"/>
              <w:bottom w:val="single" w:sz="8" w:space="0" w:color="auto"/>
              <w:right w:val="nil"/>
            </w:tcBorders>
            <w:shd w:val="clear" w:color="auto" w:fill="auto"/>
            <w:noWrap/>
            <w:hideMark/>
          </w:tcPr>
          <w:p w14:paraId="054562D2" w14:textId="77777777" w:rsidR="00141263" w:rsidRPr="00141263" w:rsidRDefault="00141263" w:rsidP="00141263">
            <w:pPr>
              <w:spacing w:after="0" w:line="240" w:lineRule="auto"/>
              <w:jc w:val="right"/>
              <w:rPr>
                <w:rFonts w:ascii="Times New Roman" w:eastAsia="Times New Roman" w:hAnsi="Times New Roman"/>
              </w:rPr>
            </w:pPr>
            <w:r w:rsidRPr="00372BD2">
              <w:rPr>
                <w:rFonts w:ascii="Times New Roman" w:hAnsi="Times New Roman"/>
              </w:rPr>
              <w:t>3.6</w:t>
            </w:r>
          </w:p>
        </w:tc>
        <w:tc>
          <w:tcPr>
            <w:tcW w:w="1387" w:type="dxa"/>
            <w:tcBorders>
              <w:top w:val="nil"/>
              <w:left w:val="nil"/>
              <w:bottom w:val="single" w:sz="8" w:space="0" w:color="auto"/>
              <w:right w:val="nil"/>
            </w:tcBorders>
            <w:shd w:val="clear" w:color="auto" w:fill="auto"/>
            <w:noWrap/>
            <w:hideMark/>
          </w:tcPr>
          <w:p w14:paraId="51ECBE33" w14:textId="77777777" w:rsidR="00141263" w:rsidRPr="00141263" w:rsidRDefault="00141263" w:rsidP="00141263">
            <w:pPr>
              <w:spacing w:after="0" w:line="240" w:lineRule="auto"/>
              <w:jc w:val="right"/>
              <w:rPr>
                <w:rFonts w:ascii="Times New Roman" w:eastAsia="Times New Roman" w:hAnsi="Times New Roman"/>
              </w:rPr>
            </w:pPr>
            <w:r w:rsidRPr="00372BD2">
              <w:rPr>
                <w:rFonts w:ascii="Times New Roman" w:hAnsi="Times New Roman"/>
              </w:rPr>
              <w:t>-18.2%</w:t>
            </w:r>
          </w:p>
        </w:tc>
      </w:tr>
      <w:bookmarkEnd w:id="27"/>
    </w:tbl>
    <w:p w14:paraId="57EACEFC" w14:textId="77777777" w:rsidR="00141263" w:rsidRDefault="00141263" w:rsidP="009802EA">
      <w:pPr>
        <w:keepNext/>
        <w:spacing w:after="0"/>
        <w:jc w:val="both"/>
        <w:rPr>
          <w:rFonts w:ascii="Times New Roman" w:hAnsi="Times New Roman"/>
          <w:b/>
          <w:bCs/>
          <w:i/>
          <w:iCs/>
          <w:sz w:val="24"/>
          <w:szCs w:val="24"/>
          <w:lang w:val="mk-MK"/>
        </w:rPr>
      </w:pPr>
    </w:p>
    <w:p w14:paraId="66139182" w14:textId="77777777" w:rsidR="006D56D8" w:rsidRPr="00A75476" w:rsidRDefault="00E86AEB" w:rsidP="00A75476">
      <w:pPr>
        <w:pStyle w:val="Heading2"/>
        <w:rPr>
          <w:i/>
          <w:lang w:val="mk-MK"/>
        </w:rPr>
      </w:pPr>
      <w:bookmarkStart w:id="28" w:name="_Toc132974475"/>
      <w:bookmarkStart w:id="29" w:name="_Toc132978835"/>
      <w:r w:rsidRPr="00A75476">
        <w:rPr>
          <w:i/>
          <w:lang w:val="mk-MK"/>
        </w:rPr>
        <w:t>Приходи од провизии и надоместоци</w:t>
      </w:r>
      <w:bookmarkEnd w:id="28"/>
      <w:bookmarkEnd w:id="29"/>
    </w:p>
    <w:p w14:paraId="17C211A7" w14:textId="77777777" w:rsidR="00475815" w:rsidRPr="001C5B17" w:rsidRDefault="00E86AEB" w:rsidP="00475815">
      <w:pPr>
        <w:pStyle w:val="BodyText"/>
        <w:spacing w:before="240" w:after="240" w:line="276" w:lineRule="auto"/>
        <w:jc w:val="both"/>
        <w:rPr>
          <w:bCs/>
          <w:sz w:val="24"/>
          <w:lang w:val="mk-MK"/>
        </w:rPr>
      </w:pPr>
      <w:r>
        <w:rPr>
          <w:bCs/>
          <w:sz w:val="24"/>
          <w:lang w:val="mk-MK"/>
        </w:rPr>
        <w:t>Во 202</w:t>
      </w:r>
      <w:r w:rsidR="00141263">
        <w:rPr>
          <w:bCs/>
          <w:sz w:val="24"/>
          <w:lang w:val="mk-MK"/>
        </w:rPr>
        <w:t>2</w:t>
      </w:r>
      <w:r>
        <w:rPr>
          <w:bCs/>
          <w:sz w:val="24"/>
          <w:lang w:val="mk-MK"/>
        </w:rPr>
        <w:t xml:space="preserve"> година</w:t>
      </w:r>
      <w:r w:rsidR="00141263">
        <w:rPr>
          <w:bCs/>
          <w:sz w:val="24"/>
          <w:lang w:val="mk-MK"/>
        </w:rPr>
        <w:t>,</w:t>
      </w:r>
      <w:r>
        <w:rPr>
          <w:bCs/>
          <w:sz w:val="24"/>
          <w:lang w:val="mk-MK"/>
        </w:rPr>
        <w:t xml:space="preserve"> нето приходите од провизии и надоместоци достигнаа 1</w:t>
      </w:r>
      <w:r w:rsidR="00141263">
        <w:rPr>
          <w:bCs/>
          <w:sz w:val="24"/>
          <w:lang w:val="mk-MK"/>
        </w:rPr>
        <w:t>4</w:t>
      </w:r>
      <w:r w:rsidRPr="001C5B17">
        <w:rPr>
          <w:bCs/>
          <w:sz w:val="24"/>
          <w:lang w:val="mk-MK"/>
        </w:rPr>
        <w:t>,</w:t>
      </w:r>
      <w:r w:rsidR="00141263">
        <w:rPr>
          <w:bCs/>
          <w:sz w:val="24"/>
          <w:lang w:val="mk-MK"/>
        </w:rPr>
        <w:t>6</w:t>
      </w:r>
      <w:r>
        <w:rPr>
          <w:bCs/>
          <w:sz w:val="24"/>
          <w:lang w:val="mk-MK"/>
        </w:rPr>
        <w:t xml:space="preserve"> милиони евра. Најзначајниот дел (43,</w:t>
      </w:r>
      <w:r w:rsidR="00141263">
        <w:rPr>
          <w:bCs/>
          <w:sz w:val="24"/>
          <w:lang w:val="mk-MK"/>
        </w:rPr>
        <w:t>8</w:t>
      </w:r>
      <w:r>
        <w:rPr>
          <w:bCs/>
          <w:sz w:val="24"/>
          <w:lang w:val="mk-MK"/>
        </w:rPr>
        <w:t>%</w:t>
      </w:r>
      <w:r w:rsidR="00141263">
        <w:rPr>
          <w:bCs/>
          <w:sz w:val="24"/>
          <w:lang w:val="mk-MK"/>
        </w:rPr>
        <w:t xml:space="preserve"> од вкупните приходи </w:t>
      </w:r>
      <w:r w:rsidR="00141263" w:rsidRPr="00141263">
        <w:rPr>
          <w:bCs/>
          <w:sz w:val="24"/>
          <w:lang w:val="mk-MK"/>
        </w:rPr>
        <w:t>од провизии и надоместоци</w:t>
      </w:r>
      <w:r w:rsidR="00141263">
        <w:rPr>
          <w:bCs/>
          <w:sz w:val="24"/>
          <w:lang w:val="mk-MK"/>
        </w:rPr>
        <w:t xml:space="preserve"> на Банката</w:t>
      </w:r>
      <w:r>
        <w:rPr>
          <w:bCs/>
          <w:sz w:val="24"/>
          <w:lang w:val="mk-MK"/>
        </w:rPr>
        <w:t xml:space="preserve">) се однесува на надоместоци од трансфери на средства во износ од </w:t>
      </w:r>
      <w:r w:rsidR="00141263">
        <w:rPr>
          <w:bCs/>
          <w:sz w:val="24"/>
          <w:lang w:val="mk-MK"/>
        </w:rPr>
        <w:t>6,4</w:t>
      </w:r>
      <w:r>
        <w:rPr>
          <w:bCs/>
          <w:sz w:val="24"/>
          <w:lang w:val="mk-MK"/>
        </w:rPr>
        <w:t xml:space="preserve"> милиони евра, забележувајќи раст од </w:t>
      </w:r>
      <w:r w:rsidR="00141263">
        <w:rPr>
          <w:bCs/>
          <w:sz w:val="24"/>
          <w:lang w:val="mk-MK"/>
        </w:rPr>
        <w:t>8,5</w:t>
      </w:r>
      <w:r>
        <w:rPr>
          <w:bCs/>
          <w:sz w:val="24"/>
          <w:lang w:val="mk-MK"/>
        </w:rPr>
        <w:t>% во споредба со минатата година. Нето приходот од кредитни активности е втора по големина ставка на надоместок, која на крајот од 202</w:t>
      </w:r>
      <w:r w:rsidR="00141263">
        <w:rPr>
          <w:bCs/>
          <w:sz w:val="24"/>
          <w:lang w:val="mk-MK"/>
        </w:rPr>
        <w:t>2</w:t>
      </w:r>
      <w:r>
        <w:rPr>
          <w:bCs/>
          <w:sz w:val="24"/>
          <w:lang w:val="mk-MK"/>
        </w:rPr>
        <w:t xml:space="preserve"> година </w:t>
      </w:r>
      <w:r>
        <w:rPr>
          <w:bCs/>
          <w:sz w:val="24"/>
          <w:lang w:val="mk-MK"/>
        </w:rPr>
        <w:lastRenderedPageBreak/>
        <w:t>изнесуваше 3,</w:t>
      </w:r>
      <w:r w:rsidR="00141263">
        <w:rPr>
          <w:bCs/>
          <w:sz w:val="24"/>
          <w:lang w:val="mk-MK"/>
        </w:rPr>
        <w:t>9</w:t>
      </w:r>
      <w:r>
        <w:rPr>
          <w:bCs/>
          <w:sz w:val="24"/>
          <w:lang w:val="mk-MK"/>
        </w:rPr>
        <w:t xml:space="preserve"> милиони евра, што претставува 2</w:t>
      </w:r>
      <w:r w:rsidR="00141263">
        <w:rPr>
          <w:bCs/>
          <w:sz w:val="24"/>
          <w:lang w:val="mk-MK"/>
        </w:rPr>
        <w:t>6</w:t>
      </w:r>
      <w:r>
        <w:rPr>
          <w:bCs/>
          <w:sz w:val="24"/>
          <w:lang w:val="mk-MK"/>
        </w:rPr>
        <w:t>,</w:t>
      </w:r>
      <w:r w:rsidR="00141263">
        <w:rPr>
          <w:bCs/>
          <w:sz w:val="24"/>
          <w:lang w:val="mk-MK"/>
        </w:rPr>
        <w:t>7</w:t>
      </w:r>
      <w:r>
        <w:rPr>
          <w:bCs/>
          <w:sz w:val="24"/>
          <w:lang w:val="mk-MK"/>
        </w:rPr>
        <w:t>% од вкупниот приход од провизии и надоместоци.</w:t>
      </w:r>
    </w:p>
    <w:tbl>
      <w:tblPr>
        <w:tblW w:w="7560" w:type="dxa"/>
        <w:tblLook w:val="04A0" w:firstRow="1" w:lastRow="0" w:firstColumn="1" w:lastColumn="0" w:noHBand="0" w:noVBand="1"/>
      </w:tblPr>
      <w:tblGrid>
        <w:gridCol w:w="3760"/>
        <w:gridCol w:w="1260"/>
        <w:gridCol w:w="1076"/>
        <w:gridCol w:w="1464"/>
      </w:tblGrid>
      <w:tr w:rsidR="00475815" w:rsidRPr="00CC70D1" w14:paraId="6120B748" w14:textId="77777777" w:rsidTr="00F56EED">
        <w:trPr>
          <w:trHeight w:val="300"/>
        </w:trPr>
        <w:tc>
          <w:tcPr>
            <w:tcW w:w="3760" w:type="dxa"/>
            <w:tcBorders>
              <w:top w:val="nil"/>
              <w:left w:val="nil"/>
              <w:bottom w:val="nil"/>
              <w:right w:val="nil"/>
            </w:tcBorders>
            <w:shd w:val="clear" w:color="auto" w:fill="auto"/>
            <w:noWrap/>
            <w:vAlign w:val="bottom"/>
            <w:hideMark/>
          </w:tcPr>
          <w:p w14:paraId="0B2BFCF4" w14:textId="77777777" w:rsidR="00475815" w:rsidRPr="00E86AEB" w:rsidRDefault="00E86AEB" w:rsidP="00E738DC">
            <w:pPr>
              <w:spacing w:after="0" w:line="240" w:lineRule="auto"/>
              <w:rPr>
                <w:rFonts w:ascii="Times New Roman" w:eastAsia="Times New Roman" w:hAnsi="Times New Roman"/>
                <w:i/>
                <w:iCs/>
                <w:lang w:val="mk-MK"/>
              </w:rPr>
            </w:pPr>
            <w:r>
              <w:rPr>
                <w:rFonts w:ascii="Times New Roman" w:eastAsia="Times New Roman" w:hAnsi="Times New Roman"/>
                <w:i/>
                <w:iCs/>
                <w:lang w:val="mk-MK"/>
              </w:rPr>
              <w:t>Во милиони евра</w:t>
            </w:r>
          </w:p>
        </w:tc>
        <w:tc>
          <w:tcPr>
            <w:tcW w:w="1260" w:type="dxa"/>
            <w:tcBorders>
              <w:top w:val="nil"/>
              <w:left w:val="nil"/>
              <w:bottom w:val="nil"/>
              <w:right w:val="nil"/>
            </w:tcBorders>
            <w:shd w:val="clear" w:color="auto" w:fill="auto"/>
            <w:noWrap/>
            <w:vAlign w:val="bottom"/>
            <w:hideMark/>
          </w:tcPr>
          <w:p w14:paraId="3193C27B" w14:textId="77777777" w:rsidR="00475815" w:rsidRPr="00CC70D1" w:rsidRDefault="00475815" w:rsidP="00E738DC">
            <w:pPr>
              <w:spacing w:after="0" w:line="240" w:lineRule="auto"/>
              <w:rPr>
                <w:rFonts w:ascii="Times New Roman" w:eastAsia="Times New Roman" w:hAnsi="Times New Roman"/>
                <w:i/>
                <w:iCs/>
              </w:rPr>
            </w:pPr>
          </w:p>
        </w:tc>
        <w:tc>
          <w:tcPr>
            <w:tcW w:w="1076" w:type="dxa"/>
            <w:tcBorders>
              <w:top w:val="nil"/>
              <w:left w:val="nil"/>
              <w:bottom w:val="nil"/>
              <w:right w:val="nil"/>
            </w:tcBorders>
            <w:shd w:val="clear" w:color="auto" w:fill="auto"/>
            <w:noWrap/>
            <w:vAlign w:val="bottom"/>
            <w:hideMark/>
          </w:tcPr>
          <w:p w14:paraId="0C98B81C" w14:textId="77777777" w:rsidR="00475815" w:rsidRPr="00CC70D1" w:rsidRDefault="00475815" w:rsidP="00E738DC">
            <w:pPr>
              <w:spacing w:after="0" w:line="240" w:lineRule="auto"/>
              <w:rPr>
                <w:rFonts w:ascii="Times New Roman" w:eastAsia="Times New Roman" w:hAnsi="Times New Roman"/>
              </w:rPr>
            </w:pPr>
          </w:p>
        </w:tc>
        <w:tc>
          <w:tcPr>
            <w:tcW w:w="1464" w:type="dxa"/>
            <w:tcBorders>
              <w:top w:val="nil"/>
              <w:left w:val="nil"/>
              <w:bottom w:val="nil"/>
              <w:right w:val="nil"/>
            </w:tcBorders>
            <w:shd w:val="clear" w:color="auto" w:fill="auto"/>
            <w:noWrap/>
            <w:vAlign w:val="bottom"/>
            <w:hideMark/>
          </w:tcPr>
          <w:p w14:paraId="59DBD254" w14:textId="77777777" w:rsidR="00475815" w:rsidRPr="00CC70D1" w:rsidRDefault="00475815" w:rsidP="00E738DC">
            <w:pPr>
              <w:spacing w:after="0" w:line="240" w:lineRule="auto"/>
              <w:rPr>
                <w:rFonts w:ascii="Times New Roman" w:eastAsia="Times New Roman" w:hAnsi="Times New Roman"/>
              </w:rPr>
            </w:pPr>
          </w:p>
        </w:tc>
      </w:tr>
      <w:tr w:rsidR="00475815" w:rsidRPr="00CC70D1" w14:paraId="7DFC9815" w14:textId="77777777" w:rsidTr="00F56EED">
        <w:trPr>
          <w:trHeight w:val="300"/>
        </w:trPr>
        <w:tc>
          <w:tcPr>
            <w:tcW w:w="3760" w:type="dxa"/>
            <w:tcBorders>
              <w:top w:val="single" w:sz="4" w:space="0" w:color="auto"/>
              <w:left w:val="nil"/>
              <w:bottom w:val="single" w:sz="4" w:space="0" w:color="auto"/>
              <w:right w:val="nil"/>
            </w:tcBorders>
            <w:shd w:val="clear" w:color="auto" w:fill="auto"/>
            <w:noWrap/>
            <w:vAlign w:val="bottom"/>
            <w:hideMark/>
          </w:tcPr>
          <w:p w14:paraId="3F242C08" w14:textId="77777777" w:rsidR="00475815" w:rsidRPr="00CC70D1" w:rsidRDefault="00475815" w:rsidP="00E738DC">
            <w:pPr>
              <w:spacing w:after="0" w:line="240" w:lineRule="auto"/>
              <w:rPr>
                <w:rFonts w:ascii="Times New Roman" w:eastAsia="Times New Roman" w:hAnsi="Times New Roman"/>
              </w:rPr>
            </w:pPr>
            <w:r w:rsidRPr="00CC70D1">
              <w:rPr>
                <w:rFonts w:ascii="Times New Roman" w:eastAsia="Times New Roman" w:hAnsi="Times New Roman"/>
              </w:rPr>
              <w:t> </w:t>
            </w:r>
          </w:p>
        </w:tc>
        <w:tc>
          <w:tcPr>
            <w:tcW w:w="1260" w:type="dxa"/>
            <w:tcBorders>
              <w:top w:val="single" w:sz="4" w:space="0" w:color="auto"/>
              <w:left w:val="nil"/>
              <w:bottom w:val="single" w:sz="4" w:space="0" w:color="auto"/>
              <w:right w:val="nil"/>
            </w:tcBorders>
            <w:shd w:val="clear" w:color="auto" w:fill="auto"/>
            <w:noWrap/>
            <w:vAlign w:val="bottom"/>
            <w:hideMark/>
          </w:tcPr>
          <w:p w14:paraId="69BA17CE" w14:textId="77777777" w:rsidR="00475815" w:rsidRPr="00CC70D1" w:rsidRDefault="00475815" w:rsidP="00E738DC">
            <w:pPr>
              <w:spacing w:after="0" w:line="240" w:lineRule="auto"/>
              <w:jc w:val="right"/>
              <w:rPr>
                <w:rFonts w:ascii="Times New Roman" w:eastAsia="Times New Roman" w:hAnsi="Times New Roman"/>
                <w:b/>
                <w:bCs/>
              </w:rPr>
            </w:pPr>
            <w:r>
              <w:rPr>
                <w:rFonts w:ascii="Times New Roman" w:eastAsia="Times New Roman" w:hAnsi="Times New Roman"/>
                <w:b/>
                <w:bCs/>
              </w:rPr>
              <w:t>202</w:t>
            </w:r>
            <w:r w:rsidR="00141263">
              <w:rPr>
                <w:rFonts w:ascii="Times New Roman" w:eastAsia="Times New Roman" w:hAnsi="Times New Roman"/>
                <w:b/>
                <w:bCs/>
                <w:lang w:val="mk-MK"/>
              </w:rPr>
              <w:t>1</w:t>
            </w:r>
          </w:p>
        </w:tc>
        <w:tc>
          <w:tcPr>
            <w:tcW w:w="1076" w:type="dxa"/>
            <w:tcBorders>
              <w:top w:val="single" w:sz="4" w:space="0" w:color="auto"/>
              <w:left w:val="nil"/>
              <w:bottom w:val="single" w:sz="4" w:space="0" w:color="auto"/>
              <w:right w:val="nil"/>
            </w:tcBorders>
            <w:shd w:val="clear" w:color="auto" w:fill="auto"/>
            <w:noWrap/>
            <w:vAlign w:val="bottom"/>
            <w:hideMark/>
          </w:tcPr>
          <w:p w14:paraId="23301F11" w14:textId="77777777" w:rsidR="00475815" w:rsidRPr="00CC70D1" w:rsidRDefault="00475815" w:rsidP="00E738DC">
            <w:pPr>
              <w:spacing w:after="0" w:line="240" w:lineRule="auto"/>
              <w:jc w:val="right"/>
              <w:rPr>
                <w:rFonts w:ascii="Times New Roman" w:eastAsia="Times New Roman" w:hAnsi="Times New Roman"/>
                <w:b/>
                <w:bCs/>
              </w:rPr>
            </w:pPr>
            <w:r>
              <w:rPr>
                <w:rFonts w:ascii="Times New Roman" w:eastAsia="Times New Roman" w:hAnsi="Times New Roman"/>
                <w:b/>
                <w:bCs/>
              </w:rPr>
              <w:t>202</w:t>
            </w:r>
            <w:r w:rsidR="00141263">
              <w:rPr>
                <w:rFonts w:ascii="Times New Roman" w:eastAsia="Times New Roman" w:hAnsi="Times New Roman"/>
                <w:b/>
                <w:bCs/>
                <w:lang w:val="mk-MK"/>
              </w:rPr>
              <w:t>2</w:t>
            </w:r>
          </w:p>
        </w:tc>
        <w:tc>
          <w:tcPr>
            <w:tcW w:w="1464" w:type="dxa"/>
            <w:tcBorders>
              <w:top w:val="single" w:sz="4" w:space="0" w:color="auto"/>
              <w:left w:val="nil"/>
              <w:bottom w:val="single" w:sz="4" w:space="0" w:color="auto"/>
              <w:right w:val="nil"/>
            </w:tcBorders>
            <w:shd w:val="clear" w:color="auto" w:fill="auto"/>
            <w:noWrap/>
            <w:vAlign w:val="bottom"/>
            <w:hideMark/>
          </w:tcPr>
          <w:p w14:paraId="082491DE" w14:textId="77777777" w:rsidR="00475815" w:rsidRPr="00F56EED" w:rsidRDefault="00475815" w:rsidP="00F56EED">
            <w:pPr>
              <w:spacing w:after="0" w:line="240" w:lineRule="auto"/>
              <w:jc w:val="right"/>
              <w:rPr>
                <w:rFonts w:ascii="Times New Roman" w:eastAsia="Times New Roman" w:hAnsi="Times New Roman"/>
                <w:b/>
                <w:bCs/>
                <w:lang w:val="mk-MK"/>
              </w:rPr>
            </w:pPr>
            <w:r w:rsidRPr="00CC70D1">
              <w:rPr>
                <w:rFonts w:ascii="Times New Roman" w:eastAsia="Times New Roman" w:hAnsi="Times New Roman"/>
                <w:b/>
                <w:bCs/>
              </w:rPr>
              <w:t xml:space="preserve">% </w:t>
            </w:r>
            <w:r w:rsidR="00F56EED">
              <w:rPr>
                <w:rFonts w:ascii="Times New Roman" w:eastAsia="Times New Roman" w:hAnsi="Times New Roman"/>
                <w:b/>
                <w:bCs/>
                <w:lang w:val="mk-MK"/>
              </w:rPr>
              <w:t>промена</w:t>
            </w:r>
          </w:p>
        </w:tc>
      </w:tr>
      <w:tr w:rsidR="00141263" w:rsidRPr="00CC70D1" w14:paraId="2FC2D9E9" w14:textId="77777777" w:rsidTr="00372BD2">
        <w:trPr>
          <w:trHeight w:val="300"/>
        </w:trPr>
        <w:tc>
          <w:tcPr>
            <w:tcW w:w="3760" w:type="dxa"/>
            <w:tcBorders>
              <w:top w:val="nil"/>
              <w:left w:val="nil"/>
              <w:bottom w:val="nil"/>
              <w:right w:val="nil"/>
            </w:tcBorders>
            <w:shd w:val="clear" w:color="auto" w:fill="auto"/>
            <w:noWrap/>
            <w:vAlign w:val="bottom"/>
            <w:hideMark/>
          </w:tcPr>
          <w:p w14:paraId="5E6364CC" w14:textId="77777777" w:rsidR="00141263" w:rsidRPr="00E86AEB" w:rsidRDefault="00141263" w:rsidP="00141263">
            <w:pPr>
              <w:spacing w:after="0" w:line="240" w:lineRule="auto"/>
              <w:rPr>
                <w:rFonts w:ascii="Times New Roman" w:eastAsia="Times New Roman" w:hAnsi="Times New Roman"/>
                <w:b/>
                <w:bCs/>
                <w:lang w:val="mk-MK"/>
              </w:rPr>
            </w:pPr>
            <w:r>
              <w:rPr>
                <w:rFonts w:ascii="Times New Roman" w:eastAsia="Times New Roman" w:hAnsi="Times New Roman"/>
                <w:b/>
                <w:bCs/>
                <w:lang w:val="mk-MK"/>
              </w:rPr>
              <w:t>Нето приходи од провизии и надоместоци</w:t>
            </w:r>
          </w:p>
        </w:tc>
        <w:tc>
          <w:tcPr>
            <w:tcW w:w="1260" w:type="dxa"/>
            <w:tcBorders>
              <w:top w:val="nil"/>
              <w:left w:val="nil"/>
              <w:bottom w:val="nil"/>
              <w:right w:val="nil"/>
            </w:tcBorders>
            <w:shd w:val="clear" w:color="auto" w:fill="auto"/>
            <w:noWrap/>
            <w:hideMark/>
          </w:tcPr>
          <w:p w14:paraId="261EDA06" w14:textId="77777777" w:rsidR="00141263" w:rsidRPr="00141263" w:rsidRDefault="00141263" w:rsidP="00141263">
            <w:pPr>
              <w:spacing w:after="0" w:line="240" w:lineRule="auto"/>
              <w:jc w:val="right"/>
              <w:rPr>
                <w:rFonts w:ascii="Times New Roman" w:eastAsia="Times New Roman" w:hAnsi="Times New Roman"/>
                <w:b/>
                <w:bCs/>
              </w:rPr>
            </w:pPr>
            <w:r w:rsidRPr="00372BD2">
              <w:rPr>
                <w:rFonts w:ascii="Times New Roman" w:hAnsi="Times New Roman"/>
              </w:rPr>
              <w:t>13.5</w:t>
            </w:r>
          </w:p>
        </w:tc>
        <w:tc>
          <w:tcPr>
            <w:tcW w:w="1076" w:type="dxa"/>
            <w:tcBorders>
              <w:top w:val="nil"/>
              <w:left w:val="nil"/>
              <w:bottom w:val="nil"/>
              <w:right w:val="nil"/>
            </w:tcBorders>
            <w:shd w:val="clear" w:color="auto" w:fill="auto"/>
            <w:noWrap/>
            <w:hideMark/>
          </w:tcPr>
          <w:p w14:paraId="089EF1F3" w14:textId="77777777" w:rsidR="00141263" w:rsidRPr="00141263" w:rsidRDefault="00141263" w:rsidP="00141263">
            <w:pPr>
              <w:spacing w:after="0" w:line="240" w:lineRule="auto"/>
              <w:jc w:val="right"/>
              <w:rPr>
                <w:rFonts w:ascii="Times New Roman" w:eastAsia="Times New Roman" w:hAnsi="Times New Roman"/>
                <w:b/>
                <w:bCs/>
              </w:rPr>
            </w:pPr>
            <w:r w:rsidRPr="00372BD2">
              <w:rPr>
                <w:rFonts w:ascii="Times New Roman" w:hAnsi="Times New Roman"/>
              </w:rPr>
              <w:t>14.6</w:t>
            </w:r>
          </w:p>
        </w:tc>
        <w:tc>
          <w:tcPr>
            <w:tcW w:w="1464" w:type="dxa"/>
            <w:tcBorders>
              <w:top w:val="nil"/>
              <w:left w:val="nil"/>
              <w:bottom w:val="nil"/>
              <w:right w:val="nil"/>
            </w:tcBorders>
            <w:shd w:val="clear" w:color="auto" w:fill="auto"/>
            <w:noWrap/>
            <w:hideMark/>
          </w:tcPr>
          <w:p w14:paraId="54B49B9E" w14:textId="77777777" w:rsidR="00141263" w:rsidRPr="00141263" w:rsidRDefault="00141263" w:rsidP="00141263">
            <w:pPr>
              <w:spacing w:after="0" w:line="240" w:lineRule="auto"/>
              <w:jc w:val="right"/>
              <w:rPr>
                <w:rFonts w:ascii="Times New Roman" w:eastAsia="Times New Roman" w:hAnsi="Times New Roman"/>
                <w:b/>
                <w:bCs/>
              </w:rPr>
            </w:pPr>
            <w:r w:rsidRPr="00372BD2">
              <w:rPr>
                <w:rFonts w:ascii="Times New Roman" w:hAnsi="Times New Roman"/>
              </w:rPr>
              <w:t>8.1%</w:t>
            </w:r>
          </w:p>
        </w:tc>
      </w:tr>
      <w:tr w:rsidR="00141263" w:rsidRPr="00CC70D1" w14:paraId="2019E5E5" w14:textId="77777777" w:rsidTr="00372BD2">
        <w:trPr>
          <w:trHeight w:val="300"/>
        </w:trPr>
        <w:tc>
          <w:tcPr>
            <w:tcW w:w="3760" w:type="dxa"/>
            <w:tcBorders>
              <w:top w:val="nil"/>
              <w:left w:val="nil"/>
              <w:bottom w:val="nil"/>
              <w:right w:val="nil"/>
            </w:tcBorders>
            <w:shd w:val="clear" w:color="auto" w:fill="auto"/>
            <w:noWrap/>
            <w:vAlign w:val="bottom"/>
            <w:hideMark/>
          </w:tcPr>
          <w:p w14:paraId="612E8D7E" w14:textId="77777777" w:rsidR="00141263" w:rsidRPr="00CC70D1" w:rsidRDefault="00141263" w:rsidP="00141263">
            <w:pPr>
              <w:spacing w:after="0" w:line="240" w:lineRule="auto"/>
              <w:rPr>
                <w:rFonts w:ascii="Times New Roman" w:eastAsia="Times New Roman" w:hAnsi="Times New Roman"/>
              </w:rPr>
            </w:pPr>
            <w:r w:rsidRPr="00CC70D1">
              <w:rPr>
                <w:rFonts w:ascii="Times New Roman" w:eastAsia="Times New Roman" w:hAnsi="Times New Roman"/>
              </w:rPr>
              <w:t xml:space="preserve">  </w:t>
            </w:r>
            <w:r>
              <w:rPr>
                <w:rFonts w:ascii="Times New Roman" w:eastAsia="Times New Roman" w:hAnsi="Times New Roman"/>
                <w:lang w:val="mk-MK"/>
              </w:rPr>
              <w:t>Кредити</w:t>
            </w:r>
            <w:r w:rsidRPr="00CC70D1">
              <w:rPr>
                <w:rFonts w:ascii="Times New Roman" w:eastAsia="Times New Roman" w:hAnsi="Times New Roman"/>
              </w:rPr>
              <w:t xml:space="preserve"> </w:t>
            </w:r>
          </w:p>
        </w:tc>
        <w:tc>
          <w:tcPr>
            <w:tcW w:w="1260" w:type="dxa"/>
            <w:tcBorders>
              <w:top w:val="nil"/>
              <w:left w:val="nil"/>
              <w:bottom w:val="nil"/>
              <w:right w:val="nil"/>
            </w:tcBorders>
            <w:shd w:val="clear" w:color="auto" w:fill="auto"/>
            <w:noWrap/>
            <w:hideMark/>
          </w:tcPr>
          <w:p w14:paraId="51F71069" w14:textId="77777777" w:rsidR="00141263" w:rsidRPr="00141263" w:rsidRDefault="00141263" w:rsidP="00141263">
            <w:pPr>
              <w:spacing w:after="0" w:line="240" w:lineRule="auto"/>
              <w:jc w:val="right"/>
              <w:rPr>
                <w:rFonts w:ascii="Times New Roman" w:eastAsia="Times New Roman" w:hAnsi="Times New Roman"/>
              </w:rPr>
            </w:pPr>
            <w:r w:rsidRPr="00372BD2">
              <w:rPr>
                <w:rFonts w:ascii="Times New Roman" w:hAnsi="Times New Roman"/>
              </w:rPr>
              <w:t>3.6</w:t>
            </w:r>
          </w:p>
        </w:tc>
        <w:tc>
          <w:tcPr>
            <w:tcW w:w="1076" w:type="dxa"/>
            <w:tcBorders>
              <w:top w:val="nil"/>
              <w:left w:val="nil"/>
              <w:bottom w:val="nil"/>
              <w:right w:val="nil"/>
            </w:tcBorders>
            <w:shd w:val="clear" w:color="auto" w:fill="auto"/>
            <w:noWrap/>
            <w:hideMark/>
          </w:tcPr>
          <w:p w14:paraId="0E3D6CBB" w14:textId="77777777" w:rsidR="00141263" w:rsidRPr="00141263" w:rsidRDefault="00141263" w:rsidP="00141263">
            <w:pPr>
              <w:spacing w:after="0" w:line="240" w:lineRule="auto"/>
              <w:jc w:val="right"/>
              <w:rPr>
                <w:rFonts w:ascii="Times New Roman" w:eastAsia="Times New Roman" w:hAnsi="Times New Roman"/>
              </w:rPr>
            </w:pPr>
            <w:r w:rsidRPr="00372BD2">
              <w:rPr>
                <w:rFonts w:ascii="Times New Roman" w:hAnsi="Times New Roman"/>
              </w:rPr>
              <w:t>3.9</w:t>
            </w:r>
          </w:p>
        </w:tc>
        <w:tc>
          <w:tcPr>
            <w:tcW w:w="1464" w:type="dxa"/>
            <w:tcBorders>
              <w:top w:val="nil"/>
              <w:left w:val="nil"/>
              <w:bottom w:val="nil"/>
              <w:right w:val="nil"/>
            </w:tcBorders>
            <w:shd w:val="clear" w:color="auto" w:fill="auto"/>
            <w:noWrap/>
            <w:hideMark/>
          </w:tcPr>
          <w:p w14:paraId="6580FA94" w14:textId="77777777" w:rsidR="00141263" w:rsidRPr="00141263" w:rsidRDefault="00141263" w:rsidP="00141263">
            <w:pPr>
              <w:spacing w:after="0" w:line="240" w:lineRule="auto"/>
              <w:jc w:val="right"/>
              <w:rPr>
                <w:rFonts w:ascii="Times New Roman" w:eastAsia="Times New Roman" w:hAnsi="Times New Roman"/>
              </w:rPr>
            </w:pPr>
            <w:r w:rsidRPr="00372BD2">
              <w:rPr>
                <w:rFonts w:ascii="Times New Roman" w:hAnsi="Times New Roman"/>
              </w:rPr>
              <w:t>8.3%</w:t>
            </w:r>
          </w:p>
        </w:tc>
      </w:tr>
      <w:tr w:rsidR="00141263" w:rsidRPr="00CC70D1" w14:paraId="34F51A28" w14:textId="77777777" w:rsidTr="00372BD2">
        <w:trPr>
          <w:trHeight w:val="300"/>
        </w:trPr>
        <w:tc>
          <w:tcPr>
            <w:tcW w:w="3760" w:type="dxa"/>
            <w:tcBorders>
              <w:top w:val="nil"/>
              <w:left w:val="nil"/>
              <w:bottom w:val="nil"/>
              <w:right w:val="nil"/>
            </w:tcBorders>
            <w:shd w:val="clear" w:color="auto" w:fill="auto"/>
            <w:noWrap/>
            <w:vAlign w:val="bottom"/>
            <w:hideMark/>
          </w:tcPr>
          <w:p w14:paraId="1C954BC6" w14:textId="77777777" w:rsidR="00141263" w:rsidRPr="00F56EED" w:rsidRDefault="00141263" w:rsidP="00141263">
            <w:pPr>
              <w:spacing w:after="0" w:line="240" w:lineRule="auto"/>
              <w:rPr>
                <w:rFonts w:ascii="Times New Roman" w:eastAsia="Times New Roman" w:hAnsi="Times New Roman"/>
                <w:lang w:val="mk-MK"/>
              </w:rPr>
            </w:pPr>
            <w:r w:rsidRPr="00CC70D1">
              <w:rPr>
                <w:rFonts w:ascii="Times New Roman" w:eastAsia="Times New Roman" w:hAnsi="Times New Roman"/>
              </w:rPr>
              <w:t xml:space="preserve">  </w:t>
            </w:r>
            <w:r>
              <w:rPr>
                <w:rFonts w:ascii="Times New Roman" w:eastAsia="Times New Roman" w:hAnsi="Times New Roman"/>
                <w:lang w:val="mk-MK"/>
              </w:rPr>
              <w:t>Гаранции</w:t>
            </w:r>
          </w:p>
        </w:tc>
        <w:tc>
          <w:tcPr>
            <w:tcW w:w="1260" w:type="dxa"/>
            <w:tcBorders>
              <w:top w:val="nil"/>
              <w:left w:val="nil"/>
              <w:bottom w:val="nil"/>
              <w:right w:val="nil"/>
            </w:tcBorders>
            <w:shd w:val="clear" w:color="auto" w:fill="auto"/>
            <w:noWrap/>
            <w:hideMark/>
          </w:tcPr>
          <w:p w14:paraId="2688ACA5" w14:textId="77777777" w:rsidR="00141263" w:rsidRPr="00141263" w:rsidRDefault="00141263" w:rsidP="00141263">
            <w:pPr>
              <w:spacing w:after="0" w:line="240" w:lineRule="auto"/>
              <w:jc w:val="right"/>
              <w:rPr>
                <w:rFonts w:ascii="Times New Roman" w:eastAsia="Times New Roman" w:hAnsi="Times New Roman"/>
              </w:rPr>
            </w:pPr>
            <w:r w:rsidRPr="00372BD2">
              <w:rPr>
                <w:rFonts w:ascii="Times New Roman" w:hAnsi="Times New Roman"/>
              </w:rPr>
              <w:t>0.8</w:t>
            </w:r>
          </w:p>
        </w:tc>
        <w:tc>
          <w:tcPr>
            <w:tcW w:w="1076" w:type="dxa"/>
            <w:tcBorders>
              <w:top w:val="nil"/>
              <w:left w:val="nil"/>
              <w:bottom w:val="nil"/>
              <w:right w:val="nil"/>
            </w:tcBorders>
            <w:shd w:val="clear" w:color="auto" w:fill="auto"/>
            <w:noWrap/>
            <w:hideMark/>
          </w:tcPr>
          <w:p w14:paraId="6453F4E1" w14:textId="77777777" w:rsidR="00141263" w:rsidRPr="00141263" w:rsidRDefault="00141263" w:rsidP="00141263">
            <w:pPr>
              <w:spacing w:after="0" w:line="240" w:lineRule="auto"/>
              <w:jc w:val="right"/>
              <w:rPr>
                <w:rFonts w:ascii="Times New Roman" w:eastAsia="Times New Roman" w:hAnsi="Times New Roman"/>
              </w:rPr>
            </w:pPr>
            <w:r w:rsidRPr="00372BD2">
              <w:rPr>
                <w:rFonts w:ascii="Times New Roman" w:hAnsi="Times New Roman"/>
              </w:rPr>
              <w:t>0.8</w:t>
            </w:r>
          </w:p>
        </w:tc>
        <w:tc>
          <w:tcPr>
            <w:tcW w:w="1464" w:type="dxa"/>
            <w:tcBorders>
              <w:top w:val="nil"/>
              <w:left w:val="nil"/>
              <w:bottom w:val="nil"/>
              <w:right w:val="nil"/>
            </w:tcBorders>
            <w:shd w:val="clear" w:color="auto" w:fill="auto"/>
            <w:noWrap/>
            <w:hideMark/>
          </w:tcPr>
          <w:p w14:paraId="03E64BC3" w14:textId="77777777" w:rsidR="00141263" w:rsidRPr="00141263" w:rsidRDefault="00141263" w:rsidP="00141263">
            <w:pPr>
              <w:spacing w:after="0" w:line="240" w:lineRule="auto"/>
              <w:jc w:val="right"/>
              <w:rPr>
                <w:rFonts w:ascii="Times New Roman" w:eastAsia="Times New Roman" w:hAnsi="Times New Roman"/>
              </w:rPr>
            </w:pPr>
            <w:r w:rsidRPr="00372BD2">
              <w:rPr>
                <w:rFonts w:ascii="Times New Roman" w:hAnsi="Times New Roman"/>
              </w:rPr>
              <w:t>0.0%</w:t>
            </w:r>
          </w:p>
        </w:tc>
      </w:tr>
      <w:tr w:rsidR="00141263" w:rsidRPr="00CC70D1" w14:paraId="2EB8B192" w14:textId="77777777" w:rsidTr="00372BD2">
        <w:trPr>
          <w:trHeight w:val="300"/>
        </w:trPr>
        <w:tc>
          <w:tcPr>
            <w:tcW w:w="3760" w:type="dxa"/>
            <w:tcBorders>
              <w:top w:val="nil"/>
              <w:left w:val="nil"/>
              <w:bottom w:val="nil"/>
              <w:right w:val="nil"/>
            </w:tcBorders>
            <w:shd w:val="clear" w:color="auto" w:fill="auto"/>
            <w:noWrap/>
            <w:vAlign w:val="bottom"/>
            <w:hideMark/>
          </w:tcPr>
          <w:p w14:paraId="39F951B7" w14:textId="77777777" w:rsidR="00141263" w:rsidRPr="00F56EED" w:rsidRDefault="00141263" w:rsidP="00141263">
            <w:pPr>
              <w:spacing w:after="0" w:line="240" w:lineRule="auto"/>
              <w:rPr>
                <w:rFonts w:ascii="Times New Roman" w:eastAsia="Times New Roman" w:hAnsi="Times New Roman"/>
                <w:lang w:val="mk-MK"/>
              </w:rPr>
            </w:pPr>
            <w:r w:rsidRPr="00CC70D1">
              <w:rPr>
                <w:rFonts w:ascii="Times New Roman" w:eastAsia="Times New Roman" w:hAnsi="Times New Roman"/>
              </w:rPr>
              <w:t xml:space="preserve">  </w:t>
            </w:r>
            <w:r>
              <w:rPr>
                <w:rFonts w:ascii="Times New Roman" w:eastAsia="Times New Roman" w:hAnsi="Times New Roman"/>
                <w:lang w:val="mk-MK"/>
              </w:rPr>
              <w:t>Трансфер на средства</w:t>
            </w:r>
          </w:p>
        </w:tc>
        <w:tc>
          <w:tcPr>
            <w:tcW w:w="1260" w:type="dxa"/>
            <w:tcBorders>
              <w:top w:val="nil"/>
              <w:left w:val="nil"/>
              <w:bottom w:val="nil"/>
              <w:right w:val="nil"/>
            </w:tcBorders>
            <w:shd w:val="clear" w:color="auto" w:fill="auto"/>
            <w:noWrap/>
            <w:hideMark/>
          </w:tcPr>
          <w:p w14:paraId="2CC0A383" w14:textId="77777777" w:rsidR="00141263" w:rsidRPr="00141263" w:rsidRDefault="00141263" w:rsidP="00141263">
            <w:pPr>
              <w:spacing w:after="0" w:line="240" w:lineRule="auto"/>
              <w:jc w:val="right"/>
              <w:rPr>
                <w:rFonts w:ascii="Times New Roman" w:eastAsia="Times New Roman" w:hAnsi="Times New Roman"/>
              </w:rPr>
            </w:pPr>
            <w:r w:rsidRPr="00372BD2">
              <w:rPr>
                <w:rFonts w:ascii="Times New Roman" w:hAnsi="Times New Roman"/>
              </w:rPr>
              <w:t>5.9</w:t>
            </w:r>
          </w:p>
        </w:tc>
        <w:tc>
          <w:tcPr>
            <w:tcW w:w="1076" w:type="dxa"/>
            <w:tcBorders>
              <w:top w:val="nil"/>
              <w:left w:val="nil"/>
              <w:bottom w:val="nil"/>
              <w:right w:val="nil"/>
            </w:tcBorders>
            <w:shd w:val="clear" w:color="auto" w:fill="auto"/>
            <w:noWrap/>
            <w:hideMark/>
          </w:tcPr>
          <w:p w14:paraId="754D9DBF" w14:textId="77777777" w:rsidR="00141263" w:rsidRPr="00141263" w:rsidRDefault="00141263" w:rsidP="00141263">
            <w:pPr>
              <w:spacing w:after="0" w:line="240" w:lineRule="auto"/>
              <w:jc w:val="right"/>
              <w:rPr>
                <w:rFonts w:ascii="Times New Roman" w:eastAsia="Times New Roman" w:hAnsi="Times New Roman"/>
              </w:rPr>
            </w:pPr>
            <w:r w:rsidRPr="00372BD2">
              <w:rPr>
                <w:rFonts w:ascii="Times New Roman" w:hAnsi="Times New Roman"/>
              </w:rPr>
              <w:t>6.4</w:t>
            </w:r>
          </w:p>
        </w:tc>
        <w:tc>
          <w:tcPr>
            <w:tcW w:w="1464" w:type="dxa"/>
            <w:tcBorders>
              <w:top w:val="nil"/>
              <w:left w:val="nil"/>
              <w:bottom w:val="nil"/>
              <w:right w:val="nil"/>
            </w:tcBorders>
            <w:shd w:val="clear" w:color="auto" w:fill="auto"/>
            <w:noWrap/>
            <w:hideMark/>
          </w:tcPr>
          <w:p w14:paraId="3DA99B54" w14:textId="77777777" w:rsidR="00141263" w:rsidRPr="00141263" w:rsidRDefault="00141263" w:rsidP="00141263">
            <w:pPr>
              <w:spacing w:after="0" w:line="240" w:lineRule="auto"/>
              <w:jc w:val="right"/>
              <w:rPr>
                <w:rFonts w:ascii="Times New Roman" w:eastAsia="Times New Roman" w:hAnsi="Times New Roman"/>
              </w:rPr>
            </w:pPr>
            <w:r w:rsidRPr="00372BD2">
              <w:rPr>
                <w:rFonts w:ascii="Times New Roman" w:hAnsi="Times New Roman"/>
              </w:rPr>
              <w:t>8.5%</w:t>
            </w:r>
          </w:p>
        </w:tc>
      </w:tr>
      <w:tr w:rsidR="00141263" w:rsidRPr="00CC70D1" w14:paraId="5A8C435B" w14:textId="77777777" w:rsidTr="00372BD2">
        <w:trPr>
          <w:trHeight w:val="315"/>
        </w:trPr>
        <w:tc>
          <w:tcPr>
            <w:tcW w:w="3760" w:type="dxa"/>
            <w:tcBorders>
              <w:top w:val="nil"/>
              <w:left w:val="nil"/>
              <w:bottom w:val="single" w:sz="8" w:space="0" w:color="auto"/>
              <w:right w:val="nil"/>
            </w:tcBorders>
            <w:shd w:val="clear" w:color="auto" w:fill="auto"/>
            <w:noWrap/>
            <w:vAlign w:val="bottom"/>
            <w:hideMark/>
          </w:tcPr>
          <w:p w14:paraId="7E80EF86" w14:textId="77777777" w:rsidR="00141263" w:rsidRPr="00F56EED" w:rsidRDefault="00141263" w:rsidP="00141263">
            <w:pPr>
              <w:spacing w:after="0" w:line="240" w:lineRule="auto"/>
              <w:rPr>
                <w:rFonts w:ascii="Times New Roman" w:eastAsia="Times New Roman" w:hAnsi="Times New Roman"/>
                <w:lang w:val="mk-MK"/>
              </w:rPr>
            </w:pPr>
            <w:r w:rsidRPr="00CC70D1">
              <w:rPr>
                <w:rFonts w:ascii="Times New Roman" w:eastAsia="Times New Roman" w:hAnsi="Times New Roman"/>
              </w:rPr>
              <w:t xml:space="preserve">  </w:t>
            </w:r>
            <w:r>
              <w:rPr>
                <w:rFonts w:ascii="Times New Roman" w:eastAsia="Times New Roman" w:hAnsi="Times New Roman"/>
                <w:lang w:val="mk-MK"/>
              </w:rPr>
              <w:t>Останато</w:t>
            </w:r>
          </w:p>
        </w:tc>
        <w:tc>
          <w:tcPr>
            <w:tcW w:w="1260" w:type="dxa"/>
            <w:tcBorders>
              <w:top w:val="nil"/>
              <w:left w:val="nil"/>
              <w:bottom w:val="single" w:sz="8" w:space="0" w:color="auto"/>
              <w:right w:val="nil"/>
            </w:tcBorders>
            <w:shd w:val="clear" w:color="auto" w:fill="auto"/>
            <w:noWrap/>
            <w:hideMark/>
          </w:tcPr>
          <w:p w14:paraId="3371DE71" w14:textId="77777777" w:rsidR="00141263" w:rsidRPr="00141263" w:rsidRDefault="00141263" w:rsidP="00141263">
            <w:pPr>
              <w:spacing w:after="0" w:line="240" w:lineRule="auto"/>
              <w:jc w:val="right"/>
              <w:rPr>
                <w:rFonts w:ascii="Times New Roman" w:eastAsia="Times New Roman" w:hAnsi="Times New Roman"/>
              </w:rPr>
            </w:pPr>
            <w:r w:rsidRPr="00372BD2">
              <w:rPr>
                <w:rFonts w:ascii="Times New Roman" w:hAnsi="Times New Roman"/>
              </w:rPr>
              <w:t>3.2</w:t>
            </w:r>
          </w:p>
        </w:tc>
        <w:tc>
          <w:tcPr>
            <w:tcW w:w="1076" w:type="dxa"/>
            <w:tcBorders>
              <w:top w:val="nil"/>
              <w:left w:val="nil"/>
              <w:bottom w:val="single" w:sz="8" w:space="0" w:color="auto"/>
              <w:right w:val="nil"/>
            </w:tcBorders>
            <w:shd w:val="clear" w:color="auto" w:fill="auto"/>
            <w:noWrap/>
            <w:hideMark/>
          </w:tcPr>
          <w:p w14:paraId="326F6B25" w14:textId="77777777" w:rsidR="00141263" w:rsidRPr="00141263" w:rsidRDefault="00141263" w:rsidP="00141263">
            <w:pPr>
              <w:spacing w:after="0" w:line="240" w:lineRule="auto"/>
              <w:jc w:val="right"/>
              <w:rPr>
                <w:rFonts w:ascii="Times New Roman" w:eastAsia="Times New Roman" w:hAnsi="Times New Roman"/>
              </w:rPr>
            </w:pPr>
            <w:r w:rsidRPr="00372BD2">
              <w:rPr>
                <w:rFonts w:ascii="Times New Roman" w:hAnsi="Times New Roman"/>
              </w:rPr>
              <w:t>3.5</w:t>
            </w:r>
          </w:p>
        </w:tc>
        <w:tc>
          <w:tcPr>
            <w:tcW w:w="1464" w:type="dxa"/>
            <w:tcBorders>
              <w:top w:val="nil"/>
              <w:left w:val="nil"/>
              <w:bottom w:val="single" w:sz="8" w:space="0" w:color="auto"/>
              <w:right w:val="nil"/>
            </w:tcBorders>
            <w:shd w:val="clear" w:color="auto" w:fill="auto"/>
            <w:noWrap/>
            <w:hideMark/>
          </w:tcPr>
          <w:p w14:paraId="776E38F7" w14:textId="77777777" w:rsidR="00141263" w:rsidRPr="00141263" w:rsidRDefault="00141263" w:rsidP="00141263">
            <w:pPr>
              <w:spacing w:after="0" w:line="240" w:lineRule="auto"/>
              <w:jc w:val="right"/>
              <w:rPr>
                <w:rFonts w:ascii="Times New Roman" w:eastAsia="Times New Roman" w:hAnsi="Times New Roman"/>
              </w:rPr>
            </w:pPr>
            <w:r w:rsidRPr="00372BD2">
              <w:rPr>
                <w:rFonts w:ascii="Times New Roman" w:hAnsi="Times New Roman"/>
              </w:rPr>
              <w:t>9.4%</w:t>
            </w:r>
          </w:p>
        </w:tc>
      </w:tr>
    </w:tbl>
    <w:p w14:paraId="5200DBFD" w14:textId="77777777" w:rsidR="00A75476" w:rsidRDefault="00A75476" w:rsidP="00A75476">
      <w:pPr>
        <w:pStyle w:val="Heading2"/>
        <w:rPr>
          <w:i/>
          <w:lang w:val="mk-MK"/>
        </w:rPr>
      </w:pPr>
    </w:p>
    <w:p w14:paraId="06046243" w14:textId="77777777" w:rsidR="006D56D8" w:rsidRPr="00A75476" w:rsidRDefault="00531C3A" w:rsidP="00A75476">
      <w:pPr>
        <w:pStyle w:val="Heading2"/>
        <w:rPr>
          <w:i/>
          <w:lang w:val="mk-MK"/>
        </w:rPr>
      </w:pPr>
      <w:bookmarkStart w:id="30" w:name="_Toc132974476"/>
      <w:bookmarkStart w:id="31" w:name="_Toc132978836"/>
      <w:r w:rsidRPr="00A75476">
        <w:rPr>
          <w:i/>
          <w:lang w:val="mk-MK"/>
        </w:rPr>
        <w:t>Оперативни расходи</w:t>
      </w:r>
      <w:bookmarkEnd w:id="30"/>
      <w:bookmarkEnd w:id="31"/>
    </w:p>
    <w:p w14:paraId="713A66A6" w14:textId="77777777" w:rsidR="006D56D8" w:rsidRPr="001C5B17" w:rsidRDefault="00531C3A" w:rsidP="00475815">
      <w:pPr>
        <w:autoSpaceDE w:val="0"/>
        <w:autoSpaceDN w:val="0"/>
        <w:adjustRightInd w:val="0"/>
        <w:spacing w:before="240"/>
        <w:jc w:val="both"/>
        <w:rPr>
          <w:rFonts w:ascii="Times New Roman" w:hAnsi="Times New Roman"/>
          <w:sz w:val="24"/>
          <w:szCs w:val="24"/>
          <w:lang w:val="mk-MK"/>
        </w:rPr>
      </w:pPr>
      <w:r>
        <w:rPr>
          <w:rFonts w:ascii="Times New Roman" w:eastAsia="Times New Roman" w:hAnsi="Times New Roman"/>
          <w:bCs/>
          <w:sz w:val="24"/>
          <w:szCs w:val="24"/>
          <w:lang w:val="mk-MK"/>
        </w:rPr>
        <w:t>Во текот на 202</w:t>
      </w:r>
      <w:r w:rsidR="00141263">
        <w:rPr>
          <w:rFonts w:ascii="Times New Roman" w:eastAsia="Times New Roman" w:hAnsi="Times New Roman"/>
          <w:bCs/>
          <w:sz w:val="24"/>
          <w:szCs w:val="24"/>
          <w:lang w:val="mk-MK"/>
        </w:rPr>
        <w:t>2</w:t>
      </w:r>
      <w:r>
        <w:rPr>
          <w:rFonts w:ascii="Times New Roman" w:eastAsia="Times New Roman" w:hAnsi="Times New Roman"/>
          <w:bCs/>
          <w:sz w:val="24"/>
          <w:szCs w:val="24"/>
          <w:lang w:val="mk-MK"/>
        </w:rPr>
        <w:t xml:space="preserve"> година</w:t>
      </w:r>
      <w:r w:rsidR="00141263">
        <w:rPr>
          <w:rFonts w:ascii="Times New Roman" w:eastAsia="Times New Roman" w:hAnsi="Times New Roman"/>
          <w:bCs/>
          <w:sz w:val="24"/>
          <w:szCs w:val="24"/>
          <w:lang w:val="mk-MK"/>
        </w:rPr>
        <w:t>,</w:t>
      </w:r>
      <w:r>
        <w:rPr>
          <w:rFonts w:ascii="Times New Roman" w:eastAsia="Times New Roman" w:hAnsi="Times New Roman"/>
          <w:bCs/>
          <w:sz w:val="24"/>
          <w:szCs w:val="24"/>
          <w:lang w:val="mk-MK"/>
        </w:rPr>
        <w:t xml:space="preserve"> Банката продолжи да се стреми кон оперативна совршеност и во трошочната ефикасност и во управувањето со ризиците, што резултираше со одржување на трошоците во согласност со </w:t>
      </w:r>
      <w:r w:rsidR="00141263">
        <w:rPr>
          <w:rFonts w:ascii="Times New Roman" w:eastAsia="Times New Roman" w:hAnsi="Times New Roman"/>
          <w:bCs/>
          <w:sz w:val="24"/>
          <w:szCs w:val="24"/>
          <w:lang w:val="mk-MK"/>
        </w:rPr>
        <w:t xml:space="preserve">очекувањата </w:t>
      </w:r>
      <w:r>
        <w:rPr>
          <w:rFonts w:ascii="Times New Roman" w:eastAsia="Times New Roman" w:hAnsi="Times New Roman"/>
          <w:bCs/>
          <w:sz w:val="24"/>
          <w:szCs w:val="24"/>
          <w:lang w:val="mk-MK"/>
        </w:rPr>
        <w:t xml:space="preserve">и одржување на </w:t>
      </w:r>
      <w:r w:rsidR="00141263">
        <w:rPr>
          <w:rFonts w:ascii="Times New Roman" w:eastAsia="Times New Roman" w:hAnsi="Times New Roman"/>
          <w:bCs/>
          <w:sz w:val="24"/>
          <w:szCs w:val="24"/>
          <w:lang w:val="mk-MK"/>
        </w:rPr>
        <w:t xml:space="preserve">одличен </w:t>
      </w:r>
      <w:r>
        <w:rPr>
          <w:rFonts w:ascii="Times New Roman" w:eastAsia="Times New Roman" w:hAnsi="Times New Roman"/>
          <w:bCs/>
          <w:sz w:val="24"/>
          <w:szCs w:val="24"/>
          <w:lang w:val="mk-MK"/>
        </w:rPr>
        <w:t xml:space="preserve">кредитен квалитет. </w:t>
      </w:r>
      <w:r w:rsidR="00141263">
        <w:rPr>
          <w:rFonts w:ascii="Times New Roman" w:eastAsia="Times New Roman" w:hAnsi="Times New Roman"/>
          <w:bCs/>
          <w:sz w:val="24"/>
          <w:szCs w:val="24"/>
          <w:lang w:val="mk-MK"/>
        </w:rPr>
        <w:t>Соочени со значително неизвесно опкружување како резултат на глобалната енергетска криза како и огромен раст на инфлацијата, дополнети со ефектите на руската инвазија врз Украина, в</w:t>
      </w:r>
      <w:r>
        <w:rPr>
          <w:rFonts w:ascii="Times New Roman" w:eastAsia="Times New Roman" w:hAnsi="Times New Roman"/>
          <w:bCs/>
          <w:sz w:val="24"/>
          <w:szCs w:val="24"/>
          <w:lang w:val="mk-MK"/>
        </w:rPr>
        <w:t xml:space="preserve">купниот оперативен трошок </w:t>
      </w:r>
      <w:r w:rsidR="00141263">
        <w:rPr>
          <w:rFonts w:ascii="Times New Roman" w:eastAsia="Times New Roman" w:hAnsi="Times New Roman"/>
          <w:bCs/>
          <w:sz w:val="24"/>
          <w:szCs w:val="24"/>
          <w:lang w:val="mk-MK"/>
        </w:rPr>
        <w:t>на Банката достигна 32,1</w:t>
      </w:r>
      <w:r>
        <w:rPr>
          <w:rFonts w:ascii="Times New Roman" w:eastAsia="Times New Roman" w:hAnsi="Times New Roman"/>
          <w:bCs/>
          <w:sz w:val="24"/>
          <w:szCs w:val="24"/>
          <w:lang w:val="mk-MK"/>
        </w:rPr>
        <w:t xml:space="preserve"> милиони евра. Воспоставената ефективна политика за ограничување на трошоците во комбинација со растечките приходи допринесе Банката повторно да го намали релативно нискиот коефициент на трошоци во однос на приходи на 3</w:t>
      </w:r>
      <w:r w:rsidR="00CB05BD">
        <w:rPr>
          <w:rFonts w:ascii="Times New Roman" w:eastAsia="Times New Roman" w:hAnsi="Times New Roman"/>
          <w:bCs/>
          <w:sz w:val="24"/>
          <w:szCs w:val="24"/>
          <w:lang w:val="mk-MK"/>
        </w:rPr>
        <w:t>3</w:t>
      </w:r>
      <w:r>
        <w:rPr>
          <w:rFonts w:ascii="Times New Roman" w:eastAsia="Times New Roman" w:hAnsi="Times New Roman"/>
          <w:bCs/>
          <w:sz w:val="24"/>
          <w:szCs w:val="24"/>
          <w:lang w:val="mk-MK"/>
        </w:rPr>
        <w:t>,</w:t>
      </w:r>
      <w:r w:rsidR="00CB05BD">
        <w:rPr>
          <w:rFonts w:ascii="Times New Roman" w:eastAsia="Times New Roman" w:hAnsi="Times New Roman"/>
          <w:bCs/>
          <w:sz w:val="24"/>
          <w:szCs w:val="24"/>
          <w:lang w:val="mk-MK"/>
        </w:rPr>
        <w:t>8</w:t>
      </w:r>
      <w:r>
        <w:rPr>
          <w:rFonts w:ascii="Times New Roman" w:eastAsia="Times New Roman" w:hAnsi="Times New Roman"/>
          <w:bCs/>
          <w:sz w:val="24"/>
          <w:szCs w:val="24"/>
          <w:lang w:val="mk-MK"/>
        </w:rPr>
        <w:t xml:space="preserve">%, </w:t>
      </w:r>
      <w:r w:rsidRPr="005D604C">
        <w:rPr>
          <w:rFonts w:ascii="Times New Roman" w:eastAsia="Times New Roman" w:hAnsi="Times New Roman"/>
          <w:bCs/>
          <w:sz w:val="24"/>
          <w:szCs w:val="24"/>
          <w:lang w:val="mk-MK"/>
        </w:rPr>
        <w:t>значително под просекот на банкарскиот сектор.</w:t>
      </w:r>
    </w:p>
    <w:p w14:paraId="6880E4FD" w14:textId="77777777" w:rsidR="00372BD2" w:rsidRDefault="00372BD2">
      <w:pPr>
        <w:spacing w:after="0" w:line="240" w:lineRule="auto"/>
        <w:rPr>
          <w:rFonts w:ascii="Times New Roman" w:hAnsi="Times New Roman"/>
          <w:b/>
          <w:sz w:val="28"/>
          <w:szCs w:val="28"/>
          <w:lang w:val="mk-MK"/>
        </w:rPr>
      </w:pPr>
    </w:p>
    <w:p w14:paraId="33DDB353" w14:textId="77777777" w:rsidR="006D56D8" w:rsidRPr="00A75476" w:rsidRDefault="00531C3A" w:rsidP="00A75476">
      <w:pPr>
        <w:pStyle w:val="Heading1"/>
        <w:rPr>
          <w:b/>
          <w:sz w:val="28"/>
          <w:lang w:val="mk-MK"/>
        </w:rPr>
      </w:pPr>
      <w:bookmarkStart w:id="32" w:name="_Toc132974477"/>
      <w:bookmarkStart w:id="33" w:name="_Toc132978837"/>
      <w:r w:rsidRPr="00A75476">
        <w:rPr>
          <w:b/>
          <w:sz w:val="28"/>
          <w:lang w:val="mk-MK"/>
        </w:rPr>
        <w:t>Средства и Обврски</w:t>
      </w:r>
      <w:bookmarkEnd w:id="32"/>
      <w:bookmarkEnd w:id="33"/>
    </w:p>
    <w:p w14:paraId="5B3542D4" w14:textId="77777777" w:rsidR="00A75476" w:rsidRDefault="00A75476" w:rsidP="00A75476">
      <w:pPr>
        <w:pStyle w:val="Heading2"/>
        <w:rPr>
          <w:i/>
          <w:lang w:val="mk-MK"/>
        </w:rPr>
      </w:pPr>
    </w:p>
    <w:p w14:paraId="2551AA64" w14:textId="77777777" w:rsidR="00372BD2" w:rsidRPr="00A75476" w:rsidRDefault="00531C3A" w:rsidP="00A75476">
      <w:pPr>
        <w:pStyle w:val="Heading2"/>
        <w:rPr>
          <w:i/>
          <w:lang w:val="mk-MK"/>
        </w:rPr>
      </w:pPr>
      <w:bookmarkStart w:id="34" w:name="_Toc132974478"/>
      <w:bookmarkStart w:id="35" w:name="_Toc132978838"/>
      <w:r w:rsidRPr="00A75476">
        <w:rPr>
          <w:i/>
          <w:lang w:val="mk-MK"/>
        </w:rPr>
        <w:t>Средства</w:t>
      </w:r>
      <w:bookmarkEnd w:id="34"/>
      <w:bookmarkEnd w:id="35"/>
    </w:p>
    <w:tbl>
      <w:tblPr>
        <w:tblStyle w:val="TableGrid"/>
        <w:tblpPr w:leftFromText="180" w:rightFromText="180" w:vertAnchor="text" w:tblpX="-90" w:tblpY="1"/>
        <w:tblOverlap w:val="never"/>
        <w:tblW w:w="99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077"/>
      </w:tblGrid>
      <w:tr w:rsidR="00E738DC" w:rsidRPr="0034674A" w14:paraId="0380339A" w14:textId="77777777" w:rsidTr="00372BD2">
        <w:tc>
          <w:tcPr>
            <w:tcW w:w="4860" w:type="dxa"/>
          </w:tcPr>
          <w:p w14:paraId="49027CF8" w14:textId="77777777" w:rsidR="00A75476" w:rsidRDefault="00A75476" w:rsidP="00CB05BD">
            <w:pPr>
              <w:jc w:val="both"/>
              <w:rPr>
                <w:bCs/>
                <w:iCs/>
                <w:sz w:val="24"/>
                <w:szCs w:val="24"/>
                <w:lang w:val="mk-MK"/>
              </w:rPr>
            </w:pPr>
          </w:p>
          <w:p w14:paraId="7F810A3C" w14:textId="77777777" w:rsidR="00E738DC" w:rsidRPr="001C5B17" w:rsidRDefault="00531C3A" w:rsidP="00CB05BD">
            <w:pPr>
              <w:jc w:val="both"/>
              <w:rPr>
                <w:bCs/>
                <w:iCs/>
                <w:sz w:val="24"/>
                <w:szCs w:val="24"/>
                <w:lang w:val="mk-MK"/>
              </w:rPr>
            </w:pPr>
            <w:r>
              <w:rPr>
                <w:bCs/>
                <w:iCs/>
                <w:sz w:val="24"/>
                <w:szCs w:val="24"/>
                <w:lang w:val="mk-MK"/>
              </w:rPr>
              <w:t>Вкупните средства на Банката на крајот од 202</w:t>
            </w:r>
            <w:r w:rsidR="00CB05BD">
              <w:rPr>
                <w:bCs/>
                <w:iCs/>
                <w:sz w:val="24"/>
                <w:szCs w:val="24"/>
                <w:lang w:val="mk-MK"/>
              </w:rPr>
              <w:t>2</w:t>
            </w:r>
            <w:r>
              <w:rPr>
                <w:bCs/>
                <w:iCs/>
                <w:sz w:val="24"/>
                <w:szCs w:val="24"/>
                <w:lang w:val="mk-MK"/>
              </w:rPr>
              <w:t xml:space="preserve"> година изнесуваа </w:t>
            </w:r>
            <w:r w:rsidR="00CB05BD">
              <w:rPr>
                <w:bCs/>
                <w:iCs/>
                <w:sz w:val="24"/>
                <w:szCs w:val="24"/>
                <w:lang w:val="mk-MK"/>
              </w:rPr>
              <w:t>1.996,7</w:t>
            </w:r>
            <w:r>
              <w:rPr>
                <w:bCs/>
                <w:iCs/>
                <w:sz w:val="24"/>
                <w:szCs w:val="24"/>
                <w:lang w:val="mk-MK"/>
              </w:rPr>
              <w:t xml:space="preserve"> милиони евра, што е за </w:t>
            </w:r>
            <w:r w:rsidR="00CB05BD">
              <w:rPr>
                <w:bCs/>
                <w:iCs/>
                <w:sz w:val="24"/>
                <w:szCs w:val="24"/>
                <w:lang w:val="mk-MK"/>
              </w:rPr>
              <w:t>145,2</w:t>
            </w:r>
            <w:r>
              <w:rPr>
                <w:bCs/>
                <w:iCs/>
                <w:sz w:val="24"/>
                <w:szCs w:val="24"/>
                <w:lang w:val="mk-MK"/>
              </w:rPr>
              <w:t xml:space="preserve"> милиони евра или </w:t>
            </w:r>
            <w:r w:rsidRPr="001C5B17">
              <w:rPr>
                <w:bCs/>
                <w:iCs/>
                <w:sz w:val="24"/>
                <w:szCs w:val="24"/>
                <w:lang w:val="mk-MK"/>
              </w:rPr>
              <w:t>7,</w:t>
            </w:r>
            <w:r>
              <w:rPr>
                <w:bCs/>
                <w:iCs/>
                <w:sz w:val="24"/>
                <w:szCs w:val="24"/>
                <w:lang w:val="mk-MK"/>
              </w:rPr>
              <w:t>8% повеќе во споредба со 20</w:t>
            </w:r>
            <w:r w:rsidRPr="001C5B17">
              <w:rPr>
                <w:bCs/>
                <w:iCs/>
                <w:sz w:val="24"/>
                <w:szCs w:val="24"/>
                <w:lang w:val="mk-MK"/>
              </w:rPr>
              <w:t>2</w:t>
            </w:r>
            <w:r w:rsidR="00CB05BD">
              <w:rPr>
                <w:bCs/>
                <w:iCs/>
                <w:sz w:val="24"/>
                <w:szCs w:val="24"/>
                <w:lang w:val="mk-MK"/>
              </w:rPr>
              <w:t>1</w:t>
            </w:r>
            <w:r>
              <w:rPr>
                <w:bCs/>
                <w:iCs/>
                <w:sz w:val="24"/>
                <w:szCs w:val="24"/>
                <w:lang w:val="mk-MK"/>
              </w:rPr>
              <w:t xml:space="preserve"> година. Банката продолжи да го подобрува својот прудентен пристап со рамномерен раст, соодветна ликвидност и силна капитална база. Учеството на ликвидната актива во вкупната актива на Банката  изнесува </w:t>
            </w:r>
            <w:r w:rsidR="00CB05BD">
              <w:rPr>
                <w:bCs/>
                <w:iCs/>
                <w:sz w:val="24"/>
                <w:szCs w:val="24"/>
                <w:lang w:val="mk-MK"/>
              </w:rPr>
              <w:t>18,3</w:t>
            </w:r>
            <w:r>
              <w:rPr>
                <w:bCs/>
                <w:iCs/>
                <w:sz w:val="24"/>
                <w:szCs w:val="24"/>
                <w:lang w:val="mk-MK"/>
              </w:rPr>
              <w:t xml:space="preserve">%. Вкупното кредитно портфолио </w:t>
            </w:r>
            <w:r w:rsidR="00CB05BD">
              <w:rPr>
                <w:bCs/>
                <w:iCs/>
                <w:sz w:val="24"/>
                <w:szCs w:val="24"/>
                <w:lang w:val="mk-MK"/>
              </w:rPr>
              <w:t>достигна 1.449,1</w:t>
            </w:r>
            <w:r>
              <w:rPr>
                <w:bCs/>
                <w:iCs/>
                <w:sz w:val="24"/>
                <w:szCs w:val="24"/>
                <w:lang w:val="mk-MK"/>
              </w:rPr>
              <w:t xml:space="preserve"> милиони евра, од кои </w:t>
            </w:r>
            <w:r w:rsidR="00CB05BD">
              <w:rPr>
                <w:bCs/>
                <w:iCs/>
                <w:sz w:val="24"/>
                <w:szCs w:val="24"/>
                <w:lang w:val="mk-MK"/>
              </w:rPr>
              <w:t>540,9</w:t>
            </w:r>
            <w:r>
              <w:rPr>
                <w:bCs/>
                <w:iCs/>
                <w:sz w:val="24"/>
                <w:szCs w:val="24"/>
                <w:lang w:val="mk-MK"/>
              </w:rPr>
              <w:t xml:space="preserve"> милиони евра отпаднаа на корпоративни клиенти, додека </w:t>
            </w:r>
            <w:r w:rsidR="00CB05BD">
              <w:rPr>
                <w:bCs/>
                <w:iCs/>
                <w:sz w:val="24"/>
                <w:szCs w:val="24"/>
                <w:lang w:val="mk-MK"/>
              </w:rPr>
              <w:lastRenderedPageBreak/>
              <w:t>изложеностите кон население изнесуваа 908,2</w:t>
            </w:r>
            <w:r>
              <w:rPr>
                <w:bCs/>
                <w:iCs/>
                <w:sz w:val="24"/>
                <w:szCs w:val="24"/>
                <w:lang w:val="mk-MK"/>
              </w:rPr>
              <w:t xml:space="preserve"> милиони евра.</w:t>
            </w:r>
          </w:p>
        </w:tc>
        <w:tc>
          <w:tcPr>
            <w:tcW w:w="5077" w:type="dxa"/>
          </w:tcPr>
          <w:p w14:paraId="14729F54" w14:textId="77777777" w:rsidR="00E738DC" w:rsidRPr="001C5B17" w:rsidRDefault="00E738DC" w:rsidP="00372BD2">
            <w:pPr>
              <w:jc w:val="center"/>
              <w:rPr>
                <w:b/>
                <w:bCs/>
                <w:i/>
                <w:iCs/>
                <w:sz w:val="24"/>
                <w:szCs w:val="24"/>
                <w:lang w:val="mk-MK"/>
              </w:rPr>
            </w:pPr>
          </w:p>
          <w:p w14:paraId="0C5712FD" w14:textId="77777777" w:rsidR="00CB05BD" w:rsidRPr="0034674A" w:rsidRDefault="00F972A7" w:rsidP="00F972A7">
            <w:pPr>
              <w:jc w:val="center"/>
              <w:rPr>
                <w:b/>
                <w:bCs/>
                <w:i/>
                <w:iCs/>
                <w:sz w:val="24"/>
                <w:szCs w:val="24"/>
              </w:rPr>
            </w:pPr>
            <w:r>
              <w:rPr>
                <w:b/>
                <w:bCs/>
                <w:i/>
                <w:iCs/>
                <w:noProof/>
                <w:sz w:val="24"/>
                <w:szCs w:val="24"/>
              </w:rPr>
              <w:drawing>
                <wp:inline distT="0" distB="0" distL="0" distR="0" wp14:anchorId="15D660E8" wp14:editId="5C506132">
                  <wp:extent cx="2749550" cy="2286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9550" cy="2286000"/>
                          </a:xfrm>
                          <a:prstGeom prst="rect">
                            <a:avLst/>
                          </a:prstGeom>
                          <a:noFill/>
                        </pic:spPr>
                      </pic:pic>
                    </a:graphicData>
                  </a:graphic>
                </wp:inline>
              </w:drawing>
            </w:r>
          </w:p>
        </w:tc>
      </w:tr>
    </w:tbl>
    <w:p w14:paraId="68485D8E" w14:textId="77777777" w:rsidR="006D56D8" w:rsidRPr="00A75476" w:rsidRDefault="00BA18FB" w:rsidP="00A75476">
      <w:pPr>
        <w:pStyle w:val="Heading2"/>
        <w:rPr>
          <w:i/>
          <w:lang w:val="mk-MK"/>
        </w:rPr>
      </w:pPr>
      <w:bookmarkStart w:id="36" w:name="_Toc132974479"/>
      <w:bookmarkStart w:id="37" w:name="_Toc132978839"/>
      <w:r w:rsidRPr="00A75476">
        <w:rPr>
          <w:i/>
          <w:lang w:val="mk-MK"/>
        </w:rPr>
        <w:t>Депозити и капитал</w:t>
      </w:r>
      <w:bookmarkEnd w:id="36"/>
      <w:bookmarkEnd w:id="37"/>
    </w:p>
    <w:p w14:paraId="3B39FCC8" w14:textId="77777777" w:rsidR="006C1FBD" w:rsidRPr="001C5B17" w:rsidRDefault="00483EBD" w:rsidP="006C1FBD">
      <w:pPr>
        <w:spacing w:before="240"/>
        <w:jc w:val="both"/>
        <w:rPr>
          <w:rFonts w:ascii="Times New Roman" w:eastAsia="Times New Roman" w:hAnsi="Times New Roman"/>
          <w:bCs/>
          <w:iCs/>
          <w:color w:val="FF0000"/>
          <w:sz w:val="24"/>
          <w:szCs w:val="24"/>
          <w:lang w:val="mk-MK"/>
        </w:rPr>
      </w:pPr>
      <w:r>
        <w:rPr>
          <w:rFonts w:ascii="Times New Roman" w:eastAsia="Times New Roman" w:hAnsi="Times New Roman"/>
          <w:bCs/>
          <w:iCs/>
          <w:noProof/>
          <w:sz w:val="24"/>
          <w:szCs w:val="24"/>
        </w:rPr>
        <w:drawing>
          <wp:anchor distT="0" distB="0" distL="114300" distR="114300" simplePos="0" relativeHeight="251893248" behindDoc="1" locked="0" layoutInCell="1" allowOverlap="1" wp14:anchorId="12ADAEDB" wp14:editId="2C19CC6B">
            <wp:simplePos x="0" y="0"/>
            <wp:positionH relativeFrom="margin">
              <wp:align>right</wp:align>
            </wp:positionH>
            <wp:positionV relativeFrom="paragraph">
              <wp:posOffset>29845</wp:posOffset>
            </wp:positionV>
            <wp:extent cx="2541270" cy="1711960"/>
            <wp:effectExtent l="0" t="0" r="0" b="2540"/>
            <wp:wrapTight wrapText="bothSides">
              <wp:wrapPolygon edited="0">
                <wp:start x="0" y="0"/>
                <wp:lineTo x="0" y="21392"/>
                <wp:lineTo x="21373" y="21392"/>
                <wp:lineTo x="21373"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1270" cy="1711960"/>
                    </a:xfrm>
                    <a:prstGeom prst="rect">
                      <a:avLst/>
                    </a:prstGeom>
                    <a:noFill/>
                  </pic:spPr>
                </pic:pic>
              </a:graphicData>
            </a:graphic>
            <wp14:sizeRelH relativeFrom="page">
              <wp14:pctWidth>0</wp14:pctWidth>
            </wp14:sizeRelH>
            <wp14:sizeRelV relativeFrom="page">
              <wp14:pctHeight>0</wp14:pctHeight>
            </wp14:sizeRelV>
          </wp:anchor>
        </w:drawing>
      </w:r>
      <w:r w:rsidR="00BA18FB">
        <w:rPr>
          <w:rFonts w:ascii="Times New Roman" w:eastAsia="Times New Roman" w:hAnsi="Times New Roman"/>
          <w:bCs/>
          <w:iCs/>
          <w:sz w:val="24"/>
          <w:szCs w:val="24"/>
          <w:lang w:val="mk-MK"/>
        </w:rPr>
        <w:t xml:space="preserve">Депозитната база на Банката се зголеми за </w:t>
      </w:r>
      <w:r w:rsidR="00CB05BD">
        <w:rPr>
          <w:rFonts w:ascii="Times New Roman" w:eastAsia="Times New Roman" w:hAnsi="Times New Roman"/>
          <w:bCs/>
          <w:iCs/>
          <w:sz w:val="24"/>
          <w:szCs w:val="24"/>
          <w:lang w:val="mk-MK"/>
        </w:rPr>
        <w:t>5,5</w:t>
      </w:r>
      <w:r w:rsidR="00BA18FB">
        <w:rPr>
          <w:rFonts w:ascii="Times New Roman" w:eastAsia="Times New Roman" w:hAnsi="Times New Roman"/>
          <w:bCs/>
          <w:iCs/>
          <w:sz w:val="24"/>
          <w:szCs w:val="24"/>
          <w:lang w:val="mk-MK"/>
        </w:rPr>
        <w:t xml:space="preserve">% или </w:t>
      </w:r>
      <w:r w:rsidR="00CB05BD">
        <w:rPr>
          <w:rFonts w:ascii="Times New Roman" w:eastAsia="Times New Roman" w:hAnsi="Times New Roman"/>
          <w:bCs/>
          <w:iCs/>
          <w:sz w:val="24"/>
          <w:szCs w:val="24"/>
          <w:lang w:val="mk-MK"/>
        </w:rPr>
        <w:t>79,9</w:t>
      </w:r>
      <w:r w:rsidR="00BA18FB">
        <w:rPr>
          <w:rFonts w:ascii="Times New Roman" w:eastAsia="Times New Roman" w:hAnsi="Times New Roman"/>
          <w:bCs/>
          <w:iCs/>
          <w:sz w:val="24"/>
          <w:szCs w:val="24"/>
          <w:lang w:val="mk-MK"/>
        </w:rPr>
        <w:t xml:space="preserve"> милиони евра. Депозитите продолжуваат да бидат главниот извор на финансирање на Банката, во износ од </w:t>
      </w:r>
      <w:r w:rsidR="00CB05BD">
        <w:rPr>
          <w:rFonts w:ascii="Times New Roman" w:eastAsia="Times New Roman" w:hAnsi="Times New Roman"/>
          <w:bCs/>
          <w:iCs/>
          <w:sz w:val="24"/>
          <w:szCs w:val="24"/>
          <w:lang w:val="mk-MK"/>
        </w:rPr>
        <w:t>1.535,0</w:t>
      </w:r>
      <w:r w:rsidR="00BA18FB">
        <w:rPr>
          <w:rFonts w:ascii="Times New Roman" w:eastAsia="Times New Roman" w:hAnsi="Times New Roman"/>
          <w:bCs/>
          <w:iCs/>
          <w:sz w:val="24"/>
          <w:szCs w:val="24"/>
          <w:lang w:val="mk-MK"/>
        </w:rPr>
        <w:t xml:space="preserve"> милиони евра и како резултат, на крајот од 202</w:t>
      </w:r>
      <w:r w:rsidR="00CB05BD">
        <w:rPr>
          <w:rFonts w:ascii="Times New Roman" w:eastAsia="Times New Roman" w:hAnsi="Times New Roman"/>
          <w:bCs/>
          <w:iCs/>
          <w:sz w:val="24"/>
          <w:szCs w:val="24"/>
          <w:lang w:val="mk-MK"/>
        </w:rPr>
        <w:t>2</w:t>
      </w:r>
      <w:r w:rsidR="00BA18FB">
        <w:rPr>
          <w:rFonts w:ascii="Times New Roman" w:eastAsia="Times New Roman" w:hAnsi="Times New Roman"/>
          <w:bCs/>
          <w:iCs/>
          <w:sz w:val="24"/>
          <w:szCs w:val="24"/>
          <w:lang w:val="mk-MK"/>
        </w:rPr>
        <w:t xml:space="preserve"> година, коефициентот на кредити во однос на депозити достигна 9</w:t>
      </w:r>
      <w:r w:rsidR="00CB05BD">
        <w:rPr>
          <w:rFonts w:ascii="Times New Roman" w:eastAsia="Times New Roman" w:hAnsi="Times New Roman"/>
          <w:bCs/>
          <w:iCs/>
          <w:sz w:val="24"/>
          <w:szCs w:val="24"/>
          <w:lang w:val="mk-MK"/>
        </w:rPr>
        <w:t>4</w:t>
      </w:r>
      <w:r w:rsidR="00BA18FB" w:rsidRPr="00B66133">
        <w:rPr>
          <w:rFonts w:ascii="Times New Roman" w:eastAsia="Times New Roman" w:hAnsi="Times New Roman"/>
          <w:bCs/>
          <w:iCs/>
          <w:sz w:val="24"/>
          <w:szCs w:val="24"/>
          <w:lang w:val="mk-MK"/>
        </w:rPr>
        <w:t>,</w:t>
      </w:r>
      <w:r w:rsidR="00CB05BD">
        <w:rPr>
          <w:rFonts w:ascii="Times New Roman" w:eastAsia="Times New Roman" w:hAnsi="Times New Roman"/>
          <w:bCs/>
          <w:iCs/>
          <w:sz w:val="24"/>
          <w:szCs w:val="24"/>
          <w:lang w:val="mk-MK"/>
        </w:rPr>
        <w:t>4</w:t>
      </w:r>
      <w:r w:rsidR="00BA18FB" w:rsidRPr="00B66133">
        <w:rPr>
          <w:rFonts w:ascii="Times New Roman" w:eastAsia="Times New Roman" w:hAnsi="Times New Roman"/>
          <w:bCs/>
          <w:iCs/>
          <w:sz w:val="24"/>
          <w:szCs w:val="24"/>
          <w:lang w:val="mk-MK"/>
        </w:rPr>
        <w:t>%</w:t>
      </w:r>
      <w:r w:rsidR="00BA18FB">
        <w:rPr>
          <w:rFonts w:ascii="Times New Roman" w:eastAsia="Times New Roman" w:hAnsi="Times New Roman"/>
          <w:bCs/>
          <w:iCs/>
          <w:sz w:val="24"/>
          <w:szCs w:val="24"/>
          <w:lang w:val="mk-MK"/>
        </w:rPr>
        <w:t xml:space="preserve"> на бруто основа, доволен за да овозможи силен кредитен потенцијал.</w:t>
      </w:r>
      <w:r w:rsidR="00BA18FB" w:rsidRPr="001C5B17">
        <w:rPr>
          <w:rFonts w:ascii="Times New Roman" w:eastAsia="Times New Roman" w:hAnsi="Times New Roman"/>
          <w:sz w:val="24"/>
          <w:szCs w:val="24"/>
          <w:lang w:val="mk-MK"/>
        </w:rPr>
        <w:t xml:space="preserve"> </w:t>
      </w:r>
    </w:p>
    <w:p w14:paraId="3AA36996" w14:textId="77777777" w:rsidR="00BA18FB" w:rsidRPr="001C5B17" w:rsidRDefault="00BA18FB" w:rsidP="006C1FBD">
      <w:pPr>
        <w:spacing w:before="240"/>
        <w:jc w:val="both"/>
        <w:rPr>
          <w:rFonts w:ascii="Times New Roman" w:eastAsia="Times New Roman" w:hAnsi="Times New Roman"/>
          <w:bCs/>
          <w:iCs/>
          <w:color w:val="FF0000"/>
          <w:sz w:val="24"/>
          <w:szCs w:val="24"/>
          <w:lang w:val="mk-MK"/>
        </w:rPr>
      </w:pPr>
      <w:r>
        <w:rPr>
          <w:rFonts w:ascii="Times New Roman" w:eastAsia="Times New Roman" w:hAnsi="Times New Roman"/>
          <w:sz w:val="24"/>
          <w:szCs w:val="24"/>
          <w:lang w:val="mk-MK"/>
        </w:rPr>
        <w:t>Валутната структура на депозитната база укажува на стабилно учество на депозитите во домашна валута од 5</w:t>
      </w:r>
      <w:r w:rsidR="00CB05BD">
        <w:rPr>
          <w:rFonts w:ascii="Times New Roman" w:eastAsia="Times New Roman" w:hAnsi="Times New Roman"/>
          <w:sz w:val="24"/>
          <w:szCs w:val="24"/>
          <w:lang w:val="mk-MK"/>
        </w:rPr>
        <w:t>7,2</w:t>
      </w:r>
      <w:r>
        <w:rPr>
          <w:rFonts w:ascii="Times New Roman" w:eastAsia="Times New Roman" w:hAnsi="Times New Roman"/>
          <w:sz w:val="24"/>
          <w:szCs w:val="24"/>
          <w:lang w:val="mk-MK"/>
        </w:rPr>
        <w:t>% (</w:t>
      </w:r>
      <w:r w:rsidR="00CB05BD">
        <w:rPr>
          <w:rFonts w:ascii="Times New Roman" w:eastAsia="Times New Roman" w:hAnsi="Times New Roman"/>
          <w:sz w:val="24"/>
          <w:szCs w:val="24"/>
          <w:lang w:val="mk-MK"/>
        </w:rPr>
        <w:t>57,6</w:t>
      </w:r>
      <w:r>
        <w:rPr>
          <w:rFonts w:ascii="Times New Roman" w:eastAsia="Times New Roman" w:hAnsi="Times New Roman"/>
          <w:sz w:val="24"/>
          <w:szCs w:val="24"/>
          <w:lang w:val="mk-MK"/>
        </w:rPr>
        <w:t>% во 20</w:t>
      </w:r>
      <w:r w:rsidRPr="001C5B17">
        <w:rPr>
          <w:rFonts w:ascii="Times New Roman" w:eastAsia="Times New Roman" w:hAnsi="Times New Roman"/>
          <w:sz w:val="24"/>
          <w:szCs w:val="24"/>
          <w:lang w:val="mk-MK"/>
        </w:rPr>
        <w:t>2</w:t>
      </w:r>
      <w:r w:rsidR="00CB05BD">
        <w:rPr>
          <w:rFonts w:ascii="Times New Roman" w:eastAsia="Times New Roman" w:hAnsi="Times New Roman"/>
          <w:sz w:val="24"/>
          <w:szCs w:val="24"/>
          <w:lang w:val="mk-MK"/>
        </w:rPr>
        <w:t>1</w:t>
      </w:r>
      <w:r>
        <w:rPr>
          <w:rFonts w:ascii="Times New Roman" w:eastAsia="Times New Roman" w:hAnsi="Times New Roman"/>
          <w:sz w:val="24"/>
          <w:szCs w:val="24"/>
          <w:lang w:val="mk-MK"/>
        </w:rPr>
        <w:t xml:space="preserve"> година)</w:t>
      </w:r>
    </w:p>
    <w:p w14:paraId="2A166CAC" w14:textId="77777777" w:rsidR="00BA18FB" w:rsidRPr="001C5B17" w:rsidRDefault="00BA18FB" w:rsidP="00BA18FB">
      <w:pPr>
        <w:jc w:val="both"/>
        <w:rPr>
          <w:rFonts w:ascii="Times New Roman" w:eastAsia="Times New Roman" w:hAnsi="Times New Roman"/>
          <w:sz w:val="24"/>
          <w:szCs w:val="24"/>
          <w:lang w:val="mk-MK"/>
        </w:rPr>
      </w:pPr>
      <w:r>
        <w:rPr>
          <w:rFonts w:ascii="Times New Roman" w:eastAsia="Times New Roman" w:hAnsi="Times New Roman"/>
          <w:sz w:val="24"/>
          <w:szCs w:val="24"/>
          <w:lang w:val="mk-MK"/>
        </w:rPr>
        <w:t xml:space="preserve">Капиталот на Банката изнесуваше </w:t>
      </w:r>
      <w:r w:rsidR="00CB05BD">
        <w:rPr>
          <w:rFonts w:ascii="Times New Roman" w:eastAsia="Times New Roman" w:hAnsi="Times New Roman"/>
          <w:sz w:val="24"/>
          <w:szCs w:val="24"/>
          <w:lang w:val="mk-MK"/>
        </w:rPr>
        <w:t>361,0</w:t>
      </w:r>
      <w:r>
        <w:rPr>
          <w:rFonts w:ascii="Times New Roman" w:eastAsia="Times New Roman" w:hAnsi="Times New Roman"/>
          <w:sz w:val="24"/>
          <w:szCs w:val="24"/>
          <w:lang w:val="mk-MK"/>
        </w:rPr>
        <w:t xml:space="preserve"> милиони евра на крајот од 202</w:t>
      </w:r>
      <w:r w:rsidR="00CB05BD">
        <w:rPr>
          <w:rFonts w:ascii="Times New Roman" w:eastAsia="Times New Roman" w:hAnsi="Times New Roman"/>
          <w:sz w:val="24"/>
          <w:szCs w:val="24"/>
          <w:lang w:val="mk-MK"/>
        </w:rPr>
        <w:t>2</w:t>
      </w:r>
      <w:r>
        <w:rPr>
          <w:rFonts w:ascii="Times New Roman" w:eastAsia="Times New Roman" w:hAnsi="Times New Roman"/>
          <w:sz w:val="24"/>
          <w:szCs w:val="24"/>
          <w:lang w:val="mk-MK"/>
        </w:rPr>
        <w:t xml:space="preserve"> година и како таков, тој се уште е највисок во банкарскиот сектор во земјата, обезбедувајќи солиден коефициент на адекватност и квалитетен извор на долгорочно финансирање.</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gridCol w:w="4630"/>
      </w:tblGrid>
      <w:tr w:rsidR="006231D2" w14:paraId="07160FFF" w14:textId="77777777" w:rsidTr="006C1FBD">
        <w:tc>
          <w:tcPr>
            <w:tcW w:w="4629" w:type="dxa"/>
          </w:tcPr>
          <w:p w14:paraId="3953B968" w14:textId="77777777" w:rsidR="006231D2" w:rsidRDefault="00657A15" w:rsidP="00372BD2">
            <w:pPr>
              <w:spacing w:before="240"/>
              <w:jc w:val="center"/>
              <w:outlineLvl w:val="0"/>
              <w:rPr>
                <w:b/>
                <w:sz w:val="28"/>
                <w:szCs w:val="28"/>
                <w:lang w:val="mk-MK"/>
              </w:rPr>
            </w:pPr>
            <w:bookmarkStart w:id="38" w:name="_Toc132974480"/>
            <w:bookmarkStart w:id="39" w:name="_Toc132974656"/>
            <w:bookmarkStart w:id="40" w:name="_Toc132978840"/>
            <w:r>
              <w:rPr>
                <w:b/>
                <w:noProof/>
                <w:sz w:val="28"/>
                <w:szCs w:val="28"/>
              </w:rPr>
              <w:drawing>
                <wp:inline distT="0" distB="0" distL="0" distR="0" wp14:anchorId="74C3FBEF" wp14:editId="1DA50294">
                  <wp:extent cx="2478024" cy="2130552"/>
                  <wp:effectExtent l="0" t="0" r="0" b="317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8024" cy="2130552"/>
                          </a:xfrm>
                          <a:prstGeom prst="rect">
                            <a:avLst/>
                          </a:prstGeom>
                          <a:noFill/>
                        </pic:spPr>
                      </pic:pic>
                    </a:graphicData>
                  </a:graphic>
                </wp:inline>
              </w:drawing>
            </w:r>
            <w:bookmarkEnd w:id="38"/>
            <w:bookmarkEnd w:id="39"/>
            <w:bookmarkEnd w:id="40"/>
          </w:p>
        </w:tc>
        <w:tc>
          <w:tcPr>
            <w:tcW w:w="4630" w:type="dxa"/>
          </w:tcPr>
          <w:p w14:paraId="5BFCAA17" w14:textId="77777777" w:rsidR="006231D2" w:rsidRDefault="00657A15" w:rsidP="00372BD2">
            <w:pPr>
              <w:spacing w:before="240"/>
              <w:jc w:val="center"/>
              <w:outlineLvl w:val="0"/>
              <w:rPr>
                <w:b/>
                <w:sz w:val="28"/>
                <w:szCs w:val="28"/>
                <w:lang w:val="mk-MK"/>
              </w:rPr>
            </w:pPr>
            <w:bookmarkStart w:id="41" w:name="_Toc132974481"/>
            <w:bookmarkStart w:id="42" w:name="_Toc132974657"/>
            <w:bookmarkStart w:id="43" w:name="_Toc132978841"/>
            <w:r>
              <w:rPr>
                <w:b/>
                <w:noProof/>
                <w:sz w:val="28"/>
                <w:szCs w:val="28"/>
              </w:rPr>
              <w:drawing>
                <wp:inline distT="0" distB="0" distL="0" distR="0" wp14:anchorId="5E6099E4" wp14:editId="3AFCAD86">
                  <wp:extent cx="2478024" cy="2130552"/>
                  <wp:effectExtent l="0" t="0" r="0"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78024" cy="2130552"/>
                          </a:xfrm>
                          <a:prstGeom prst="rect">
                            <a:avLst/>
                          </a:prstGeom>
                          <a:noFill/>
                        </pic:spPr>
                      </pic:pic>
                    </a:graphicData>
                  </a:graphic>
                </wp:inline>
              </w:drawing>
            </w:r>
            <w:bookmarkEnd w:id="41"/>
            <w:bookmarkEnd w:id="42"/>
            <w:bookmarkEnd w:id="43"/>
          </w:p>
        </w:tc>
      </w:tr>
    </w:tbl>
    <w:p w14:paraId="747062BB" w14:textId="77777777" w:rsidR="00CB05BD" w:rsidRDefault="00CB05BD" w:rsidP="002F28FD">
      <w:pPr>
        <w:spacing w:before="240"/>
        <w:outlineLvl w:val="0"/>
        <w:rPr>
          <w:rFonts w:ascii="Times New Roman" w:hAnsi="Times New Roman"/>
          <w:b/>
          <w:sz w:val="28"/>
          <w:szCs w:val="28"/>
          <w:lang w:val="mk-MK"/>
        </w:rPr>
      </w:pPr>
    </w:p>
    <w:p w14:paraId="16888983" w14:textId="77777777" w:rsidR="002F28FD" w:rsidRPr="00A75476" w:rsidRDefault="002F28FD" w:rsidP="00A75476">
      <w:pPr>
        <w:pStyle w:val="Heading1"/>
        <w:rPr>
          <w:b/>
          <w:sz w:val="28"/>
          <w:lang w:val="mk-MK"/>
        </w:rPr>
      </w:pPr>
      <w:bookmarkStart w:id="44" w:name="_Toc132974482"/>
      <w:bookmarkStart w:id="45" w:name="_Toc132978842"/>
      <w:r w:rsidRPr="00A75476">
        <w:rPr>
          <w:b/>
          <w:sz w:val="28"/>
          <w:lang w:val="mk-MK"/>
        </w:rPr>
        <w:t>Банкарство на мало</w:t>
      </w:r>
      <w:bookmarkEnd w:id="44"/>
      <w:bookmarkEnd w:id="45"/>
    </w:p>
    <w:p w14:paraId="0F101785" w14:textId="77777777" w:rsidR="002F28FD" w:rsidRDefault="002F28FD" w:rsidP="002F28FD">
      <w:pPr>
        <w:jc w:val="both"/>
        <w:rPr>
          <w:rFonts w:ascii="Times New Roman" w:hAnsi="Times New Roman"/>
          <w:sz w:val="24"/>
          <w:szCs w:val="24"/>
          <w:lang w:val="mk-MK"/>
        </w:rPr>
      </w:pPr>
      <w:r>
        <w:rPr>
          <w:rFonts w:ascii="Times New Roman" w:hAnsi="Times New Roman"/>
          <w:sz w:val="24"/>
          <w:szCs w:val="24"/>
          <w:lang w:val="mk-MK"/>
        </w:rPr>
        <w:t xml:space="preserve">Сегментот население во </w:t>
      </w:r>
      <w:r w:rsidRPr="001C5B17">
        <w:rPr>
          <w:rFonts w:ascii="Times New Roman" w:hAnsi="Times New Roman"/>
          <w:sz w:val="24"/>
          <w:szCs w:val="24"/>
          <w:lang w:val="mk-MK"/>
        </w:rPr>
        <w:t>202</w:t>
      </w:r>
      <w:r>
        <w:rPr>
          <w:rFonts w:ascii="Times New Roman" w:hAnsi="Times New Roman"/>
          <w:sz w:val="24"/>
          <w:szCs w:val="24"/>
          <w:lang w:val="mk-MK"/>
        </w:rPr>
        <w:t>2</w:t>
      </w:r>
      <w:r w:rsidRPr="001C5B17">
        <w:rPr>
          <w:rFonts w:ascii="Times New Roman" w:hAnsi="Times New Roman"/>
          <w:sz w:val="24"/>
          <w:szCs w:val="24"/>
          <w:lang w:val="mk-MK"/>
        </w:rPr>
        <w:t xml:space="preserve"> </w:t>
      </w:r>
      <w:r>
        <w:rPr>
          <w:rFonts w:ascii="Times New Roman" w:hAnsi="Times New Roman"/>
          <w:sz w:val="24"/>
          <w:szCs w:val="24"/>
          <w:lang w:val="mk-MK"/>
        </w:rPr>
        <w:t>година се рехабилитираше о</w:t>
      </w:r>
      <w:r w:rsidR="0069478B">
        <w:rPr>
          <w:rFonts w:ascii="Times New Roman" w:hAnsi="Times New Roman"/>
          <w:sz w:val="24"/>
          <w:szCs w:val="24"/>
          <w:lang w:val="mk-MK"/>
        </w:rPr>
        <w:t>д ефектите на долготрајната пан</w:t>
      </w:r>
      <w:r>
        <w:rPr>
          <w:rFonts w:ascii="Times New Roman" w:hAnsi="Times New Roman"/>
          <w:sz w:val="24"/>
          <w:szCs w:val="24"/>
          <w:lang w:val="mk-MK"/>
        </w:rPr>
        <w:t>д</w:t>
      </w:r>
      <w:r w:rsidR="0069478B">
        <w:rPr>
          <w:rFonts w:ascii="Times New Roman" w:hAnsi="Times New Roman"/>
          <w:sz w:val="24"/>
          <w:szCs w:val="24"/>
          <w:lang w:val="mk-MK"/>
        </w:rPr>
        <w:t>е</w:t>
      </w:r>
      <w:r>
        <w:rPr>
          <w:rFonts w:ascii="Times New Roman" w:hAnsi="Times New Roman"/>
          <w:sz w:val="24"/>
          <w:szCs w:val="24"/>
          <w:lang w:val="mk-MK"/>
        </w:rPr>
        <w:t xml:space="preserve">мија и покажуваше знаци на нормализирани текови. Меѓутоа, стартот на конфликтот во Украина, цените на енергенсите и брзорастечката инфлација неминовно влијаеа пред се врз куповната моќ на граѓаните, но и на нивните апетити и амбиции за претстојниот период. </w:t>
      </w:r>
    </w:p>
    <w:p w14:paraId="7763143E" w14:textId="77777777" w:rsidR="002F28FD" w:rsidRDefault="002F28FD" w:rsidP="002F28FD">
      <w:pPr>
        <w:jc w:val="both"/>
        <w:rPr>
          <w:rFonts w:ascii="Times New Roman" w:hAnsi="Times New Roman"/>
          <w:sz w:val="24"/>
          <w:szCs w:val="24"/>
          <w:lang w:val="mk-MK"/>
        </w:rPr>
      </w:pPr>
      <w:r>
        <w:rPr>
          <w:rFonts w:ascii="Times New Roman" w:hAnsi="Times New Roman"/>
          <w:sz w:val="24"/>
          <w:szCs w:val="24"/>
          <w:lang w:val="mk-MK"/>
        </w:rPr>
        <w:lastRenderedPageBreak/>
        <w:t>Народна банка на Република Северна Македонија во неколку наврати во текот на годината ги зголеми референтните каматни стапки со што даде јасни насоки за успорен раст на кредитирањето како кај населението така и кај компаниите што има за крајна цел зауздување на инфлаторните влијанија. Растот на каматните ст</w:t>
      </w:r>
      <w:r w:rsidR="0069478B">
        <w:rPr>
          <w:rFonts w:ascii="Times New Roman" w:hAnsi="Times New Roman"/>
          <w:sz w:val="24"/>
          <w:szCs w:val="24"/>
          <w:lang w:val="mk-MK"/>
        </w:rPr>
        <w:t xml:space="preserve">апки на кредитните производи </w:t>
      </w:r>
      <w:r>
        <w:rPr>
          <w:rFonts w:ascii="Times New Roman" w:hAnsi="Times New Roman"/>
          <w:sz w:val="24"/>
          <w:szCs w:val="24"/>
          <w:lang w:val="mk-MK"/>
        </w:rPr>
        <w:t>беше постепе</w:t>
      </w:r>
      <w:r w:rsidR="0069478B">
        <w:rPr>
          <w:rFonts w:ascii="Times New Roman" w:hAnsi="Times New Roman"/>
          <w:sz w:val="24"/>
          <w:szCs w:val="24"/>
          <w:lang w:val="mk-MK"/>
        </w:rPr>
        <w:t>н</w:t>
      </w:r>
      <w:r>
        <w:rPr>
          <w:rFonts w:ascii="Times New Roman" w:hAnsi="Times New Roman"/>
          <w:sz w:val="24"/>
          <w:szCs w:val="24"/>
          <w:lang w:val="mk-MK"/>
        </w:rPr>
        <w:t xml:space="preserve"> со цел избегнување на ситуација на преоптовареност на клиентите и намалување на квалитетот на кредитното портфолио. </w:t>
      </w:r>
    </w:p>
    <w:p w14:paraId="2F0C80F1" w14:textId="77777777" w:rsidR="002F28FD" w:rsidRPr="00725808" w:rsidRDefault="0069478B" w:rsidP="002F28FD">
      <w:pPr>
        <w:jc w:val="both"/>
        <w:rPr>
          <w:rFonts w:ascii="Times New Roman" w:hAnsi="Times New Roman"/>
          <w:sz w:val="24"/>
          <w:szCs w:val="24"/>
          <w:lang w:val="mk-MK"/>
        </w:rPr>
      </w:pPr>
      <w:r>
        <w:rPr>
          <w:rFonts w:ascii="Times New Roman" w:hAnsi="Times New Roman"/>
          <w:sz w:val="24"/>
          <w:szCs w:val="24"/>
          <w:lang w:val="mk-MK"/>
        </w:rPr>
        <w:t xml:space="preserve">Овие трендови продолжија </w:t>
      </w:r>
      <w:r w:rsidR="002F28FD">
        <w:rPr>
          <w:rFonts w:ascii="Times New Roman" w:hAnsi="Times New Roman"/>
          <w:sz w:val="24"/>
          <w:szCs w:val="24"/>
          <w:lang w:val="mk-MK"/>
        </w:rPr>
        <w:t>и со крајот на годината и ефектите несомнено ќе се прелеат во следната, 2023 година</w:t>
      </w:r>
      <w:r w:rsidR="002F28FD" w:rsidRPr="001C5B17">
        <w:rPr>
          <w:rFonts w:ascii="Times New Roman" w:hAnsi="Times New Roman"/>
          <w:sz w:val="24"/>
          <w:szCs w:val="24"/>
          <w:lang w:val="mk-MK"/>
        </w:rPr>
        <w:t xml:space="preserve">.  </w:t>
      </w:r>
    </w:p>
    <w:p w14:paraId="0DBB5F1E" w14:textId="77777777" w:rsidR="002F28FD" w:rsidRDefault="002F28FD" w:rsidP="002F28FD">
      <w:pPr>
        <w:jc w:val="both"/>
        <w:rPr>
          <w:rFonts w:ascii="Times New Roman" w:hAnsi="Times New Roman"/>
          <w:sz w:val="24"/>
          <w:szCs w:val="24"/>
          <w:lang w:val="mk-MK"/>
        </w:rPr>
      </w:pPr>
      <w:r>
        <w:rPr>
          <w:rFonts w:ascii="Times New Roman" w:hAnsi="Times New Roman"/>
          <w:sz w:val="24"/>
          <w:szCs w:val="24"/>
          <w:lang w:val="mk-MK"/>
        </w:rPr>
        <w:t xml:space="preserve">2022 година, Стопанска банка ја посвети на зајакнување на својата позиција во сегментот население преку понатамошна оптимизација на својата мрежа на филијали, инвестиција во нови современи АТМ уреди, продлабочена понуда во </w:t>
      </w:r>
      <w:r w:rsidRPr="001C5B17">
        <w:rPr>
          <w:rFonts w:ascii="Times New Roman" w:hAnsi="Times New Roman"/>
          <w:sz w:val="24"/>
          <w:szCs w:val="24"/>
          <w:lang w:val="mk-MK"/>
        </w:rPr>
        <w:t xml:space="preserve">i-bank </w:t>
      </w:r>
      <w:r>
        <w:rPr>
          <w:rFonts w:ascii="Times New Roman" w:hAnsi="Times New Roman"/>
          <w:sz w:val="24"/>
          <w:szCs w:val="24"/>
          <w:lang w:val="mk-MK"/>
        </w:rPr>
        <w:t xml:space="preserve">дигиталните услуги како и во зајакнување на својата кредитна и депозитна понуда за граѓаните. </w:t>
      </w:r>
    </w:p>
    <w:p w14:paraId="683CB2E6" w14:textId="77777777" w:rsidR="002F28FD" w:rsidRPr="00A75476" w:rsidRDefault="002F28FD" w:rsidP="00A75476">
      <w:pPr>
        <w:pStyle w:val="Heading2"/>
        <w:rPr>
          <w:i/>
          <w:lang w:val="mk-MK"/>
        </w:rPr>
      </w:pPr>
      <w:bookmarkStart w:id="46" w:name="_Toc132974483"/>
      <w:bookmarkStart w:id="47" w:name="_Toc132978843"/>
      <w:r>
        <w:rPr>
          <w:i/>
          <w:lang w:val="mk-MK"/>
        </w:rPr>
        <w:t>Депозити на население</w:t>
      </w:r>
      <w:bookmarkEnd w:id="46"/>
      <w:bookmarkEnd w:id="47"/>
    </w:p>
    <w:p w14:paraId="7BA819D0" w14:textId="77777777" w:rsidR="002F28FD" w:rsidRPr="001C5B17" w:rsidRDefault="002F28FD" w:rsidP="002F28FD">
      <w:pPr>
        <w:pStyle w:val="NormalWeb"/>
        <w:spacing w:after="200" w:line="276" w:lineRule="auto"/>
        <w:jc w:val="both"/>
        <w:rPr>
          <w:lang w:val="mk-MK"/>
        </w:rPr>
      </w:pPr>
      <w:r>
        <w:rPr>
          <w:lang w:val="mk-MK"/>
        </w:rPr>
        <w:t xml:space="preserve">Базата на депозитите од население порасна </w:t>
      </w:r>
      <w:r w:rsidRPr="001C5B17">
        <w:rPr>
          <w:lang w:val="mk-MK"/>
        </w:rPr>
        <w:t>во текот на 202</w:t>
      </w:r>
      <w:r>
        <w:rPr>
          <w:lang w:val="mk-MK"/>
        </w:rPr>
        <w:t>2</w:t>
      </w:r>
      <w:r w:rsidRPr="001C5B17">
        <w:rPr>
          <w:lang w:val="mk-MK"/>
        </w:rPr>
        <w:t xml:space="preserve"> </w:t>
      </w:r>
      <w:r>
        <w:rPr>
          <w:lang w:val="mk-MK"/>
        </w:rPr>
        <w:t xml:space="preserve">година и достигна ниво од </w:t>
      </w:r>
      <w:r w:rsidR="0069478B" w:rsidRPr="001C5B17">
        <w:rPr>
          <w:lang w:val="mk-MK"/>
        </w:rPr>
        <w:t>1,</w:t>
      </w:r>
      <w:r w:rsidRPr="001C5B17">
        <w:rPr>
          <w:lang w:val="mk-MK"/>
        </w:rPr>
        <w:t xml:space="preserve">08 </w:t>
      </w:r>
      <w:r>
        <w:rPr>
          <w:lang w:val="mk-MK"/>
        </w:rPr>
        <w:t>милијарди, пресликувајќи ја, во континуитет, довербата која базата на клиенти ја има во Банката</w:t>
      </w:r>
      <w:r w:rsidRPr="001C5B17">
        <w:rPr>
          <w:lang w:val="mk-MK"/>
        </w:rPr>
        <w:t>.  </w:t>
      </w:r>
    </w:p>
    <w:p w14:paraId="7AF32EDB" w14:textId="77777777" w:rsidR="002F28FD" w:rsidRPr="001C5B17" w:rsidRDefault="002F28FD" w:rsidP="002F28FD">
      <w:pPr>
        <w:pStyle w:val="NormalWeb"/>
        <w:spacing w:after="200" w:line="276" w:lineRule="auto"/>
        <w:jc w:val="both"/>
        <w:rPr>
          <w:lang w:val="mk-MK"/>
        </w:rPr>
      </w:pPr>
      <w:r>
        <w:rPr>
          <w:lang w:val="mk-MK"/>
        </w:rPr>
        <w:t>Коефициентот на депозитите по видување во однос на орочените депозити остана избалансиран, незначително на страната на депозит</w:t>
      </w:r>
      <w:r w:rsidR="0069478B">
        <w:rPr>
          <w:lang w:val="mk-MK"/>
        </w:rPr>
        <w:t xml:space="preserve">ите по видување, ако се земе </w:t>
      </w:r>
      <w:r>
        <w:rPr>
          <w:lang w:val="mk-MK"/>
        </w:rPr>
        <w:t>предвид дека клиентите сеуште преферираат да имаат ликвидни тековни средства за времетраењето на Ковид кризата, дополнително на депозитите со најниски каматни стапки</w:t>
      </w:r>
      <w:r w:rsidRPr="001C5B17">
        <w:rPr>
          <w:lang w:val="mk-MK"/>
        </w:rPr>
        <w:t xml:space="preserve">.  </w:t>
      </w:r>
    </w:p>
    <w:p w14:paraId="5E596FC8" w14:textId="77777777" w:rsidR="006C1FBD" w:rsidRPr="001C5B17" w:rsidRDefault="002F28FD" w:rsidP="006C1FBD">
      <w:pPr>
        <w:pStyle w:val="NormalWeb"/>
        <w:spacing w:after="200" w:line="276" w:lineRule="auto"/>
        <w:jc w:val="both"/>
        <w:rPr>
          <w:lang w:val="mk-MK"/>
        </w:rPr>
      </w:pPr>
      <w:r>
        <w:rPr>
          <w:lang w:val="mk-MK"/>
        </w:rPr>
        <w:t xml:space="preserve">Коефициентот помеѓу странската валута и локалната </w:t>
      </w:r>
      <w:r w:rsidR="0069478B">
        <w:rPr>
          <w:lang w:val="mk-MK"/>
        </w:rPr>
        <w:t xml:space="preserve">валута е воглавно избалансиран </w:t>
      </w:r>
      <w:r>
        <w:rPr>
          <w:lang w:val="mk-MK"/>
        </w:rPr>
        <w:t>и се чини дека клиентите имаат прилично избалансирана потреба од едното или другото</w:t>
      </w:r>
      <w:r w:rsidRPr="001C5B17">
        <w:rPr>
          <w:lang w:val="mk-MK"/>
        </w:rPr>
        <w:t xml:space="preserve">. </w:t>
      </w:r>
    </w:p>
    <w:p w14:paraId="28223EF9" w14:textId="77777777" w:rsidR="00F972A7" w:rsidRDefault="00F972A7">
      <w:pPr>
        <w:spacing w:after="0" w:line="240" w:lineRule="auto"/>
        <w:rPr>
          <w:rStyle w:val="IntenseEmphasis"/>
          <w:rFonts w:ascii="Times New Roman" w:eastAsia="Times New Roman" w:hAnsi="Times New Roman"/>
          <w:sz w:val="24"/>
          <w:szCs w:val="24"/>
          <w:lang w:val="mk-MK"/>
        </w:rPr>
      </w:pPr>
      <w:r>
        <w:rPr>
          <w:rStyle w:val="IntenseEmphasis"/>
          <w:lang w:val="mk-MK"/>
        </w:rPr>
        <w:br w:type="page"/>
      </w:r>
    </w:p>
    <w:p w14:paraId="44D69ED6" w14:textId="77777777" w:rsidR="002F28FD" w:rsidRPr="001C5B17" w:rsidRDefault="002F28FD" w:rsidP="002F28FD">
      <w:pPr>
        <w:pStyle w:val="NormalWeb"/>
        <w:spacing w:after="200" w:line="276" w:lineRule="auto"/>
        <w:jc w:val="center"/>
        <w:rPr>
          <w:rStyle w:val="IntenseEmphasis"/>
          <w:lang w:val="mk-MK"/>
        </w:rPr>
      </w:pPr>
      <w:r>
        <w:rPr>
          <w:rStyle w:val="IntenseEmphasis"/>
          <w:lang w:val="mk-MK"/>
        </w:rPr>
        <w:lastRenderedPageBreak/>
        <w:t xml:space="preserve">Структура на депозитите по видување/ орочените депозити </w:t>
      </w:r>
    </w:p>
    <w:p w14:paraId="78986369" w14:textId="77777777" w:rsidR="002F28FD" w:rsidRDefault="002F28FD" w:rsidP="002F28FD">
      <w:pPr>
        <w:pStyle w:val="NormalWeb"/>
        <w:spacing w:after="200" w:line="276" w:lineRule="auto"/>
        <w:jc w:val="center"/>
        <w:rPr>
          <w:b/>
          <w:i/>
        </w:rPr>
      </w:pPr>
      <w:r>
        <w:rPr>
          <w:b/>
          <w:i/>
          <w:noProof/>
        </w:rPr>
        <w:drawing>
          <wp:inline distT="0" distB="0" distL="0" distR="0" wp14:anchorId="0A99C486" wp14:editId="48151029">
            <wp:extent cx="3694176" cy="2541253"/>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94176" cy="2541253"/>
                    </a:xfrm>
                    <a:prstGeom prst="rect">
                      <a:avLst/>
                    </a:prstGeom>
                    <a:noFill/>
                  </pic:spPr>
                </pic:pic>
              </a:graphicData>
            </a:graphic>
          </wp:inline>
        </w:drawing>
      </w:r>
    </w:p>
    <w:p w14:paraId="092AB406" w14:textId="77777777" w:rsidR="002F28FD" w:rsidRPr="00A75476" w:rsidRDefault="002F28FD" w:rsidP="00A75476">
      <w:pPr>
        <w:pStyle w:val="Heading2"/>
        <w:rPr>
          <w:i/>
          <w:lang w:val="mk-MK"/>
        </w:rPr>
      </w:pPr>
      <w:bookmarkStart w:id="48" w:name="_Toc132974484"/>
      <w:bookmarkStart w:id="49" w:name="_Toc132978844"/>
      <w:r>
        <w:rPr>
          <w:i/>
          <w:lang w:val="mk-MK"/>
        </w:rPr>
        <w:t>Кредитирање на население</w:t>
      </w:r>
      <w:bookmarkEnd w:id="48"/>
      <w:bookmarkEnd w:id="49"/>
    </w:p>
    <w:p w14:paraId="46490DD7" w14:textId="77777777" w:rsidR="002F28FD" w:rsidRPr="001C5B17" w:rsidRDefault="002F28FD" w:rsidP="00372BD2">
      <w:pPr>
        <w:pStyle w:val="NormalWeb"/>
        <w:spacing w:after="200" w:line="276" w:lineRule="auto"/>
        <w:jc w:val="both"/>
        <w:rPr>
          <w:lang w:val="mk-MK"/>
        </w:rPr>
      </w:pPr>
      <w:r>
        <w:rPr>
          <w:lang w:val="mk-MK"/>
        </w:rPr>
        <w:t>Зголемен фокус во 2022 година добија обезбедените кредити за население – станбен и потрошувачки обезбеден кредит</w:t>
      </w:r>
      <w:r>
        <w:t xml:space="preserve"> </w:t>
      </w:r>
      <w:r>
        <w:rPr>
          <w:lang w:val="mk-MK"/>
        </w:rPr>
        <w:t xml:space="preserve">за кои клиентите пројавија поизразен интерес од претходни години. Поткрепени со промотивни понуди постигнат беше пораст од </w:t>
      </w:r>
      <w:r w:rsidR="0069478B" w:rsidRPr="001C5B17">
        <w:rPr>
          <w:lang w:val="mk-MK"/>
        </w:rPr>
        <w:t>6,</w:t>
      </w:r>
      <w:r w:rsidRPr="001C5B17">
        <w:rPr>
          <w:lang w:val="mk-MK"/>
        </w:rPr>
        <w:t xml:space="preserve">6% </w:t>
      </w:r>
      <w:r>
        <w:rPr>
          <w:lang w:val="mk-MK"/>
        </w:rPr>
        <w:t xml:space="preserve">во кредитирањето на населението, споредено со </w:t>
      </w:r>
      <w:r w:rsidRPr="001C5B17">
        <w:rPr>
          <w:lang w:val="mk-MK"/>
        </w:rPr>
        <w:t>2021</w:t>
      </w:r>
      <w:r>
        <w:rPr>
          <w:lang w:val="mk-MK"/>
        </w:rPr>
        <w:t xml:space="preserve"> година</w:t>
      </w:r>
      <w:r w:rsidRPr="001C5B17">
        <w:rPr>
          <w:lang w:val="mk-MK"/>
        </w:rPr>
        <w:t>.</w:t>
      </w:r>
    </w:p>
    <w:p w14:paraId="7BA4CBC4" w14:textId="77777777" w:rsidR="002F28FD" w:rsidRPr="00372BD2" w:rsidRDefault="002F28FD" w:rsidP="002F28FD">
      <w:pPr>
        <w:jc w:val="center"/>
        <w:rPr>
          <w:rStyle w:val="IntenseEmphasis"/>
          <w:rFonts w:ascii="Times New Roman" w:hAnsi="Times New Roman"/>
          <w:lang w:val="mk-MK"/>
        </w:rPr>
      </w:pPr>
      <w:r w:rsidRPr="00372BD2">
        <w:rPr>
          <w:rStyle w:val="IntenseEmphasis"/>
          <w:rFonts w:ascii="Times New Roman" w:hAnsi="Times New Roman"/>
          <w:lang w:val="mk-MK"/>
        </w:rPr>
        <w:t>Структура на портфолиото на население</w:t>
      </w:r>
    </w:p>
    <w:p w14:paraId="7C2A1629" w14:textId="77777777" w:rsidR="002F28FD" w:rsidRPr="008A0D62" w:rsidRDefault="002F28FD" w:rsidP="002F28FD">
      <w:pPr>
        <w:jc w:val="center"/>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6B19D9AC" wp14:editId="59C08116">
            <wp:extent cx="3910156" cy="3048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0156" cy="3048000"/>
                    </a:xfrm>
                    <a:prstGeom prst="rect">
                      <a:avLst/>
                    </a:prstGeom>
                    <a:noFill/>
                  </pic:spPr>
                </pic:pic>
              </a:graphicData>
            </a:graphic>
          </wp:inline>
        </w:drawing>
      </w:r>
    </w:p>
    <w:p w14:paraId="75A11BC0" w14:textId="77777777" w:rsidR="002F28FD" w:rsidRPr="009A15E8" w:rsidRDefault="002F28FD" w:rsidP="002F28FD">
      <w:pPr>
        <w:pStyle w:val="NormalWeb"/>
        <w:spacing w:after="200" w:line="276" w:lineRule="auto"/>
        <w:jc w:val="both"/>
        <w:rPr>
          <w:lang w:val="mk-MK"/>
        </w:rPr>
      </w:pPr>
      <w:r>
        <w:rPr>
          <w:lang w:val="mk-MK"/>
        </w:rPr>
        <w:lastRenderedPageBreak/>
        <w:t xml:space="preserve">Портфолиото на </w:t>
      </w:r>
      <w:r w:rsidRPr="00F37743">
        <w:rPr>
          <w:b/>
          <w:lang w:val="mk-MK"/>
        </w:rPr>
        <w:t>станбени кредити</w:t>
      </w:r>
      <w:r>
        <w:rPr>
          <w:lang w:val="mk-MK"/>
        </w:rPr>
        <w:t xml:space="preserve"> продолжи со забрзан пораст достигнувајќи речиси 20</w:t>
      </w:r>
      <w:r>
        <w:t xml:space="preserve">% </w:t>
      </w:r>
      <w:r>
        <w:rPr>
          <w:lang w:val="mk-MK"/>
        </w:rPr>
        <w:t xml:space="preserve">пораст </w:t>
      </w:r>
      <w:r>
        <w:t xml:space="preserve">споредено со </w:t>
      </w:r>
      <w:r w:rsidRPr="00173A32">
        <w:t>20</w:t>
      </w:r>
      <w:r>
        <w:t>2</w:t>
      </w:r>
      <w:r>
        <w:rPr>
          <w:lang w:val="mk-MK"/>
        </w:rPr>
        <w:t>1 година додека потрошувачките кредити и кредитните картички се задржаа на истото ниво од претходните години.</w:t>
      </w:r>
    </w:p>
    <w:p w14:paraId="40B29481" w14:textId="77777777" w:rsidR="002F28FD" w:rsidRPr="00A75476" w:rsidRDefault="002F28FD" w:rsidP="00A75476">
      <w:pPr>
        <w:pStyle w:val="Heading2"/>
        <w:rPr>
          <w:i/>
          <w:lang w:val="mk-MK"/>
        </w:rPr>
      </w:pPr>
      <w:bookmarkStart w:id="50" w:name="_Toc132974485"/>
      <w:bookmarkStart w:id="51" w:name="_Toc132978845"/>
      <w:r>
        <w:rPr>
          <w:i/>
          <w:lang w:val="mk-MK"/>
        </w:rPr>
        <w:t>Картична дејност</w:t>
      </w:r>
      <w:bookmarkEnd w:id="50"/>
      <w:bookmarkEnd w:id="51"/>
    </w:p>
    <w:p w14:paraId="1DF7E72A" w14:textId="77777777" w:rsidR="002F28FD" w:rsidRDefault="002F28FD" w:rsidP="002F28FD">
      <w:pPr>
        <w:autoSpaceDE w:val="0"/>
        <w:autoSpaceDN w:val="0"/>
        <w:jc w:val="both"/>
        <w:rPr>
          <w:rFonts w:ascii="Times New Roman" w:hAnsi="Times New Roman"/>
          <w:sz w:val="24"/>
          <w:szCs w:val="24"/>
          <w:lang w:val="mk-MK"/>
        </w:rPr>
      </w:pPr>
      <w:r w:rsidRPr="00594814">
        <w:rPr>
          <w:rFonts w:ascii="Times New Roman" w:hAnsi="Times New Roman"/>
          <w:sz w:val="24"/>
          <w:szCs w:val="24"/>
          <w:lang w:val="mk-MK"/>
        </w:rPr>
        <w:t xml:space="preserve">Банката продолжи да го развива и негува </w:t>
      </w:r>
      <w:r>
        <w:rPr>
          <w:rFonts w:ascii="Times New Roman" w:hAnsi="Times New Roman"/>
          <w:sz w:val="24"/>
          <w:szCs w:val="24"/>
          <w:lang w:val="mk-MK"/>
        </w:rPr>
        <w:t>своето</w:t>
      </w:r>
      <w:r w:rsidRPr="00594814">
        <w:rPr>
          <w:rFonts w:ascii="Times New Roman" w:hAnsi="Times New Roman"/>
          <w:sz w:val="24"/>
          <w:szCs w:val="24"/>
          <w:lang w:val="mk-MK"/>
        </w:rPr>
        <w:t xml:space="preserve"> картично портфолио </w:t>
      </w:r>
      <w:r>
        <w:rPr>
          <w:rFonts w:ascii="Times New Roman" w:hAnsi="Times New Roman"/>
          <w:sz w:val="24"/>
          <w:szCs w:val="24"/>
          <w:lang w:val="mk-MK"/>
        </w:rPr>
        <w:t xml:space="preserve">и најголемо семејство платежни картички на пазарот, што придонесе до пораст на бројот на трансакциите во трговија за речиси 16% додека во вредност порастот достигна и до 23%. </w:t>
      </w:r>
    </w:p>
    <w:p w14:paraId="4A6C08FA" w14:textId="77777777" w:rsidR="002F28FD" w:rsidRPr="00594814" w:rsidRDefault="002F28FD" w:rsidP="002F28FD">
      <w:pPr>
        <w:autoSpaceDE w:val="0"/>
        <w:autoSpaceDN w:val="0"/>
        <w:jc w:val="both"/>
        <w:rPr>
          <w:rFonts w:ascii="Times New Roman" w:hAnsi="Times New Roman"/>
          <w:sz w:val="24"/>
          <w:szCs w:val="24"/>
          <w:lang w:val="mk-MK"/>
        </w:rPr>
      </w:pPr>
      <w:r>
        <w:rPr>
          <w:rFonts w:ascii="Times New Roman" w:hAnsi="Times New Roman"/>
          <w:sz w:val="24"/>
          <w:szCs w:val="24"/>
          <w:lang w:val="mk-MK"/>
        </w:rPr>
        <w:t xml:space="preserve">Значаен е ефектот и на трговците кои се почесто одбираат да ги продаваат своите услуги и производи </w:t>
      </w:r>
      <w:r w:rsidRPr="001C5B17">
        <w:rPr>
          <w:rFonts w:ascii="Times New Roman" w:hAnsi="Times New Roman"/>
          <w:sz w:val="24"/>
          <w:szCs w:val="24"/>
          <w:lang w:val="mk-MK"/>
        </w:rPr>
        <w:t>online</w:t>
      </w:r>
      <w:r>
        <w:rPr>
          <w:rFonts w:ascii="Times New Roman" w:hAnsi="Times New Roman"/>
          <w:sz w:val="24"/>
          <w:szCs w:val="24"/>
          <w:lang w:val="mk-MK"/>
        </w:rPr>
        <w:t xml:space="preserve"> па нивните трансакции учествуваат во целокупниот пораст на </w:t>
      </w:r>
      <w:r w:rsidRPr="001C5B17">
        <w:rPr>
          <w:rFonts w:ascii="Times New Roman" w:hAnsi="Times New Roman"/>
          <w:sz w:val="24"/>
          <w:szCs w:val="24"/>
          <w:lang w:val="mk-MK"/>
        </w:rPr>
        <w:t xml:space="preserve">POS </w:t>
      </w:r>
      <w:r>
        <w:rPr>
          <w:rFonts w:ascii="Times New Roman" w:hAnsi="Times New Roman"/>
          <w:sz w:val="24"/>
          <w:szCs w:val="24"/>
          <w:lang w:val="mk-MK"/>
        </w:rPr>
        <w:t>трансакции. Банката секоја година соработува со се повеќе клиенти во овој домен, бележе</w:t>
      </w:r>
      <w:r w:rsidR="0069478B">
        <w:rPr>
          <w:rFonts w:ascii="Times New Roman" w:hAnsi="Times New Roman"/>
          <w:sz w:val="24"/>
          <w:szCs w:val="24"/>
          <w:lang w:val="mk-MK"/>
        </w:rPr>
        <w:t>јќи пораст во 2022 година за 13,</w:t>
      </w:r>
      <w:r>
        <w:rPr>
          <w:rFonts w:ascii="Times New Roman" w:hAnsi="Times New Roman"/>
          <w:sz w:val="24"/>
          <w:szCs w:val="24"/>
          <w:lang w:val="mk-MK"/>
        </w:rPr>
        <w:t>5%.</w:t>
      </w:r>
    </w:p>
    <w:p w14:paraId="2DA14D0B" w14:textId="77777777" w:rsidR="002F28FD" w:rsidRPr="00594814" w:rsidRDefault="002F28FD" w:rsidP="002F28FD">
      <w:pPr>
        <w:autoSpaceDE w:val="0"/>
        <w:autoSpaceDN w:val="0"/>
        <w:jc w:val="both"/>
        <w:rPr>
          <w:rFonts w:ascii="Times New Roman" w:hAnsi="Times New Roman"/>
          <w:sz w:val="24"/>
          <w:szCs w:val="24"/>
          <w:lang w:val="mk-MK"/>
        </w:rPr>
      </w:pPr>
      <w:r>
        <w:rPr>
          <w:rFonts w:ascii="Times New Roman" w:hAnsi="Times New Roman"/>
          <w:sz w:val="24"/>
          <w:szCs w:val="24"/>
          <w:lang w:val="mk-MK"/>
        </w:rPr>
        <w:t xml:space="preserve">Повлекувањето на готовина од АТМ-ите стагнира и се одржува на нивото на претходните години што емпириски покажува дека готовинските плаќања значително се намалуваат. </w:t>
      </w:r>
    </w:p>
    <w:p w14:paraId="201559E4" w14:textId="77777777" w:rsidR="002F28FD" w:rsidRPr="00A75476" w:rsidRDefault="002F28FD" w:rsidP="00A75476">
      <w:pPr>
        <w:pStyle w:val="Heading2"/>
        <w:rPr>
          <w:i/>
          <w:lang w:val="mk-MK"/>
        </w:rPr>
      </w:pPr>
      <w:bookmarkStart w:id="52" w:name="_Toc132974486"/>
      <w:bookmarkStart w:id="53" w:name="_Toc132978846"/>
      <w:r w:rsidRPr="00A75476">
        <w:rPr>
          <w:i/>
          <w:lang w:val="mk-MK"/>
        </w:rPr>
        <w:t>Банкарско осигурување и соработка со Пензискиот фонд</w:t>
      </w:r>
      <w:bookmarkEnd w:id="52"/>
      <w:bookmarkEnd w:id="53"/>
    </w:p>
    <w:p w14:paraId="6E2650D3" w14:textId="77777777" w:rsidR="002F28FD" w:rsidRDefault="002F28FD" w:rsidP="002F28FD">
      <w:pPr>
        <w:jc w:val="both"/>
        <w:rPr>
          <w:rFonts w:ascii="Times New Roman" w:hAnsi="Times New Roman"/>
          <w:sz w:val="24"/>
          <w:szCs w:val="24"/>
          <w:lang w:val="mk-MK"/>
        </w:rPr>
      </w:pPr>
      <w:r>
        <w:rPr>
          <w:rFonts w:ascii="Times New Roman" w:hAnsi="Times New Roman"/>
          <w:sz w:val="24"/>
          <w:szCs w:val="24"/>
          <w:lang w:val="mk-MK"/>
        </w:rPr>
        <w:t>Како дел од проширените услуги достапни преку филијалите и контакт центарот на Банката, продажбата на банкарското осигурување е во постојан подем, обезбедувајќи притоа нов стабилен приход за Банката.</w:t>
      </w:r>
    </w:p>
    <w:p w14:paraId="4EF7960E" w14:textId="77777777" w:rsidR="002F28FD" w:rsidRDefault="002F28FD" w:rsidP="002F28FD">
      <w:pPr>
        <w:jc w:val="both"/>
        <w:rPr>
          <w:rFonts w:ascii="Times New Roman" w:hAnsi="Times New Roman"/>
          <w:sz w:val="24"/>
          <w:szCs w:val="24"/>
          <w:lang w:val="mk-MK"/>
        </w:rPr>
      </w:pPr>
      <w:r>
        <w:rPr>
          <w:rFonts w:ascii="Times New Roman" w:hAnsi="Times New Roman"/>
          <w:sz w:val="24"/>
          <w:szCs w:val="24"/>
          <w:lang w:val="mk-MK"/>
        </w:rPr>
        <w:t xml:space="preserve">Покрај продажбата на осигурителни полиси вградени во кредитната понуда, вработените на Банката интензивно продаваа и самостојни осигурителни полиси: животно осигурување и разновидни полиси за осигурување – неживот. Порастот во 2022 година овие два домени е повеќекратен во споредба со 2021 година, поточно над 600% кај животното осигурување и над 120% кај осигурување – неживот. </w:t>
      </w:r>
    </w:p>
    <w:p w14:paraId="0B44640A" w14:textId="77777777" w:rsidR="002F28FD" w:rsidRDefault="002F28FD" w:rsidP="002F28FD">
      <w:pPr>
        <w:jc w:val="both"/>
        <w:rPr>
          <w:rFonts w:ascii="Times New Roman" w:hAnsi="Times New Roman"/>
          <w:sz w:val="24"/>
          <w:szCs w:val="24"/>
          <w:lang w:val="mk-MK"/>
        </w:rPr>
      </w:pPr>
      <w:r>
        <w:rPr>
          <w:rFonts w:ascii="Times New Roman" w:hAnsi="Times New Roman"/>
          <w:sz w:val="24"/>
          <w:szCs w:val="24"/>
          <w:lang w:val="mk-MK"/>
        </w:rPr>
        <w:t>Дополнително, со отпочнување на соработката со Триглав Пензиско Друштво во втората половина од 2022 година реализирани се и првите 1.577 договори за членство што е солиден старт на соработката која и понатаму се продлабочува.</w:t>
      </w:r>
    </w:p>
    <w:p w14:paraId="59BE9C03" w14:textId="77777777" w:rsidR="002F28FD" w:rsidRPr="00A75476" w:rsidRDefault="002F28FD" w:rsidP="00A75476">
      <w:pPr>
        <w:pStyle w:val="Heading2"/>
        <w:rPr>
          <w:i/>
          <w:lang w:val="mk-MK"/>
        </w:rPr>
      </w:pPr>
      <w:bookmarkStart w:id="54" w:name="_Toc132974487"/>
      <w:bookmarkStart w:id="55" w:name="_Toc132978847"/>
      <w:r w:rsidRPr="00A75476">
        <w:rPr>
          <w:i/>
          <w:lang w:val="mk-MK"/>
        </w:rPr>
        <w:t>Услуги на Контакт центарот и i-bank услуги</w:t>
      </w:r>
      <w:bookmarkEnd w:id="54"/>
      <w:bookmarkEnd w:id="55"/>
    </w:p>
    <w:p w14:paraId="00740AC4" w14:textId="77777777" w:rsidR="002F28FD" w:rsidRPr="006D1FCA" w:rsidRDefault="002F28FD" w:rsidP="002F28FD">
      <w:pPr>
        <w:autoSpaceDE w:val="0"/>
        <w:autoSpaceDN w:val="0"/>
        <w:jc w:val="both"/>
        <w:rPr>
          <w:rFonts w:ascii="Times New Roman" w:hAnsi="Times New Roman"/>
          <w:sz w:val="24"/>
          <w:szCs w:val="24"/>
          <w:lang w:val="mk-MK"/>
        </w:rPr>
      </w:pPr>
      <w:r w:rsidRPr="004F0EEC">
        <w:rPr>
          <w:rFonts w:ascii="Times New Roman" w:hAnsi="Times New Roman"/>
          <w:b/>
          <w:sz w:val="24"/>
          <w:szCs w:val="24"/>
          <w:lang w:val="mk-MK"/>
        </w:rPr>
        <w:t>Контакт центарот</w:t>
      </w:r>
      <w:r>
        <w:rPr>
          <w:rFonts w:ascii="Times New Roman" w:hAnsi="Times New Roman"/>
          <w:sz w:val="24"/>
          <w:szCs w:val="24"/>
          <w:lang w:val="mk-MK"/>
        </w:rPr>
        <w:t xml:space="preserve"> достапен 24/7 продолжи да биде канал за интеракција со клиентите по различни основи и зголемениот просек од 50.000 месечни интеракции (повици и </w:t>
      </w:r>
      <w:r w:rsidRPr="001C5B17">
        <w:rPr>
          <w:rFonts w:ascii="Times New Roman" w:hAnsi="Times New Roman"/>
          <w:sz w:val="24"/>
          <w:szCs w:val="24"/>
          <w:lang w:val="mk-MK"/>
        </w:rPr>
        <w:t>e-mail</w:t>
      </w:r>
      <w:r>
        <w:rPr>
          <w:rFonts w:ascii="Times New Roman" w:hAnsi="Times New Roman"/>
          <w:sz w:val="24"/>
          <w:szCs w:val="24"/>
          <w:lang w:val="mk-MK"/>
        </w:rPr>
        <w:t xml:space="preserve"> пораки) за време на ковид пандемијата продолжува и во 2022 година. Тимот на контакт центарот продолжува да ги проширува своите дејности во насока на продажба, советодавни услуги за клиентите и секако 24/7 поддршка за картичките, трговците и за корисниците на </w:t>
      </w:r>
      <w:r w:rsidRPr="001C5B17">
        <w:rPr>
          <w:rFonts w:ascii="Times New Roman" w:hAnsi="Times New Roman"/>
          <w:sz w:val="24"/>
          <w:szCs w:val="24"/>
          <w:lang w:val="mk-MK"/>
        </w:rPr>
        <w:t xml:space="preserve">i-bank </w:t>
      </w:r>
      <w:r>
        <w:rPr>
          <w:rFonts w:ascii="Times New Roman" w:hAnsi="Times New Roman"/>
          <w:sz w:val="24"/>
          <w:szCs w:val="24"/>
          <w:lang w:val="mk-MK"/>
        </w:rPr>
        <w:t>услугите.</w:t>
      </w:r>
    </w:p>
    <w:p w14:paraId="7ECDB55A" w14:textId="77777777" w:rsidR="002F28FD" w:rsidRDefault="002F28FD" w:rsidP="002F28FD">
      <w:pPr>
        <w:pStyle w:val="ListParagraph"/>
        <w:autoSpaceDE w:val="0"/>
        <w:autoSpaceDN w:val="0"/>
        <w:spacing w:line="276" w:lineRule="auto"/>
        <w:ind w:left="0"/>
        <w:jc w:val="both"/>
        <w:rPr>
          <w:lang w:val="mk-MK"/>
        </w:rPr>
      </w:pPr>
      <w:r>
        <w:rPr>
          <w:b/>
          <w:lang w:val="mk-MK"/>
        </w:rPr>
        <w:t>Д</w:t>
      </w:r>
      <w:r w:rsidRPr="004F0EEC">
        <w:rPr>
          <w:b/>
          <w:lang w:val="mk-MK"/>
        </w:rPr>
        <w:t>игиталните и директните банкарски платформи</w:t>
      </w:r>
      <w:r>
        <w:rPr>
          <w:lang w:val="mk-MK"/>
        </w:rPr>
        <w:t xml:space="preserve"> глобално се во континуиран пораст и овој тренд го следат и нашите клиенти. Под </w:t>
      </w:r>
      <w:r w:rsidRPr="001C5B17">
        <w:rPr>
          <w:lang w:val="mk-MK"/>
        </w:rPr>
        <w:t xml:space="preserve">i-bank </w:t>
      </w:r>
      <w:r>
        <w:rPr>
          <w:lang w:val="mk-MK"/>
        </w:rPr>
        <w:t xml:space="preserve">брендот, Стопанска банка на клиентите им нуди богати дигитални решенија достапни 24/7 преку компјутер, мобилен уред или телефон. Понудата во паралела се збогатува со нови функционалности во согласност со </w:t>
      </w:r>
      <w:r>
        <w:rPr>
          <w:lang w:val="mk-MK"/>
        </w:rPr>
        <w:lastRenderedPageBreak/>
        <w:t>потребите на клиентите на пазарот и овој процес продолжува и во 2022 година кога се воведени: распределба на девизен прилив, можност за блокирање и деблокирање на платежни картички како и воспоставување на персонализирани контроли за картичките (по вид на трансакција, износ, канал и сл.), моби</w:t>
      </w:r>
      <w:r w:rsidR="00BE0DC9">
        <w:rPr>
          <w:lang w:val="mk-MK"/>
        </w:rPr>
        <w:t>лно банкарство за правни лица итн.</w:t>
      </w:r>
    </w:p>
    <w:p w14:paraId="34B327B9" w14:textId="77777777" w:rsidR="002F28FD" w:rsidRDefault="002F28FD" w:rsidP="002F28FD">
      <w:pPr>
        <w:pStyle w:val="ListParagraph"/>
        <w:autoSpaceDE w:val="0"/>
        <w:autoSpaceDN w:val="0"/>
        <w:spacing w:line="276" w:lineRule="auto"/>
        <w:ind w:left="0"/>
        <w:jc w:val="both"/>
        <w:rPr>
          <w:lang w:val="mk-MK"/>
        </w:rPr>
      </w:pPr>
      <w:r>
        <w:rPr>
          <w:lang w:val="mk-MK"/>
        </w:rPr>
        <w:t xml:space="preserve">Кај физичките лица во 2022 година бележиме пораст од 18% на вкупниот број на </w:t>
      </w:r>
      <w:r w:rsidRPr="001C5B17">
        <w:rPr>
          <w:lang w:val="mk-MK"/>
        </w:rPr>
        <w:t xml:space="preserve">i-bank </w:t>
      </w:r>
      <w:r>
        <w:rPr>
          <w:lang w:val="mk-MK"/>
        </w:rPr>
        <w:t xml:space="preserve">корисници, 13% пораст во бројот на клиенти кои реализираат трансакции преку </w:t>
      </w:r>
      <w:r w:rsidRPr="001C5B17">
        <w:rPr>
          <w:lang w:val="mk-MK"/>
        </w:rPr>
        <w:t xml:space="preserve">i-bank </w:t>
      </w:r>
      <w:r>
        <w:rPr>
          <w:lang w:val="mk-MK"/>
        </w:rPr>
        <w:t>каналите и 8% пораст во бројот на трансакции реализирани преку овие канали во споредба со 2021 година.</w:t>
      </w:r>
    </w:p>
    <w:p w14:paraId="5807A41F" w14:textId="77777777" w:rsidR="002F28FD" w:rsidRDefault="002F28FD" w:rsidP="002F28FD">
      <w:pPr>
        <w:pStyle w:val="ListParagraph"/>
        <w:autoSpaceDE w:val="0"/>
        <w:autoSpaceDN w:val="0"/>
        <w:spacing w:line="276" w:lineRule="auto"/>
        <w:ind w:left="0"/>
        <w:jc w:val="both"/>
        <w:rPr>
          <w:lang w:val="mk-MK"/>
        </w:rPr>
      </w:pPr>
      <w:r>
        <w:rPr>
          <w:lang w:val="mk-MK"/>
        </w:rPr>
        <w:t xml:space="preserve">Правните лица исто така продолжуваат со зголемен интензитет да ги користат </w:t>
      </w:r>
      <w:r w:rsidRPr="001C5B17">
        <w:rPr>
          <w:lang w:val="mk-MK"/>
        </w:rPr>
        <w:t xml:space="preserve">i-bank </w:t>
      </w:r>
      <w:r>
        <w:rPr>
          <w:lang w:val="mk-MK"/>
        </w:rPr>
        <w:t xml:space="preserve">каналите, при што со достапноста на </w:t>
      </w:r>
      <w:r w:rsidRPr="001C5B17">
        <w:rPr>
          <w:lang w:val="mk-MK"/>
        </w:rPr>
        <w:t xml:space="preserve">m-banking </w:t>
      </w:r>
      <w:r>
        <w:rPr>
          <w:lang w:val="mk-MK"/>
        </w:rPr>
        <w:t xml:space="preserve">и за правни лица бројот на корисници кои плаќаат преку системот порасна за над 300% во споредба со 2021 година. </w:t>
      </w:r>
    </w:p>
    <w:p w14:paraId="383010C7" w14:textId="77777777" w:rsidR="00F972A7" w:rsidRDefault="00F972A7" w:rsidP="00A75476">
      <w:pPr>
        <w:pStyle w:val="Heading2"/>
        <w:rPr>
          <w:i/>
          <w:lang w:val="mk-MK"/>
        </w:rPr>
      </w:pPr>
    </w:p>
    <w:p w14:paraId="27008221" w14:textId="77777777" w:rsidR="002F28FD" w:rsidRPr="00A75476" w:rsidRDefault="002F28FD" w:rsidP="00A75476">
      <w:pPr>
        <w:pStyle w:val="Heading2"/>
        <w:rPr>
          <w:i/>
          <w:lang w:val="mk-MK"/>
        </w:rPr>
      </w:pPr>
      <w:bookmarkStart w:id="56" w:name="_Toc132974488"/>
      <w:bookmarkStart w:id="57" w:name="_Toc132978848"/>
      <w:r>
        <w:rPr>
          <w:i/>
          <w:lang w:val="mk-MK"/>
        </w:rPr>
        <w:t>СББ сегментот</w:t>
      </w:r>
      <w:bookmarkEnd w:id="56"/>
      <w:bookmarkEnd w:id="57"/>
    </w:p>
    <w:p w14:paraId="598CEBAD" w14:textId="77777777" w:rsidR="002F28FD" w:rsidRPr="008B59C0" w:rsidRDefault="002F28FD" w:rsidP="002F28FD">
      <w:pPr>
        <w:spacing w:before="100" w:beforeAutospacing="1" w:after="100" w:afterAutospacing="1"/>
        <w:jc w:val="both"/>
        <w:rPr>
          <w:rFonts w:ascii="Times New Roman" w:hAnsi="Times New Roman"/>
          <w:sz w:val="24"/>
          <w:szCs w:val="24"/>
          <w:lang w:val="mk-MK"/>
        </w:rPr>
      </w:pPr>
      <w:r w:rsidRPr="008B59C0">
        <w:rPr>
          <w:rFonts w:ascii="Times New Roman" w:hAnsi="Times New Roman"/>
          <w:sz w:val="24"/>
          <w:szCs w:val="24"/>
          <w:lang w:val="mk-MK"/>
        </w:rPr>
        <w:t>Наспроти сите предизвици со кои се соочи стопанството во текот на 2022 година, а и претходно, во годините афектирани од ковид пандемијата, можеме да заклучиме дека активноста кај микро и малите компании сепак беше насочена кон развој и проширување на делувањето. Во таа насока, забележан беше значителен пораст во кредитирањето во овој сегмент споредено со 2021 година и тој достигна 22% при што клиентите доминантно побаруваа кредити за обртен капитал а поради растечките цени на енергенсите забележавме зголемен инвестициски циклус кај нашите клиенти во производство на електрична енергија за сопствени потреби од обновливи извори на енергија, при што Банката понуди соодветни кредитни решенија.</w:t>
      </w:r>
    </w:p>
    <w:p w14:paraId="0E3A34D3" w14:textId="77777777" w:rsidR="002F28FD" w:rsidRPr="001C5B17" w:rsidRDefault="002F28FD" w:rsidP="002F28FD">
      <w:pPr>
        <w:spacing w:before="100" w:beforeAutospacing="1" w:after="100" w:afterAutospacing="1"/>
        <w:jc w:val="both"/>
        <w:rPr>
          <w:rFonts w:ascii="Times New Roman" w:hAnsi="Times New Roman"/>
          <w:sz w:val="24"/>
          <w:lang w:val="mk-MK"/>
        </w:rPr>
      </w:pPr>
      <w:r w:rsidRPr="008B59C0">
        <w:rPr>
          <w:rFonts w:ascii="Times New Roman" w:hAnsi="Times New Roman"/>
          <w:sz w:val="24"/>
          <w:szCs w:val="24"/>
          <w:lang w:val="mk-MK"/>
        </w:rPr>
        <w:t>Нашиот тим продолжи да биде во поддршка на компаниите без оглед на нивната големина и фаза во животниот циклус, нудејќи им персонализирани совети, производи, услуги и решенија. Можноста да се користат во зголемен обем и дигиталните сервиси на Банката за компаниите значи намалена оператива и зголемена заштеда на ресурси и финансии и секако продлабочена соработка со Банката.</w:t>
      </w:r>
    </w:p>
    <w:p w14:paraId="6A09487C" w14:textId="77777777" w:rsidR="002F28FD" w:rsidRPr="001C5B17" w:rsidRDefault="002F28FD" w:rsidP="002F28FD">
      <w:pPr>
        <w:rPr>
          <w:lang w:val="mk-MK"/>
        </w:rPr>
      </w:pPr>
    </w:p>
    <w:p w14:paraId="012EA1FB" w14:textId="77777777" w:rsidR="00A2029B" w:rsidRPr="00A75476" w:rsidRDefault="00025E8C" w:rsidP="00A75476">
      <w:pPr>
        <w:pStyle w:val="Heading1"/>
        <w:rPr>
          <w:b/>
          <w:sz w:val="28"/>
          <w:lang w:val="mk-MK"/>
        </w:rPr>
      </w:pPr>
      <w:bookmarkStart w:id="58" w:name="_Toc132974489"/>
      <w:bookmarkStart w:id="59" w:name="_Toc132978849"/>
      <w:r w:rsidRPr="00A75476">
        <w:rPr>
          <w:b/>
          <w:sz w:val="28"/>
          <w:lang w:val="mk-MK"/>
        </w:rPr>
        <w:t>Корпоративно банкарство</w:t>
      </w:r>
      <w:bookmarkEnd w:id="58"/>
      <w:bookmarkEnd w:id="59"/>
    </w:p>
    <w:p w14:paraId="7508C0FE" w14:textId="77777777" w:rsidR="009802EA" w:rsidRPr="001C5B17" w:rsidRDefault="009802EA" w:rsidP="009802EA">
      <w:pPr>
        <w:spacing w:after="0"/>
        <w:jc w:val="both"/>
        <w:rPr>
          <w:lang w:val="mk-MK"/>
        </w:rPr>
      </w:pPr>
    </w:p>
    <w:p w14:paraId="6BE0D3EC" w14:textId="77777777" w:rsidR="00FA6E27" w:rsidRPr="001C5B17" w:rsidRDefault="00FA6E27" w:rsidP="00FA6E27">
      <w:pPr>
        <w:autoSpaceDE w:val="0"/>
        <w:autoSpaceDN w:val="0"/>
        <w:adjustRightInd w:val="0"/>
        <w:spacing w:after="0"/>
        <w:jc w:val="both"/>
        <w:rPr>
          <w:rFonts w:ascii="Times New Roman" w:hAnsi="Times New Roman"/>
          <w:sz w:val="24"/>
          <w:szCs w:val="24"/>
          <w:lang w:val="mk-MK"/>
        </w:rPr>
      </w:pPr>
      <w:r w:rsidRPr="001C5B17">
        <w:rPr>
          <w:rFonts w:ascii="Times New Roman" w:hAnsi="Times New Roman"/>
          <w:sz w:val="24"/>
          <w:szCs w:val="24"/>
          <w:lang w:val="mk-MK"/>
        </w:rPr>
        <w:t>По период од две години нарушена економска активност поради ковид пандемијата, макроекономското опкружување во 2022 година продолжи да носи сериозни предизвици како во реалниот, така и во финансискиот сектор. Годината започна со воена ескалација на геополитичките неизвесности од руско-украинскиот конфликт, кои се прелеаја на целата светска економија, резултирајќи со енергетска криза, турбуленции на пазарите и растечка инфлација</w:t>
      </w:r>
      <w:r>
        <w:rPr>
          <w:rFonts w:ascii="Times New Roman" w:hAnsi="Times New Roman"/>
          <w:sz w:val="24"/>
          <w:szCs w:val="24"/>
          <w:lang w:val="mk-MK"/>
        </w:rPr>
        <w:t>.</w:t>
      </w:r>
      <w:r w:rsidRPr="001C5B17">
        <w:rPr>
          <w:rFonts w:ascii="Times New Roman" w:hAnsi="Times New Roman"/>
          <w:sz w:val="24"/>
          <w:szCs w:val="24"/>
          <w:lang w:val="mk-MK"/>
        </w:rPr>
        <w:t xml:space="preserve"> Притоа, инфлаторниот притисок врз глобалната економија, кој предизвика затегање на монетарната политика на централните банки ширум светот, креира</w:t>
      </w:r>
      <w:r>
        <w:rPr>
          <w:rFonts w:ascii="Times New Roman" w:hAnsi="Times New Roman"/>
          <w:sz w:val="24"/>
          <w:szCs w:val="24"/>
          <w:lang w:val="mk-MK"/>
        </w:rPr>
        <w:t>ше</w:t>
      </w:r>
      <w:r w:rsidRPr="001C5B17">
        <w:rPr>
          <w:rFonts w:ascii="Times New Roman" w:hAnsi="Times New Roman"/>
          <w:sz w:val="24"/>
          <w:szCs w:val="24"/>
          <w:lang w:val="mk-MK"/>
        </w:rPr>
        <w:t xml:space="preserve"> средина на каматни стапки кои се на историско највисоко ниво во последните десет години. </w:t>
      </w:r>
    </w:p>
    <w:p w14:paraId="2B2EEFA9" w14:textId="77777777" w:rsidR="00FA6E27" w:rsidRPr="001C5B17" w:rsidRDefault="00FA6E27" w:rsidP="00FA6E27">
      <w:pPr>
        <w:autoSpaceDE w:val="0"/>
        <w:autoSpaceDN w:val="0"/>
        <w:adjustRightInd w:val="0"/>
        <w:spacing w:after="0"/>
        <w:jc w:val="both"/>
        <w:rPr>
          <w:rFonts w:ascii="Times New Roman" w:hAnsi="Times New Roman"/>
          <w:sz w:val="24"/>
          <w:szCs w:val="24"/>
          <w:lang w:val="mk-MK"/>
        </w:rPr>
      </w:pPr>
    </w:p>
    <w:p w14:paraId="42ACE1AA" w14:textId="77777777" w:rsidR="00FA6E27" w:rsidRPr="001C5B17" w:rsidRDefault="00FA6E27" w:rsidP="00FA6E27">
      <w:pPr>
        <w:autoSpaceDE w:val="0"/>
        <w:autoSpaceDN w:val="0"/>
        <w:adjustRightInd w:val="0"/>
        <w:spacing w:after="0"/>
        <w:jc w:val="both"/>
        <w:rPr>
          <w:rFonts w:ascii="Times New Roman" w:hAnsi="Times New Roman"/>
          <w:sz w:val="24"/>
          <w:szCs w:val="24"/>
          <w:lang w:val="mk-MK"/>
        </w:rPr>
      </w:pPr>
      <w:r w:rsidRPr="001C5B17">
        <w:rPr>
          <w:rFonts w:ascii="Times New Roman" w:hAnsi="Times New Roman"/>
          <w:sz w:val="24"/>
          <w:szCs w:val="24"/>
          <w:lang w:val="mk-MK"/>
        </w:rPr>
        <w:t xml:space="preserve">Во дадените пазарни услови, со бројни неизвесности, Стопанска Банка АД Скопје и во 2022 година продолжи со реализација на дефинираната стратегија за раст на корпоративното кредитирање и зголемување на нејзиното пазарното учество во овој сегмент на банкарскиот пазар. Широката лепеза на прозводи и услуги кои Банката секојдневно ги испорачува на компаниите од сите сектори на економијата,  дизајнирани за секоја компанија посебно согласно нејзините потреби и карактеристики на бизнис-моделот, генерираат побарувачка и продукција на корпоративни кредити кои носат раст на корпоративното потфолио на Банката. Така, остварениот годишен раст на корпоративното кредитно портфолио на Банката во 2022 година изнесува 16,85%, односно 64,32 милиони евра во денарска противвредност. Како резултат на тоа, пазарниот удел на Банката во корпоративното кредитирање, заклучно со декември 2022, година достигна ниво од 16,26%, што е зголемување за 0,84 п.п. во однос на претходната 2021 година. </w:t>
      </w:r>
    </w:p>
    <w:p w14:paraId="7D5A043B" w14:textId="77777777" w:rsidR="00FA6E27" w:rsidRPr="001C5B17" w:rsidRDefault="00FA6E27" w:rsidP="00FA6E27">
      <w:pPr>
        <w:autoSpaceDE w:val="0"/>
        <w:autoSpaceDN w:val="0"/>
        <w:adjustRightInd w:val="0"/>
        <w:spacing w:after="0"/>
        <w:jc w:val="both"/>
        <w:rPr>
          <w:rFonts w:ascii="Times New Roman" w:hAnsi="Times New Roman"/>
          <w:sz w:val="24"/>
          <w:szCs w:val="24"/>
          <w:lang w:val="mk-MK"/>
        </w:rPr>
      </w:pPr>
    </w:p>
    <w:p w14:paraId="01614499" w14:textId="77777777" w:rsidR="00FA6E27" w:rsidRPr="001C5B17" w:rsidRDefault="00FA6E27" w:rsidP="00FA6E27">
      <w:pPr>
        <w:autoSpaceDE w:val="0"/>
        <w:autoSpaceDN w:val="0"/>
        <w:adjustRightInd w:val="0"/>
        <w:spacing w:after="0"/>
        <w:jc w:val="both"/>
        <w:rPr>
          <w:rFonts w:ascii="Times New Roman" w:hAnsi="Times New Roman"/>
          <w:sz w:val="24"/>
          <w:szCs w:val="24"/>
          <w:lang w:val="mk-MK"/>
        </w:rPr>
      </w:pPr>
      <w:r w:rsidRPr="001C5B17">
        <w:rPr>
          <w:rFonts w:ascii="Times New Roman" w:hAnsi="Times New Roman"/>
          <w:sz w:val="24"/>
          <w:szCs w:val="24"/>
          <w:lang w:val="mk-MK"/>
        </w:rPr>
        <w:t>Во текот на 2022 година</w:t>
      </w:r>
      <w:r>
        <w:rPr>
          <w:rFonts w:ascii="Times New Roman" w:hAnsi="Times New Roman"/>
          <w:sz w:val="24"/>
          <w:szCs w:val="24"/>
          <w:lang w:val="mk-MK"/>
        </w:rPr>
        <w:t>,</w:t>
      </w:r>
      <w:r w:rsidRPr="001C5B17">
        <w:rPr>
          <w:rFonts w:ascii="Times New Roman" w:hAnsi="Times New Roman"/>
          <w:sz w:val="24"/>
          <w:szCs w:val="24"/>
          <w:lang w:val="mk-MK"/>
        </w:rPr>
        <w:t xml:space="preserve"> Банката продолжи да ја зголемува понудата на производи и услуги за компаниите. Покрај традиционалните банкарски производи и услуги во делот на кредитирањето на потребите за работен капитал и инвестициски активности на компаниите, во 2022 година, Банката преку својата новооснована компанија Стопанска Лизинг ДООЕЛ Скопје, ја збогати понудата на производи во делот на финансискиот и оперативниот лизинг. Истовремено, корпоративните клиенти на Банката имаа пристап до можности за финансирање преку отворените кредитни линии на Банката со Развојната Банка на Северна Македонија и Европската инвестициска банка како и Европската банка за обнова и развој.      </w:t>
      </w:r>
    </w:p>
    <w:p w14:paraId="0B914A1F" w14:textId="77777777" w:rsidR="00FA6E27" w:rsidRPr="001C5B17" w:rsidRDefault="00FA6E27" w:rsidP="00FA6E27">
      <w:pPr>
        <w:autoSpaceDE w:val="0"/>
        <w:autoSpaceDN w:val="0"/>
        <w:adjustRightInd w:val="0"/>
        <w:spacing w:after="0"/>
        <w:jc w:val="both"/>
        <w:rPr>
          <w:rFonts w:ascii="Times New Roman" w:hAnsi="Times New Roman"/>
          <w:sz w:val="24"/>
          <w:szCs w:val="24"/>
          <w:lang w:val="mk-MK"/>
        </w:rPr>
      </w:pPr>
    </w:p>
    <w:p w14:paraId="5FD54501" w14:textId="77777777" w:rsidR="00FA6E27" w:rsidRPr="001C5B17" w:rsidRDefault="00FA6E27" w:rsidP="00FA6E27">
      <w:pPr>
        <w:autoSpaceDE w:val="0"/>
        <w:autoSpaceDN w:val="0"/>
        <w:adjustRightInd w:val="0"/>
        <w:spacing w:after="0"/>
        <w:jc w:val="both"/>
        <w:rPr>
          <w:rFonts w:ascii="Times New Roman" w:hAnsi="Times New Roman"/>
          <w:sz w:val="24"/>
          <w:szCs w:val="24"/>
          <w:lang w:val="mk-MK"/>
        </w:rPr>
      </w:pPr>
      <w:r w:rsidRPr="001C5B17">
        <w:rPr>
          <w:rFonts w:ascii="Times New Roman" w:hAnsi="Times New Roman"/>
          <w:sz w:val="24"/>
          <w:szCs w:val="24"/>
          <w:lang w:val="mk-MK"/>
        </w:rPr>
        <w:t xml:space="preserve">Воедно, заедно со кредитниот раст, Банката во континуитет посветува внимание на мониторинг и анализа на квалитетот на корпоративното портфолио, со цел одржување на неговиот квалитет и перформанси. </w:t>
      </w:r>
    </w:p>
    <w:p w14:paraId="13C5101E" w14:textId="77777777" w:rsidR="00FA6E27" w:rsidRPr="001C5B17" w:rsidRDefault="00FA6E27" w:rsidP="00FA6E27">
      <w:pPr>
        <w:autoSpaceDE w:val="0"/>
        <w:autoSpaceDN w:val="0"/>
        <w:adjustRightInd w:val="0"/>
        <w:spacing w:after="0"/>
        <w:jc w:val="both"/>
        <w:rPr>
          <w:rFonts w:ascii="Times New Roman" w:hAnsi="Times New Roman"/>
          <w:sz w:val="24"/>
          <w:szCs w:val="24"/>
          <w:lang w:val="mk-MK"/>
        </w:rPr>
      </w:pPr>
    </w:p>
    <w:p w14:paraId="0A081B7B" w14:textId="77777777" w:rsidR="00FA6E27" w:rsidRDefault="00FA6E27" w:rsidP="00FA6E27">
      <w:pPr>
        <w:autoSpaceDE w:val="0"/>
        <w:autoSpaceDN w:val="0"/>
        <w:adjustRightInd w:val="0"/>
        <w:spacing w:after="0"/>
        <w:jc w:val="both"/>
        <w:rPr>
          <w:rFonts w:ascii="Times New Roman" w:hAnsi="Times New Roman"/>
          <w:sz w:val="24"/>
          <w:szCs w:val="24"/>
          <w:lang w:val="mk-MK"/>
        </w:rPr>
      </w:pPr>
      <w:r w:rsidRPr="001C5B17">
        <w:rPr>
          <w:rFonts w:ascii="Times New Roman" w:hAnsi="Times New Roman"/>
          <w:sz w:val="24"/>
          <w:szCs w:val="24"/>
          <w:lang w:val="mk-MK"/>
        </w:rPr>
        <w:t>Во глобалното нестабилното и непредвидливо пазарно опкружување, како и силната конкуренција на пазарот, Стопанска Банка АД Скопје продолжува да ја остварува својата стратешка цел – зголемување на пазарното учество преку раст на кредитното портфолио со истовремено одржувањето на неговиот квалитет и максимизирање на профитабилноста. Во наредниот период, покрај континуираната поддршка во финансирањето на потребите за работен капитал и нови инвестиции на постојните и новите корпоративни клиенти, Стопанска Банка ќе се насочи и кон финансирање на големите инфраструктурни и енергетски проекти кои се од исклучително значење за енергетската стабилност и идниот економски развој на земјата.</w:t>
      </w:r>
    </w:p>
    <w:p w14:paraId="0E4C9670" w14:textId="77777777" w:rsidR="00B77627" w:rsidRDefault="00B77627" w:rsidP="00FA6E27">
      <w:pPr>
        <w:autoSpaceDE w:val="0"/>
        <w:autoSpaceDN w:val="0"/>
        <w:adjustRightInd w:val="0"/>
        <w:spacing w:after="0"/>
        <w:jc w:val="both"/>
        <w:rPr>
          <w:rFonts w:ascii="Times New Roman" w:hAnsi="Times New Roman"/>
          <w:sz w:val="24"/>
          <w:szCs w:val="24"/>
          <w:lang w:val="mk-MK"/>
        </w:rPr>
      </w:pPr>
    </w:p>
    <w:p w14:paraId="65FF7170" w14:textId="77777777" w:rsidR="00B77627" w:rsidRPr="001C5B17" w:rsidRDefault="00B77627" w:rsidP="00FA6E27">
      <w:pPr>
        <w:autoSpaceDE w:val="0"/>
        <w:autoSpaceDN w:val="0"/>
        <w:adjustRightInd w:val="0"/>
        <w:spacing w:after="0"/>
        <w:jc w:val="both"/>
        <w:rPr>
          <w:rFonts w:ascii="Times New Roman" w:hAnsi="Times New Roman"/>
          <w:sz w:val="24"/>
          <w:szCs w:val="24"/>
          <w:lang w:val="mk-MK"/>
        </w:rPr>
      </w:pPr>
    </w:p>
    <w:p w14:paraId="7412E338" w14:textId="77777777" w:rsidR="00277981" w:rsidRPr="001C5B17" w:rsidRDefault="00277981" w:rsidP="00025E8C">
      <w:pPr>
        <w:autoSpaceDE w:val="0"/>
        <w:autoSpaceDN w:val="0"/>
        <w:adjustRightInd w:val="0"/>
        <w:spacing w:after="0"/>
        <w:jc w:val="both"/>
        <w:rPr>
          <w:rFonts w:ascii="Times New Roman" w:eastAsia="Times New Roman" w:hAnsi="Times New Roman"/>
          <w:sz w:val="24"/>
          <w:szCs w:val="24"/>
          <w:lang w:val="mk-MK"/>
        </w:rPr>
      </w:pPr>
    </w:p>
    <w:p w14:paraId="482271D9" w14:textId="77777777" w:rsidR="0049181F" w:rsidRDefault="0049181F" w:rsidP="0049181F">
      <w:pPr>
        <w:pStyle w:val="Heading1"/>
        <w:spacing w:line="276" w:lineRule="auto"/>
        <w:rPr>
          <w:b/>
          <w:sz w:val="28"/>
          <w:lang w:val="mk-MK"/>
        </w:rPr>
      </w:pPr>
      <w:r w:rsidRPr="00B30590">
        <w:rPr>
          <w:b/>
          <w:sz w:val="28"/>
          <w:lang w:val="mk-MK"/>
        </w:rPr>
        <w:lastRenderedPageBreak/>
        <w:t>Консолидација</w:t>
      </w:r>
    </w:p>
    <w:p w14:paraId="6C76642D" w14:textId="77777777" w:rsidR="0049181F" w:rsidRDefault="0049181F" w:rsidP="0049181F">
      <w:pPr>
        <w:rPr>
          <w:lang w:val="mk-MK"/>
        </w:rPr>
      </w:pPr>
    </w:p>
    <w:p w14:paraId="14EE0417" w14:textId="0AB12ECB" w:rsidR="0049181F" w:rsidRDefault="0049181F" w:rsidP="0049181F">
      <w:pPr>
        <w:jc w:val="both"/>
        <w:rPr>
          <w:rFonts w:ascii="Times New Roman" w:hAnsi="Times New Roman"/>
          <w:sz w:val="24"/>
          <w:szCs w:val="24"/>
          <w:lang w:val="mk-MK"/>
        </w:rPr>
      </w:pPr>
      <w:r w:rsidRPr="00B30590">
        <w:rPr>
          <w:rFonts w:ascii="Times New Roman" w:hAnsi="Times New Roman"/>
          <w:sz w:val="24"/>
          <w:szCs w:val="24"/>
          <w:lang w:val="mk-MK"/>
        </w:rPr>
        <w:t>Банката изработува и консолидирани финанс</w:t>
      </w:r>
      <w:r w:rsidR="001C5B17">
        <w:rPr>
          <w:rFonts w:ascii="Times New Roman" w:hAnsi="Times New Roman"/>
          <w:sz w:val="24"/>
          <w:szCs w:val="24"/>
          <w:lang w:val="mk-MK"/>
        </w:rPr>
        <w:t>иски извештаи во кои е вклучено работењето на друштвото Стопанска</w:t>
      </w:r>
      <w:r>
        <w:rPr>
          <w:rFonts w:ascii="Times New Roman" w:hAnsi="Times New Roman"/>
          <w:sz w:val="24"/>
          <w:szCs w:val="24"/>
          <w:lang w:val="mk-MK"/>
        </w:rPr>
        <w:t xml:space="preserve"> Лизинг ДОЕЛ Скопје.</w:t>
      </w:r>
      <w:r w:rsidRPr="00B30590">
        <w:rPr>
          <w:rFonts w:ascii="Times New Roman" w:hAnsi="Times New Roman"/>
          <w:sz w:val="24"/>
          <w:szCs w:val="24"/>
          <w:lang w:val="mk-MK"/>
        </w:rPr>
        <w:t xml:space="preserve"> </w:t>
      </w:r>
      <w:r w:rsidR="001C5B17">
        <w:rPr>
          <w:rFonts w:ascii="Times New Roman" w:hAnsi="Times New Roman"/>
          <w:sz w:val="24"/>
          <w:szCs w:val="24"/>
          <w:lang w:val="mk-MK"/>
        </w:rPr>
        <w:t>Друштвото</w:t>
      </w:r>
      <w:r w:rsidRPr="00B30590">
        <w:rPr>
          <w:rFonts w:ascii="Times New Roman" w:hAnsi="Times New Roman"/>
          <w:sz w:val="24"/>
          <w:szCs w:val="24"/>
          <w:lang w:val="mk-MK"/>
        </w:rPr>
        <w:t xml:space="preserve"> е правно лице, </w:t>
      </w:r>
      <w:r w:rsidR="001C5B17">
        <w:rPr>
          <w:rFonts w:ascii="Times New Roman" w:hAnsi="Times New Roman"/>
          <w:sz w:val="24"/>
          <w:szCs w:val="24"/>
          <w:lang w:val="mk-MK"/>
        </w:rPr>
        <w:t xml:space="preserve">целосно </w:t>
      </w:r>
      <w:r w:rsidRPr="00B30590">
        <w:rPr>
          <w:rFonts w:ascii="Times New Roman" w:hAnsi="Times New Roman"/>
          <w:sz w:val="24"/>
          <w:szCs w:val="24"/>
          <w:lang w:val="mk-MK"/>
        </w:rPr>
        <w:t xml:space="preserve">контролирано од друго правно лице - Банката, позната како матично претпријатие - матична банка. Финансиските извештаи на </w:t>
      </w:r>
      <w:r w:rsidR="001C5B17">
        <w:rPr>
          <w:rFonts w:ascii="Times New Roman" w:hAnsi="Times New Roman"/>
          <w:sz w:val="24"/>
          <w:szCs w:val="24"/>
          <w:lang w:val="mk-MK"/>
        </w:rPr>
        <w:t>Стопанска</w:t>
      </w:r>
      <w:r>
        <w:rPr>
          <w:rFonts w:ascii="Times New Roman" w:hAnsi="Times New Roman"/>
          <w:sz w:val="24"/>
          <w:szCs w:val="24"/>
          <w:lang w:val="mk-MK"/>
        </w:rPr>
        <w:t xml:space="preserve"> Лизинг ДОЕЛ Скопје</w:t>
      </w:r>
      <w:r w:rsidRPr="00B30590">
        <w:rPr>
          <w:rFonts w:ascii="Times New Roman" w:hAnsi="Times New Roman"/>
          <w:sz w:val="24"/>
          <w:szCs w:val="24"/>
          <w:lang w:val="mk-MK"/>
        </w:rPr>
        <w:t>, се вклучени во консолидираните финансиски извештаи</w:t>
      </w:r>
      <w:r w:rsidR="003D0BC6">
        <w:rPr>
          <w:rFonts w:ascii="Times New Roman" w:hAnsi="Times New Roman"/>
          <w:sz w:val="24"/>
          <w:szCs w:val="24"/>
          <w:lang w:val="mk-MK"/>
        </w:rPr>
        <w:t>.</w:t>
      </w:r>
      <w:r w:rsidRPr="00B30590">
        <w:rPr>
          <w:rFonts w:ascii="Times New Roman" w:hAnsi="Times New Roman"/>
          <w:sz w:val="24"/>
          <w:szCs w:val="24"/>
          <w:lang w:val="mk-MK"/>
        </w:rPr>
        <w:t xml:space="preserve"> </w:t>
      </w:r>
    </w:p>
    <w:p w14:paraId="7ECC24F3" w14:textId="77777777" w:rsidR="00797406" w:rsidRDefault="00797406" w:rsidP="0049181F">
      <w:pPr>
        <w:jc w:val="both"/>
        <w:rPr>
          <w:rFonts w:ascii="Times New Roman" w:hAnsi="Times New Roman"/>
          <w:sz w:val="24"/>
          <w:szCs w:val="24"/>
          <w:lang w:val="mk-MK"/>
        </w:rPr>
      </w:pPr>
    </w:p>
    <w:tbl>
      <w:tblPr>
        <w:tblW w:w="9460" w:type="dxa"/>
        <w:tblLook w:val="04A0" w:firstRow="1" w:lastRow="0" w:firstColumn="1" w:lastColumn="0" w:noHBand="0" w:noVBand="1"/>
      </w:tblPr>
      <w:tblGrid>
        <w:gridCol w:w="5156"/>
        <w:gridCol w:w="960"/>
        <w:gridCol w:w="222"/>
        <w:gridCol w:w="1600"/>
        <w:gridCol w:w="222"/>
        <w:gridCol w:w="1300"/>
      </w:tblGrid>
      <w:tr w:rsidR="006A6248" w:rsidRPr="006A6248" w14:paraId="4F3C54FB" w14:textId="77777777" w:rsidTr="006A6248">
        <w:trPr>
          <w:trHeight w:val="300"/>
        </w:trPr>
        <w:tc>
          <w:tcPr>
            <w:tcW w:w="9460" w:type="dxa"/>
            <w:gridSpan w:val="6"/>
            <w:tcBorders>
              <w:top w:val="nil"/>
              <w:left w:val="nil"/>
              <w:bottom w:val="nil"/>
              <w:right w:val="nil"/>
            </w:tcBorders>
            <w:shd w:val="clear" w:color="auto" w:fill="auto"/>
            <w:vAlign w:val="bottom"/>
            <w:hideMark/>
          </w:tcPr>
          <w:p w14:paraId="678E0AAC" w14:textId="77777777" w:rsidR="006A6248" w:rsidRPr="006A6248" w:rsidRDefault="006A6248" w:rsidP="006A6248">
            <w:pPr>
              <w:spacing w:after="0" w:line="240" w:lineRule="auto"/>
              <w:rPr>
                <w:rFonts w:ascii="Times New Roman" w:eastAsia="Times New Roman" w:hAnsi="Times New Roman"/>
                <w:b/>
                <w:bCs/>
                <w:sz w:val="21"/>
                <w:szCs w:val="21"/>
                <w:lang w:val="mk-MK" w:eastAsia="mk-MK"/>
              </w:rPr>
            </w:pPr>
            <w:r w:rsidRPr="006A6248">
              <w:rPr>
                <w:rFonts w:ascii="Times New Roman" w:eastAsia="Times New Roman" w:hAnsi="Times New Roman"/>
                <w:b/>
                <w:bCs/>
                <w:sz w:val="21"/>
                <w:szCs w:val="21"/>
                <w:lang w:val="mk-MK" w:eastAsia="mk-MK"/>
              </w:rPr>
              <w:t xml:space="preserve">БИЛАНС НА УСПЕХ -Консолидиран </w:t>
            </w:r>
          </w:p>
        </w:tc>
      </w:tr>
      <w:tr w:rsidR="006A6248" w:rsidRPr="006A6248" w14:paraId="39CE61B6" w14:textId="77777777" w:rsidTr="001C5B17">
        <w:trPr>
          <w:trHeight w:val="300"/>
        </w:trPr>
        <w:tc>
          <w:tcPr>
            <w:tcW w:w="8160" w:type="dxa"/>
            <w:gridSpan w:val="5"/>
            <w:tcBorders>
              <w:top w:val="nil"/>
              <w:left w:val="nil"/>
              <w:bottom w:val="nil"/>
              <w:right w:val="nil"/>
            </w:tcBorders>
            <w:shd w:val="clear" w:color="auto" w:fill="auto"/>
            <w:vAlign w:val="bottom"/>
          </w:tcPr>
          <w:p w14:paraId="5894FB9F" w14:textId="78108BE6" w:rsidR="006A6248" w:rsidRPr="006A6248" w:rsidRDefault="006A6248" w:rsidP="006A6248">
            <w:pPr>
              <w:spacing w:after="0" w:line="240" w:lineRule="auto"/>
              <w:rPr>
                <w:rFonts w:ascii="Times New Roman" w:eastAsia="Times New Roman" w:hAnsi="Times New Roman"/>
                <w:b/>
                <w:bCs/>
                <w:sz w:val="21"/>
                <w:szCs w:val="21"/>
                <w:lang w:val="mk-MK" w:eastAsia="mk-MK"/>
              </w:rPr>
            </w:pPr>
          </w:p>
        </w:tc>
        <w:tc>
          <w:tcPr>
            <w:tcW w:w="1300" w:type="dxa"/>
            <w:tcBorders>
              <w:top w:val="nil"/>
              <w:left w:val="nil"/>
              <w:bottom w:val="nil"/>
              <w:right w:val="nil"/>
            </w:tcBorders>
            <w:shd w:val="clear" w:color="auto" w:fill="auto"/>
            <w:vAlign w:val="bottom"/>
            <w:hideMark/>
          </w:tcPr>
          <w:p w14:paraId="6685E5D1" w14:textId="77777777" w:rsidR="006A6248" w:rsidRPr="006A6248" w:rsidRDefault="006A6248" w:rsidP="006A6248">
            <w:pPr>
              <w:spacing w:after="0" w:line="240" w:lineRule="auto"/>
              <w:rPr>
                <w:rFonts w:ascii="Times New Roman" w:eastAsia="Times New Roman" w:hAnsi="Times New Roman"/>
                <w:b/>
                <w:bCs/>
                <w:sz w:val="21"/>
                <w:szCs w:val="21"/>
                <w:lang w:val="mk-MK" w:eastAsia="mk-MK"/>
              </w:rPr>
            </w:pPr>
          </w:p>
        </w:tc>
      </w:tr>
      <w:tr w:rsidR="006A6248" w:rsidRPr="006A6248" w14:paraId="0BBB638D" w14:textId="77777777" w:rsidTr="006A6248">
        <w:trPr>
          <w:trHeight w:val="300"/>
        </w:trPr>
        <w:tc>
          <w:tcPr>
            <w:tcW w:w="9460" w:type="dxa"/>
            <w:gridSpan w:val="6"/>
            <w:tcBorders>
              <w:top w:val="nil"/>
              <w:left w:val="nil"/>
              <w:bottom w:val="nil"/>
              <w:right w:val="nil"/>
            </w:tcBorders>
            <w:shd w:val="clear" w:color="auto" w:fill="auto"/>
            <w:vAlign w:val="bottom"/>
            <w:hideMark/>
          </w:tcPr>
          <w:p w14:paraId="3D875457" w14:textId="77777777" w:rsidR="006A6248" w:rsidRPr="006A6248" w:rsidRDefault="006A6248" w:rsidP="006A6248">
            <w:pPr>
              <w:spacing w:after="0" w:line="240" w:lineRule="auto"/>
              <w:rPr>
                <w:rFonts w:ascii="Times New Roman" w:eastAsia="Times New Roman" w:hAnsi="Times New Roman"/>
                <w:b/>
                <w:bCs/>
                <w:sz w:val="21"/>
                <w:szCs w:val="21"/>
                <w:lang w:val="mk-MK" w:eastAsia="mk-MK"/>
              </w:rPr>
            </w:pPr>
            <w:r w:rsidRPr="006A6248">
              <w:rPr>
                <w:rFonts w:ascii="Times New Roman" w:eastAsia="Times New Roman" w:hAnsi="Times New Roman"/>
                <w:b/>
                <w:bCs/>
                <w:sz w:val="21"/>
                <w:szCs w:val="21"/>
                <w:lang w:val="mk-MK" w:eastAsia="mk-MK"/>
              </w:rPr>
              <w:t xml:space="preserve"> (Во илјади денари) </w:t>
            </w:r>
          </w:p>
        </w:tc>
      </w:tr>
      <w:tr w:rsidR="006A6248" w:rsidRPr="006A6248" w14:paraId="610CB7C1" w14:textId="77777777" w:rsidTr="006A6248">
        <w:trPr>
          <w:trHeight w:val="570"/>
        </w:trPr>
        <w:tc>
          <w:tcPr>
            <w:tcW w:w="5240" w:type="dxa"/>
            <w:tcBorders>
              <w:top w:val="nil"/>
              <w:left w:val="nil"/>
              <w:bottom w:val="nil"/>
              <w:right w:val="nil"/>
            </w:tcBorders>
            <w:shd w:val="clear" w:color="auto" w:fill="auto"/>
            <w:vAlign w:val="bottom"/>
            <w:hideMark/>
          </w:tcPr>
          <w:p w14:paraId="2EE6D8D0" w14:textId="77777777" w:rsidR="006A6248" w:rsidRPr="006A6248" w:rsidRDefault="006A6248" w:rsidP="006A6248">
            <w:pPr>
              <w:spacing w:after="0" w:line="240" w:lineRule="auto"/>
              <w:rPr>
                <w:rFonts w:ascii="Times New Roman" w:eastAsia="Times New Roman" w:hAnsi="Times New Roman"/>
                <w:b/>
                <w:bCs/>
                <w:sz w:val="21"/>
                <w:szCs w:val="21"/>
                <w:lang w:val="mk-MK" w:eastAsia="mk-MK"/>
              </w:rPr>
            </w:pPr>
          </w:p>
        </w:tc>
        <w:tc>
          <w:tcPr>
            <w:tcW w:w="960" w:type="dxa"/>
            <w:tcBorders>
              <w:top w:val="nil"/>
              <w:left w:val="nil"/>
              <w:bottom w:val="single" w:sz="8" w:space="0" w:color="auto"/>
              <w:right w:val="nil"/>
            </w:tcBorders>
            <w:shd w:val="clear" w:color="auto" w:fill="auto"/>
            <w:vAlign w:val="bottom"/>
            <w:hideMark/>
          </w:tcPr>
          <w:p w14:paraId="69186D11" w14:textId="77777777" w:rsidR="006A6248" w:rsidRPr="001C5B17" w:rsidRDefault="006A6248" w:rsidP="006A6248">
            <w:pPr>
              <w:spacing w:after="0" w:line="240" w:lineRule="auto"/>
              <w:jc w:val="center"/>
              <w:rPr>
                <w:rFonts w:ascii="Times New Roman" w:eastAsia="Times New Roman" w:hAnsi="Times New Roman"/>
                <w:b/>
                <w:bCs/>
                <w:sz w:val="18"/>
                <w:szCs w:val="18"/>
                <w:lang w:val="mk-MK" w:eastAsia="mk-MK"/>
              </w:rPr>
            </w:pPr>
            <w:r w:rsidRPr="001C5B17">
              <w:rPr>
                <w:rFonts w:ascii="Times New Roman" w:eastAsia="Times New Roman" w:hAnsi="Times New Roman"/>
                <w:b/>
                <w:bCs/>
                <w:sz w:val="18"/>
                <w:szCs w:val="18"/>
                <w:lang w:val="mk-MK" w:eastAsia="mk-MK"/>
              </w:rPr>
              <w:t>Белешка</w:t>
            </w:r>
          </w:p>
        </w:tc>
        <w:tc>
          <w:tcPr>
            <w:tcW w:w="180" w:type="dxa"/>
            <w:tcBorders>
              <w:top w:val="nil"/>
              <w:left w:val="nil"/>
              <w:bottom w:val="nil"/>
              <w:right w:val="nil"/>
            </w:tcBorders>
            <w:shd w:val="clear" w:color="auto" w:fill="auto"/>
            <w:vAlign w:val="bottom"/>
            <w:hideMark/>
          </w:tcPr>
          <w:p w14:paraId="691D0648" w14:textId="77777777" w:rsidR="006A6248" w:rsidRPr="001C5B17" w:rsidRDefault="006A6248" w:rsidP="006A6248">
            <w:pPr>
              <w:spacing w:after="0" w:line="240" w:lineRule="auto"/>
              <w:jc w:val="center"/>
              <w:rPr>
                <w:rFonts w:ascii="Times New Roman" w:eastAsia="Times New Roman" w:hAnsi="Times New Roman"/>
                <w:b/>
                <w:bCs/>
                <w:sz w:val="18"/>
                <w:szCs w:val="18"/>
                <w:lang w:val="mk-MK" w:eastAsia="mk-MK"/>
              </w:rPr>
            </w:pPr>
          </w:p>
        </w:tc>
        <w:tc>
          <w:tcPr>
            <w:tcW w:w="1600" w:type="dxa"/>
            <w:tcBorders>
              <w:top w:val="nil"/>
              <w:left w:val="nil"/>
              <w:bottom w:val="single" w:sz="8" w:space="0" w:color="auto"/>
              <w:right w:val="nil"/>
            </w:tcBorders>
            <w:shd w:val="clear" w:color="auto" w:fill="auto"/>
            <w:vAlign w:val="bottom"/>
            <w:hideMark/>
          </w:tcPr>
          <w:p w14:paraId="1986E195" w14:textId="77777777" w:rsidR="006A6248" w:rsidRPr="001C5B17" w:rsidRDefault="006A6248" w:rsidP="006A6248">
            <w:pPr>
              <w:spacing w:after="0" w:line="240" w:lineRule="auto"/>
              <w:jc w:val="center"/>
              <w:rPr>
                <w:rFonts w:ascii="Times New Roman" w:eastAsia="Times New Roman" w:hAnsi="Times New Roman"/>
                <w:b/>
                <w:bCs/>
                <w:sz w:val="18"/>
                <w:szCs w:val="18"/>
                <w:lang w:val="mk-MK" w:eastAsia="mk-MK"/>
              </w:rPr>
            </w:pPr>
            <w:r w:rsidRPr="001C5B17">
              <w:rPr>
                <w:rFonts w:ascii="Times New Roman" w:eastAsia="Times New Roman" w:hAnsi="Times New Roman"/>
                <w:b/>
                <w:bCs/>
                <w:sz w:val="18"/>
                <w:szCs w:val="18"/>
                <w:lang w:val="mk-MK" w:eastAsia="mk-MK"/>
              </w:rPr>
              <w:t>2022</w:t>
            </w:r>
          </w:p>
        </w:tc>
        <w:tc>
          <w:tcPr>
            <w:tcW w:w="180" w:type="dxa"/>
            <w:tcBorders>
              <w:top w:val="nil"/>
              <w:left w:val="nil"/>
              <w:bottom w:val="nil"/>
              <w:right w:val="nil"/>
            </w:tcBorders>
            <w:shd w:val="clear" w:color="auto" w:fill="auto"/>
            <w:vAlign w:val="bottom"/>
            <w:hideMark/>
          </w:tcPr>
          <w:p w14:paraId="6688DA68" w14:textId="77777777" w:rsidR="006A6248" w:rsidRPr="001C5B17" w:rsidRDefault="006A6248" w:rsidP="006A6248">
            <w:pPr>
              <w:spacing w:after="0" w:line="240" w:lineRule="auto"/>
              <w:jc w:val="center"/>
              <w:rPr>
                <w:rFonts w:ascii="Times New Roman" w:eastAsia="Times New Roman" w:hAnsi="Times New Roman"/>
                <w:b/>
                <w:bCs/>
                <w:sz w:val="18"/>
                <w:szCs w:val="18"/>
                <w:lang w:val="mk-MK" w:eastAsia="mk-MK"/>
              </w:rPr>
            </w:pPr>
          </w:p>
        </w:tc>
        <w:tc>
          <w:tcPr>
            <w:tcW w:w="1300" w:type="dxa"/>
            <w:tcBorders>
              <w:top w:val="nil"/>
              <w:left w:val="nil"/>
              <w:bottom w:val="single" w:sz="8" w:space="0" w:color="auto"/>
              <w:right w:val="nil"/>
            </w:tcBorders>
            <w:shd w:val="clear" w:color="auto" w:fill="auto"/>
            <w:vAlign w:val="bottom"/>
            <w:hideMark/>
          </w:tcPr>
          <w:p w14:paraId="2B2FBA59" w14:textId="77777777" w:rsidR="006A6248" w:rsidRPr="001C5B17" w:rsidRDefault="006A6248" w:rsidP="006A6248">
            <w:pPr>
              <w:spacing w:after="0" w:line="240" w:lineRule="auto"/>
              <w:jc w:val="center"/>
              <w:rPr>
                <w:rFonts w:ascii="Times New Roman" w:eastAsia="Times New Roman" w:hAnsi="Times New Roman"/>
                <w:b/>
                <w:bCs/>
                <w:sz w:val="18"/>
                <w:szCs w:val="18"/>
                <w:lang w:val="mk-MK" w:eastAsia="mk-MK"/>
              </w:rPr>
            </w:pPr>
            <w:r w:rsidRPr="001C5B17">
              <w:rPr>
                <w:rFonts w:ascii="Times New Roman" w:eastAsia="Times New Roman" w:hAnsi="Times New Roman"/>
                <w:b/>
                <w:bCs/>
                <w:sz w:val="18"/>
                <w:szCs w:val="18"/>
                <w:lang w:val="mk-MK" w:eastAsia="mk-MK"/>
              </w:rPr>
              <w:t>2021</w:t>
            </w:r>
          </w:p>
        </w:tc>
      </w:tr>
      <w:tr w:rsidR="006A6248" w:rsidRPr="006A6248" w14:paraId="23D74314" w14:textId="77777777" w:rsidTr="006A6248">
        <w:trPr>
          <w:trHeight w:val="300"/>
        </w:trPr>
        <w:tc>
          <w:tcPr>
            <w:tcW w:w="5240" w:type="dxa"/>
            <w:tcBorders>
              <w:top w:val="nil"/>
              <w:left w:val="nil"/>
              <w:bottom w:val="nil"/>
              <w:right w:val="nil"/>
            </w:tcBorders>
            <w:shd w:val="clear" w:color="auto" w:fill="auto"/>
            <w:vAlign w:val="bottom"/>
            <w:hideMark/>
          </w:tcPr>
          <w:p w14:paraId="3FF255A2" w14:textId="77777777" w:rsidR="006A6248" w:rsidRPr="006A6248" w:rsidRDefault="006A6248" w:rsidP="006A6248">
            <w:pPr>
              <w:spacing w:after="0" w:line="240" w:lineRule="auto"/>
              <w:jc w:val="center"/>
              <w:rPr>
                <w:rFonts w:ascii="Times New Roman" w:eastAsia="Times New Roman" w:hAnsi="Times New Roman"/>
                <w:b/>
                <w:bCs/>
                <w:sz w:val="21"/>
                <w:szCs w:val="21"/>
                <w:lang w:val="mk-MK" w:eastAsia="mk-MK"/>
              </w:rPr>
            </w:pPr>
          </w:p>
        </w:tc>
        <w:tc>
          <w:tcPr>
            <w:tcW w:w="960" w:type="dxa"/>
            <w:tcBorders>
              <w:top w:val="nil"/>
              <w:left w:val="nil"/>
              <w:bottom w:val="nil"/>
              <w:right w:val="nil"/>
            </w:tcBorders>
            <w:shd w:val="clear" w:color="auto" w:fill="auto"/>
            <w:noWrap/>
            <w:vAlign w:val="center"/>
            <w:hideMark/>
          </w:tcPr>
          <w:p w14:paraId="4ECBFE9E" w14:textId="77777777" w:rsidR="006A6248" w:rsidRPr="001C5B17" w:rsidRDefault="006A6248" w:rsidP="006A6248">
            <w:pPr>
              <w:spacing w:after="0" w:line="240" w:lineRule="auto"/>
              <w:rPr>
                <w:rFonts w:ascii="Times New Roman" w:eastAsia="Times New Roman" w:hAnsi="Times New Roman"/>
                <w:sz w:val="18"/>
                <w:szCs w:val="18"/>
                <w:lang w:val="mk-MK" w:eastAsia="mk-MK"/>
              </w:rPr>
            </w:pPr>
          </w:p>
        </w:tc>
        <w:tc>
          <w:tcPr>
            <w:tcW w:w="180" w:type="dxa"/>
            <w:tcBorders>
              <w:top w:val="nil"/>
              <w:left w:val="nil"/>
              <w:bottom w:val="nil"/>
              <w:right w:val="nil"/>
            </w:tcBorders>
            <w:shd w:val="clear" w:color="auto" w:fill="auto"/>
            <w:vAlign w:val="bottom"/>
            <w:hideMark/>
          </w:tcPr>
          <w:p w14:paraId="02F3DA47" w14:textId="77777777" w:rsidR="006A6248" w:rsidRPr="001C5B17" w:rsidRDefault="006A6248" w:rsidP="006A6248">
            <w:pPr>
              <w:spacing w:after="0" w:line="240" w:lineRule="auto"/>
              <w:jc w:val="center"/>
              <w:rPr>
                <w:rFonts w:ascii="Times New Roman" w:eastAsia="Times New Roman" w:hAnsi="Times New Roman"/>
                <w:sz w:val="18"/>
                <w:szCs w:val="18"/>
                <w:lang w:val="mk-MK" w:eastAsia="mk-MK"/>
              </w:rPr>
            </w:pPr>
          </w:p>
        </w:tc>
        <w:tc>
          <w:tcPr>
            <w:tcW w:w="1600" w:type="dxa"/>
            <w:tcBorders>
              <w:top w:val="nil"/>
              <w:left w:val="nil"/>
              <w:bottom w:val="nil"/>
              <w:right w:val="nil"/>
            </w:tcBorders>
            <w:shd w:val="clear" w:color="auto" w:fill="auto"/>
            <w:noWrap/>
            <w:vAlign w:val="bottom"/>
            <w:hideMark/>
          </w:tcPr>
          <w:p w14:paraId="60099854" w14:textId="77777777" w:rsidR="006A6248" w:rsidRPr="001C5B17" w:rsidRDefault="006A6248" w:rsidP="006A6248">
            <w:pPr>
              <w:spacing w:after="0" w:line="240" w:lineRule="auto"/>
              <w:jc w:val="center"/>
              <w:rPr>
                <w:rFonts w:ascii="Times New Roman" w:eastAsia="Times New Roman" w:hAnsi="Times New Roman"/>
                <w:sz w:val="18"/>
                <w:szCs w:val="18"/>
                <w:lang w:val="mk-MK" w:eastAsia="mk-MK"/>
              </w:rPr>
            </w:pPr>
          </w:p>
        </w:tc>
        <w:tc>
          <w:tcPr>
            <w:tcW w:w="180" w:type="dxa"/>
            <w:tcBorders>
              <w:top w:val="nil"/>
              <w:left w:val="nil"/>
              <w:bottom w:val="nil"/>
              <w:right w:val="nil"/>
            </w:tcBorders>
            <w:shd w:val="clear" w:color="auto" w:fill="auto"/>
            <w:vAlign w:val="bottom"/>
            <w:hideMark/>
          </w:tcPr>
          <w:p w14:paraId="6B25B3BE" w14:textId="77777777" w:rsidR="006A6248" w:rsidRPr="001C5B17" w:rsidRDefault="006A6248" w:rsidP="006A6248">
            <w:pPr>
              <w:spacing w:after="0" w:line="240" w:lineRule="auto"/>
              <w:rPr>
                <w:rFonts w:ascii="Times New Roman" w:eastAsia="Times New Roman" w:hAnsi="Times New Roman"/>
                <w:sz w:val="18"/>
                <w:szCs w:val="18"/>
                <w:lang w:val="mk-MK" w:eastAsia="mk-MK"/>
              </w:rPr>
            </w:pPr>
          </w:p>
        </w:tc>
        <w:tc>
          <w:tcPr>
            <w:tcW w:w="1300" w:type="dxa"/>
            <w:tcBorders>
              <w:top w:val="nil"/>
              <w:left w:val="nil"/>
              <w:bottom w:val="nil"/>
              <w:right w:val="nil"/>
            </w:tcBorders>
            <w:shd w:val="clear" w:color="auto" w:fill="auto"/>
            <w:vAlign w:val="bottom"/>
            <w:hideMark/>
          </w:tcPr>
          <w:p w14:paraId="206D8014" w14:textId="77777777" w:rsidR="006A6248" w:rsidRPr="001C5B17" w:rsidRDefault="006A6248" w:rsidP="006A6248">
            <w:pPr>
              <w:spacing w:after="0" w:line="240" w:lineRule="auto"/>
              <w:jc w:val="center"/>
              <w:rPr>
                <w:rFonts w:ascii="Times New Roman" w:eastAsia="Times New Roman" w:hAnsi="Times New Roman"/>
                <w:sz w:val="18"/>
                <w:szCs w:val="18"/>
                <w:lang w:val="mk-MK" w:eastAsia="mk-MK"/>
              </w:rPr>
            </w:pPr>
          </w:p>
        </w:tc>
      </w:tr>
      <w:tr w:rsidR="006A6248" w:rsidRPr="006A6248" w14:paraId="6B993A4D" w14:textId="77777777" w:rsidTr="006A6248">
        <w:trPr>
          <w:trHeight w:val="300"/>
        </w:trPr>
        <w:tc>
          <w:tcPr>
            <w:tcW w:w="5240" w:type="dxa"/>
            <w:tcBorders>
              <w:top w:val="nil"/>
              <w:left w:val="nil"/>
              <w:bottom w:val="nil"/>
              <w:right w:val="nil"/>
            </w:tcBorders>
            <w:shd w:val="clear" w:color="auto" w:fill="auto"/>
            <w:vAlign w:val="bottom"/>
            <w:hideMark/>
          </w:tcPr>
          <w:p w14:paraId="14351881" w14:textId="77777777" w:rsidR="006A6248" w:rsidRPr="006A6248" w:rsidRDefault="006A6248" w:rsidP="006A6248">
            <w:pPr>
              <w:spacing w:after="0" w:line="240" w:lineRule="auto"/>
              <w:jc w:val="center"/>
              <w:rPr>
                <w:rFonts w:ascii="Times New Roman" w:eastAsia="Times New Roman" w:hAnsi="Times New Roman"/>
                <w:sz w:val="20"/>
                <w:szCs w:val="20"/>
                <w:lang w:val="mk-MK" w:eastAsia="mk-MK"/>
              </w:rPr>
            </w:pPr>
          </w:p>
        </w:tc>
        <w:tc>
          <w:tcPr>
            <w:tcW w:w="960" w:type="dxa"/>
            <w:tcBorders>
              <w:top w:val="nil"/>
              <w:left w:val="nil"/>
              <w:bottom w:val="nil"/>
              <w:right w:val="nil"/>
            </w:tcBorders>
            <w:shd w:val="clear" w:color="auto" w:fill="auto"/>
            <w:noWrap/>
            <w:vAlign w:val="center"/>
            <w:hideMark/>
          </w:tcPr>
          <w:p w14:paraId="53F9D638" w14:textId="77777777" w:rsidR="006A6248" w:rsidRPr="006A6248" w:rsidRDefault="006A6248" w:rsidP="006A6248">
            <w:pPr>
              <w:spacing w:after="0" w:line="240" w:lineRule="auto"/>
              <w:rPr>
                <w:rFonts w:ascii="Times New Roman" w:eastAsia="Times New Roman" w:hAnsi="Times New Roman"/>
                <w:sz w:val="20"/>
                <w:szCs w:val="20"/>
                <w:lang w:val="mk-MK" w:eastAsia="mk-MK"/>
              </w:rPr>
            </w:pPr>
          </w:p>
        </w:tc>
        <w:tc>
          <w:tcPr>
            <w:tcW w:w="180" w:type="dxa"/>
            <w:tcBorders>
              <w:top w:val="nil"/>
              <w:left w:val="nil"/>
              <w:bottom w:val="nil"/>
              <w:right w:val="nil"/>
            </w:tcBorders>
            <w:shd w:val="clear" w:color="auto" w:fill="auto"/>
            <w:vAlign w:val="bottom"/>
            <w:hideMark/>
          </w:tcPr>
          <w:p w14:paraId="329BF584" w14:textId="77777777" w:rsidR="006A6248" w:rsidRPr="006A6248" w:rsidRDefault="006A6248" w:rsidP="006A6248">
            <w:pPr>
              <w:spacing w:after="0" w:line="240" w:lineRule="auto"/>
              <w:jc w:val="center"/>
              <w:rPr>
                <w:rFonts w:ascii="Times New Roman" w:eastAsia="Times New Roman" w:hAnsi="Times New Roman"/>
                <w:sz w:val="20"/>
                <w:szCs w:val="20"/>
                <w:lang w:val="mk-MK" w:eastAsia="mk-MK"/>
              </w:rPr>
            </w:pPr>
          </w:p>
        </w:tc>
        <w:tc>
          <w:tcPr>
            <w:tcW w:w="1600" w:type="dxa"/>
            <w:tcBorders>
              <w:top w:val="nil"/>
              <w:left w:val="nil"/>
              <w:bottom w:val="nil"/>
              <w:right w:val="nil"/>
            </w:tcBorders>
            <w:shd w:val="clear" w:color="auto" w:fill="auto"/>
            <w:noWrap/>
            <w:vAlign w:val="bottom"/>
            <w:hideMark/>
          </w:tcPr>
          <w:p w14:paraId="24269442" w14:textId="77777777" w:rsidR="006A6248" w:rsidRPr="006A6248" w:rsidRDefault="006A6248" w:rsidP="006A6248">
            <w:pPr>
              <w:spacing w:after="0" w:line="240" w:lineRule="auto"/>
              <w:jc w:val="center"/>
              <w:rPr>
                <w:rFonts w:ascii="Times New Roman" w:eastAsia="Times New Roman" w:hAnsi="Times New Roman"/>
                <w:sz w:val="20"/>
                <w:szCs w:val="20"/>
                <w:lang w:val="mk-MK" w:eastAsia="mk-MK"/>
              </w:rPr>
            </w:pPr>
          </w:p>
        </w:tc>
        <w:tc>
          <w:tcPr>
            <w:tcW w:w="180" w:type="dxa"/>
            <w:tcBorders>
              <w:top w:val="nil"/>
              <w:left w:val="nil"/>
              <w:bottom w:val="nil"/>
              <w:right w:val="nil"/>
            </w:tcBorders>
            <w:shd w:val="clear" w:color="auto" w:fill="auto"/>
            <w:vAlign w:val="bottom"/>
            <w:hideMark/>
          </w:tcPr>
          <w:p w14:paraId="77127081" w14:textId="77777777" w:rsidR="006A6248" w:rsidRPr="006A6248" w:rsidRDefault="006A6248" w:rsidP="006A6248">
            <w:pPr>
              <w:spacing w:after="0" w:line="240" w:lineRule="auto"/>
              <w:rPr>
                <w:rFonts w:ascii="Times New Roman" w:eastAsia="Times New Roman" w:hAnsi="Times New Roman"/>
                <w:sz w:val="20"/>
                <w:szCs w:val="20"/>
                <w:lang w:val="mk-MK" w:eastAsia="mk-MK"/>
              </w:rPr>
            </w:pPr>
          </w:p>
        </w:tc>
        <w:tc>
          <w:tcPr>
            <w:tcW w:w="1300" w:type="dxa"/>
            <w:tcBorders>
              <w:top w:val="nil"/>
              <w:left w:val="nil"/>
              <w:bottom w:val="nil"/>
              <w:right w:val="nil"/>
            </w:tcBorders>
            <w:shd w:val="clear" w:color="auto" w:fill="auto"/>
            <w:vAlign w:val="bottom"/>
            <w:hideMark/>
          </w:tcPr>
          <w:p w14:paraId="1972FE79" w14:textId="77777777" w:rsidR="006A6248" w:rsidRPr="006A6248" w:rsidRDefault="006A6248" w:rsidP="006A6248">
            <w:pPr>
              <w:spacing w:after="0" w:line="240" w:lineRule="auto"/>
              <w:jc w:val="center"/>
              <w:rPr>
                <w:rFonts w:ascii="Times New Roman" w:eastAsia="Times New Roman" w:hAnsi="Times New Roman"/>
                <w:sz w:val="20"/>
                <w:szCs w:val="20"/>
                <w:lang w:val="mk-MK" w:eastAsia="mk-MK"/>
              </w:rPr>
            </w:pPr>
          </w:p>
        </w:tc>
      </w:tr>
      <w:tr w:rsidR="006A6248" w:rsidRPr="006A6248" w14:paraId="536AA837" w14:textId="77777777" w:rsidTr="006A6248">
        <w:trPr>
          <w:trHeight w:val="300"/>
        </w:trPr>
        <w:tc>
          <w:tcPr>
            <w:tcW w:w="5240" w:type="dxa"/>
            <w:tcBorders>
              <w:top w:val="nil"/>
              <w:left w:val="nil"/>
              <w:bottom w:val="nil"/>
              <w:right w:val="nil"/>
            </w:tcBorders>
            <w:shd w:val="clear" w:color="auto" w:fill="auto"/>
            <w:vAlign w:val="bottom"/>
            <w:hideMark/>
          </w:tcPr>
          <w:p w14:paraId="705E8DB6" w14:textId="77777777" w:rsidR="006A6248" w:rsidRPr="006A6248" w:rsidRDefault="006A6248" w:rsidP="006A6248">
            <w:pPr>
              <w:spacing w:after="0" w:line="240" w:lineRule="auto"/>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Приходи од камата</w:t>
            </w:r>
          </w:p>
        </w:tc>
        <w:tc>
          <w:tcPr>
            <w:tcW w:w="960" w:type="dxa"/>
            <w:tcBorders>
              <w:top w:val="nil"/>
              <w:left w:val="nil"/>
              <w:bottom w:val="nil"/>
              <w:right w:val="nil"/>
            </w:tcBorders>
            <w:shd w:val="clear" w:color="auto" w:fill="auto"/>
            <w:noWrap/>
            <w:vAlign w:val="center"/>
            <w:hideMark/>
          </w:tcPr>
          <w:p w14:paraId="766F7520" w14:textId="77777777" w:rsidR="006A6248" w:rsidRPr="006A6248" w:rsidRDefault="006A6248" w:rsidP="006A6248">
            <w:pPr>
              <w:spacing w:after="0" w:line="240" w:lineRule="auto"/>
              <w:rPr>
                <w:rFonts w:ascii="Times New Roman" w:eastAsia="Times New Roman" w:hAnsi="Times New Roman"/>
                <w:sz w:val="21"/>
                <w:szCs w:val="21"/>
                <w:lang w:val="mk-MK" w:eastAsia="mk-MK"/>
              </w:rPr>
            </w:pPr>
          </w:p>
        </w:tc>
        <w:tc>
          <w:tcPr>
            <w:tcW w:w="180" w:type="dxa"/>
            <w:tcBorders>
              <w:top w:val="nil"/>
              <w:left w:val="nil"/>
              <w:bottom w:val="nil"/>
              <w:right w:val="nil"/>
            </w:tcBorders>
            <w:shd w:val="clear" w:color="auto" w:fill="auto"/>
            <w:vAlign w:val="bottom"/>
            <w:hideMark/>
          </w:tcPr>
          <w:p w14:paraId="2CED5020" w14:textId="77777777" w:rsidR="006A6248" w:rsidRPr="006A6248" w:rsidRDefault="006A6248" w:rsidP="006A6248">
            <w:pPr>
              <w:spacing w:after="0" w:line="240" w:lineRule="auto"/>
              <w:jc w:val="center"/>
              <w:rPr>
                <w:rFonts w:ascii="Times New Roman" w:eastAsia="Times New Roman" w:hAnsi="Times New Roman"/>
                <w:sz w:val="20"/>
                <w:szCs w:val="20"/>
                <w:lang w:val="mk-MK" w:eastAsia="mk-MK"/>
              </w:rPr>
            </w:pPr>
          </w:p>
        </w:tc>
        <w:tc>
          <w:tcPr>
            <w:tcW w:w="1600" w:type="dxa"/>
            <w:tcBorders>
              <w:top w:val="nil"/>
              <w:left w:val="nil"/>
              <w:bottom w:val="nil"/>
              <w:right w:val="nil"/>
            </w:tcBorders>
            <w:shd w:val="clear" w:color="auto" w:fill="auto"/>
            <w:noWrap/>
            <w:vAlign w:val="center"/>
            <w:hideMark/>
          </w:tcPr>
          <w:p w14:paraId="2727AD13" w14:textId="77777777" w:rsidR="006A6248" w:rsidRPr="006A6248" w:rsidRDefault="006A6248" w:rsidP="006A6248">
            <w:pPr>
              <w:spacing w:after="0" w:line="240" w:lineRule="auto"/>
              <w:jc w:val="right"/>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 xml:space="preserve">          4.423.517 </w:t>
            </w:r>
          </w:p>
        </w:tc>
        <w:tc>
          <w:tcPr>
            <w:tcW w:w="180" w:type="dxa"/>
            <w:tcBorders>
              <w:top w:val="nil"/>
              <w:left w:val="nil"/>
              <w:bottom w:val="nil"/>
              <w:right w:val="nil"/>
            </w:tcBorders>
            <w:shd w:val="clear" w:color="auto" w:fill="auto"/>
            <w:noWrap/>
            <w:vAlign w:val="center"/>
            <w:hideMark/>
          </w:tcPr>
          <w:p w14:paraId="38277663" w14:textId="77777777" w:rsidR="006A6248" w:rsidRPr="006A6248" w:rsidRDefault="006A6248" w:rsidP="006A6248">
            <w:pPr>
              <w:spacing w:after="0" w:line="240" w:lineRule="auto"/>
              <w:jc w:val="right"/>
              <w:rPr>
                <w:rFonts w:ascii="Times New Roman" w:eastAsia="Times New Roman" w:hAnsi="Times New Roman"/>
                <w:sz w:val="21"/>
                <w:szCs w:val="21"/>
                <w:lang w:val="mk-MK" w:eastAsia="mk-MK"/>
              </w:rPr>
            </w:pPr>
          </w:p>
        </w:tc>
        <w:tc>
          <w:tcPr>
            <w:tcW w:w="1300" w:type="dxa"/>
            <w:tcBorders>
              <w:top w:val="nil"/>
              <w:left w:val="nil"/>
              <w:bottom w:val="nil"/>
              <w:right w:val="nil"/>
            </w:tcBorders>
            <w:shd w:val="clear" w:color="auto" w:fill="auto"/>
            <w:noWrap/>
            <w:vAlign w:val="center"/>
            <w:hideMark/>
          </w:tcPr>
          <w:p w14:paraId="5CF58E8D" w14:textId="77777777" w:rsidR="006A6248" w:rsidRPr="006A6248" w:rsidRDefault="006A6248" w:rsidP="006A6248">
            <w:pPr>
              <w:spacing w:after="0" w:line="240" w:lineRule="auto"/>
              <w:jc w:val="right"/>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 xml:space="preserve">     4.113.872 </w:t>
            </w:r>
          </w:p>
        </w:tc>
      </w:tr>
      <w:tr w:rsidR="006A6248" w:rsidRPr="006A6248" w14:paraId="465DBCF5" w14:textId="77777777" w:rsidTr="006A6248">
        <w:trPr>
          <w:trHeight w:val="300"/>
        </w:trPr>
        <w:tc>
          <w:tcPr>
            <w:tcW w:w="5240" w:type="dxa"/>
            <w:tcBorders>
              <w:top w:val="nil"/>
              <w:left w:val="nil"/>
              <w:bottom w:val="nil"/>
              <w:right w:val="nil"/>
            </w:tcBorders>
            <w:shd w:val="clear" w:color="auto" w:fill="auto"/>
            <w:vAlign w:val="bottom"/>
            <w:hideMark/>
          </w:tcPr>
          <w:p w14:paraId="3DC41C86" w14:textId="77777777" w:rsidR="006A6248" w:rsidRPr="006A6248" w:rsidRDefault="006A6248" w:rsidP="006A6248">
            <w:pPr>
              <w:spacing w:after="0" w:line="240" w:lineRule="auto"/>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Расходи за камата</w:t>
            </w:r>
          </w:p>
        </w:tc>
        <w:tc>
          <w:tcPr>
            <w:tcW w:w="960" w:type="dxa"/>
            <w:tcBorders>
              <w:top w:val="nil"/>
              <w:left w:val="nil"/>
              <w:bottom w:val="nil"/>
              <w:right w:val="nil"/>
            </w:tcBorders>
            <w:shd w:val="clear" w:color="auto" w:fill="auto"/>
            <w:noWrap/>
            <w:vAlign w:val="center"/>
            <w:hideMark/>
          </w:tcPr>
          <w:p w14:paraId="278712A7" w14:textId="77777777" w:rsidR="006A6248" w:rsidRPr="006A6248" w:rsidRDefault="006A6248" w:rsidP="006A6248">
            <w:pPr>
              <w:spacing w:after="0" w:line="240" w:lineRule="auto"/>
              <w:rPr>
                <w:rFonts w:ascii="Times New Roman" w:eastAsia="Times New Roman" w:hAnsi="Times New Roman"/>
                <w:sz w:val="21"/>
                <w:szCs w:val="21"/>
                <w:lang w:val="mk-MK" w:eastAsia="mk-MK"/>
              </w:rPr>
            </w:pPr>
          </w:p>
        </w:tc>
        <w:tc>
          <w:tcPr>
            <w:tcW w:w="180" w:type="dxa"/>
            <w:tcBorders>
              <w:top w:val="nil"/>
              <w:left w:val="nil"/>
              <w:bottom w:val="nil"/>
              <w:right w:val="nil"/>
            </w:tcBorders>
            <w:shd w:val="clear" w:color="auto" w:fill="auto"/>
            <w:vAlign w:val="bottom"/>
            <w:hideMark/>
          </w:tcPr>
          <w:p w14:paraId="03E35F92" w14:textId="77777777" w:rsidR="006A6248" w:rsidRPr="006A6248" w:rsidRDefault="006A6248" w:rsidP="006A6248">
            <w:pPr>
              <w:spacing w:after="0" w:line="240" w:lineRule="auto"/>
              <w:jc w:val="center"/>
              <w:rPr>
                <w:rFonts w:ascii="Times New Roman" w:eastAsia="Times New Roman" w:hAnsi="Times New Roman"/>
                <w:sz w:val="20"/>
                <w:szCs w:val="20"/>
                <w:lang w:val="mk-MK" w:eastAsia="mk-MK"/>
              </w:rPr>
            </w:pPr>
          </w:p>
        </w:tc>
        <w:tc>
          <w:tcPr>
            <w:tcW w:w="1600" w:type="dxa"/>
            <w:tcBorders>
              <w:top w:val="nil"/>
              <w:left w:val="nil"/>
              <w:bottom w:val="single" w:sz="4" w:space="0" w:color="auto"/>
              <w:right w:val="nil"/>
            </w:tcBorders>
            <w:shd w:val="clear" w:color="auto" w:fill="auto"/>
            <w:noWrap/>
            <w:vAlign w:val="center"/>
            <w:hideMark/>
          </w:tcPr>
          <w:p w14:paraId="44D621C8" w14:textId="77777777" w:rsidR="006A6248" w:rsidRPr="006A6248" w:rsidRDefault="006A6248" w:rsidP="006A6248">
            <w:pPr>
              <w:spacing w:after="0" w:line="240" w:lineRule="auto"/>
              <w:jc w:val="right"/>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 xml:space="preserve">           (218.776)</w:t>
            </w:r>
          </w:p>
        </w:tc>
        <w:tc>
          <w:tcPr>
            <w:tcW w:w="180" w:type="dxa"/>
            <w:tcBorders>
              <w:top w:val="nil"/>
              <w:left w:val="nil"/>
              <w:bottom w:val="nil"/>
              <w:right w:val="nil"/>
            </w:tcBorders>
            <w:shd w:val="clear" w:color="auto" w:fill="auto"/>
            <w:noWrap/>
            <w:vAlign w:val="center"/>
            <w:hideMark/>
          </w:tcPr>
          <w:p w14:paraId="65DAC2E8" w14:textId="77777777" w:rsidR="006A6248" w:rsidRPr="006A6248" w:rsidRDefault="006A6248" w:rsidP="006A6248">
            <w:pPr>
              <w:spacing w:after="0" w:line="240" w:lineRule="auto"/>
              <w:jc w:val="right"/>
              <w:rPr>
                <w:rFonts w:ascii="Times New Roman" w:eastAsia="Times New Roman" w:hAnsi="Times New Roman"/>
                <w:sz w:val="21"/>
                <w:szCs w:val="21"/>
                <w:lang w:val="mk-MK" w:eastAsia="mk-MK"/>
              </w:rPr>
            </w:pPr>
          </w:p>
        </w:tc>
        <w:tc>
          <w:tcPr>
            <w:tcW w:w="1300" w:type="dxa"/>
            <w:tcBorders>
              <w:top w:val="nil"/>
              <w:left w:val="nil"/>
              <w:bottom w:val="single" w:sz="4" w:space="0" w:color="auto"/>
              <w:right w:val="nil"/>
            </w:tcBorders>
            <w:shd w:val="clear" w:color="auto" w:fill="auto"/>
            <w:noWrap/>
            <w:vAlign w:val="center"/>
            <w:hideMark/>
          </w:tcPr>
          <w:p w14:paraId="1474228A" w14:textId="77777777" w:rsidR="006A6248" w:rsidRPr="006A6248" w:rsidRDefault="006A6248" w:rsidP="006A6248">
            <w:pPr>
              <w:spacing w:after="0" w:line="240" w:lineRule="auto"/>
              <w:jc w:val="right"/>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 xml:space="preserve">      (269.831)</w:t>
            </w:r>
          </w:p>
        </w:tc>
      </w:tr>
      <w:tr w:rsidR="006A6248" w:rsidRPr="006A6248" w14:paraId="1D9FDDD2" w14:textId="77777777" w:rsidTr="006A6248">
        <w:trPr>
          <w:trHeight w:val="300"/>
        </w:trPr>
        <w:tc>
          <w:tcPr>
            <w:tcW w:w="5240" w:type="dxa"/>
            <w:tcBorders>
              <w:top w:val="nil"/>
              <w:left w:val="nil"/>
              <w:bottom w:val="nil"/>
              <w:right w:val="nil"/>
            </w:tcBorders>
            <w:shd w:val="clear" w:color="auto" w:fill="auto"/>
            <w:vAlign w:val="bottom"/>
            <w:hideMark/>
          </w:tcPr>
          <w:p w14:paraId="1526DF05" w14:textId="77777777" w:rsidR="006A6248" w:rsidRPr="006A6248" w:rsidRDefault="006A6248" w:rsidP="006A6248">
            <w:pPr>
              <w:spacing w:after="0" w:line="240" w:lineRule="auto"/>
              <w:rPr>
                <w:rFonts w:ascii="Times New Roman" w:eastAsia="Times New Roman" w:hAnsi="Times New Roman"/>
                <w:b/>
                <w:bCs/>
                <w:sz w:val="21"/>
                <w:szCs w:val="21"/>
                <w:lang w:val="mk-MK" w:eastAsia="mk-MK"/>
              </w:rPr>
            </w:pPr>
            <w:r w:rsidRPr="006A6248">
              <w:rPr>
                <w:rFonts w:ascii="Times New Roman" w:eastAsia="Times New Roman" w:hAnsi="Times New Roman"/>
                <w:b/>
                <w:bCs/>
                <w:sz w:val="21"/>
                <w:szCs w:val="21"/>
                <w:lang w:val="mk-MK" w:eastAsia="mk-MK"/>
              </w:rPr>
              <w:t xml:space="preserve">Нето-приходи/(расходи) од камата </w:t>
            </w:r>
          </w:p>
        </w:tc>
        <w:tc>
          <w:tcPr>
            <w:tcW w:w="960" w:type="dxa"/>
            <w:tcBorders>
              <w:top w:val="nil"/>
              <w:left w:val="nil"/>
              <w:bottom w:val="nil"/>
              <w:right w:val="nil"/>
            </w:tcBorders>
            <w:shd w:val="clear" w:color="auto" w:fill="auto"/>
            <w:noWrap/>
            <w:vAlign w:val="center"/>
            <w:hideMark/>
          </w:tcPr>
          <w:p w14:paraId="0F467865" w14:textId="77777777" w:rsidR="006A6248" w:rsidRPr="006A6248" w:rsidRDefault="006A6248" w:rsidP="006A6248">
            <w:pPr>
              <w:spacing w:after="0" w:line="240" w:lineRule="auto"/>
              <w:jc w:val="center"/>
              <w:rPr>
                <w:rFonts w:ascii="Times New Roman" w:eastAsia="Times New Roman" w:hAnsi="Times New Roman"/>
                <w:b/>
                <w:bCs/>
                <w:sz w:val="21"/>
                <w:szCs w:val="21"/>
                <w:lang w:val="mk-MK" w:eastAsia="mk-MK"/>
              </w:rPr>
            </w:pPr>
            <w:r w:rsidRPr="006A6248">
              <w:rPr>
                <w:rFonts w:ascii="Times New Roman" w:eastAsia="Times New Roman" w:hAnsi="Times New Roman"/>
                <w:b/>
                <w:bCs/>
                <w:sz w:val="21"/>
                <w:szCs w:val="21"/>
                <w:lang w:val="mk-MK" w:eastAsia="mk-MK"/>
              </w:rPr>
              <w:t>6</w:t>
            </w:r>
          </w:p>
        </w:tc>
        <w:tc>
          <w:tcPr>
            <w:tcW w:w="180" w:type="dxa"/>
            <w:tcBorders>
              <w:top w:val="nil"/>
              <w:left w:val="nil"/>
              <w:bottom w:val="nil"/>
              <w:right w:val="nil"/>
            </w:tcBorders>
            <w:shd w:val="clear" w:color="auto" w:fill="auto"/>
            <w:vAlign w:val="bottom"/>
            <w:hideMark/>
          </w:tcPr>
          <w:p w14:paraId="1D85694D" w14:textId="77777777" w:rsidR="006A6248" w:rsidRPr="006A6248" w:rsidRDefault="006A6248" w:rsidP="006A6248">
            <w:pPr>
              <w:spacing w:after="0" w:line="240" w:lineRule="auto"/>
              <w:jc w:val="center"/>
              <w:rPr>
                <w:rFonts w:ascii="Times New Roman" w:eastAsia="Times New Roman" w:hAnsi="Times New Roman"/>
                <w:b/>
                <w:bCs/>
                <w:sz w:val="21"/>
                <w:szCs w:val="21"/>
                <w:lang w:val="mk-MK" w:eastAsia="mk-MK"/>
              </w:rPr>
            </w:pPr>
          </w:p>
        </w:tc>
        <w:tc>
          <w:tcPr>
            <w:tcW w:w="1600" w:type="dxa"/>
            <w:tcBorders>
              <w:top w:val="nil"/>
              <w:left w:val="nil"/>
              <w:bottom w:val="nil"/>
              <w:right w:val="nil"/>
            </w:tcBorders>
            <w:shd w:val="clear" w:color="auto" w:fill="auto"/>
            <w:noWrap/>
            <w:vAlign w:val="center"/>
            <w:hideMark/>
          </w:tcPr>
          <w:p w14:paraId="222561B4" w14:textId="77777777" w:rsidR="006A6248" w:rsidRPr="006A6248" w:rsidRDefault="006A6248" w:rsidP="006A6248">
            <w:pPr>
              <w:spacing w:after="0" w:line="240" w:lineRule="auto"/>
              <w:jc w:val="right"/>
              <w:rPr>
                <w:rFonts w:ascii="Times New Roman" w:eastAsia="Times New Roman" w:hAnsi="Times New Roman"/>
                <w:b/>
                <w:bCs/>
                <w:sz w:val="21"/>
                <w:szCs w:val="21"/>
                <w:lang w:val="mk-MK" w:eastAsia="mk-MK"/>
              </w:rPr>
            </w:pPr>
            <w:r w:rsidRPr="006A6248">
              <w:rPr>
                <w:rFonts w:ascii="Times New Roman" w:eastAsia="Times New Roman" w:hAnsi="Times New Roman"/>
                <w:b/>
                <w:bCs/>
                <w:sz w:val="21"/>
                <w:szCs w:val="21"/>
                <w:lang w:val="mk-MK" w:eastAsia="mk-MK"/>
              </w:rPr>
              <w:t xml:space="preserve">          4.204.741 </w:t>
            </w:r>
          </w:p>
        </w:tc>
        <w:tc>
          <w:tcPr>
            <w:tcW w:w="180" w:type="dxa"/>
            <w:tcBorders>
              <w:top w:val="nil"/>
              <w:left w:val="nil"/>
              <w:bottom w:val="nil"/>
              <w:right w:val="nil"/>
            </w:tcBorders>
            <w:shd w:val="clear" w:color="auto" w:fill="auto"/>
            <w:noWrap/>
            <w:vAlign w:val="center"/>
            <w:hideMark/>
          </w:tcPr>
          <w:p w14:paraId="0F21E8BF" w14:textId="77777777" w:rsidR="006A6248" w:rsidRPr="006A6248" w:rsidRDefault="006A6248" w:rsidP="006A6248">
            <w:pPr>
              <w:spacing w:after="0" w:line="240" w:lineRule="auto"/>
              <w:jc w:val="right"/>
              <w:rPr>
                <w:rFonts w:ascii="Times New Roman" w:eastAsia="Times New Roman" w:hAnsi="Times New Roman"/>
                <w:b/>
                <w:bCs/>
                <w:sz w:val="21"/>
                <w:szCs w:val="21"/>
                <w:lang w:val="mk-MK" w:eastAsia="mk-MK"/>
              </w:rPr>
            </w:pPr>
          </w:p>
        </w:tc>
        <w:tc>
          <w:tcPr>
            <w:tcW w:w="1300" w:type="dxa"/>
            <w:tcBorders>
              <w:top w:val="nil"/>
              <w:left w:val="nil"/>
              <w:bottom w:val="nil"/>
              <w:right w:val="nil"/>
            </w:tcBorders>
            <w:shd w:val="clear" w:color="auto" w:fill="auto"/>
            <w:noWrap/>
            <w:vAlign w:val="center"/>
            <w:hideMark/>
          </w:tcPr>
          <w:p w14:paraId="22EA9D43" w14:textId="77777777" w:rsidR="006A6248" w:rsidRPr="006A6248" w:rsidRDefault="006A6248" w:rsidP="006A6248">
            <w:pPr>
              <w:spacing w:after="0" w:line="240" w:lineRule="auto"/>
              <w:jc w:val="right"/>
              <w:rPr>
                <w:rFonts w:ascii="Times New Roman" w:eastAsia="Times New Roman" w:hAnsi="Times New Roman"/>
                <w:b/>
                <w:bCs/>
                <w:sz w:val="21"/>
                <w:szCs w:val="21"/>
                <w:lang w:val="mk-MK" w:eastAsia="mk-MK"/>
              </w:rPr>
            </w:pPr>
            <w:r w:rsidRPr="006A6248">
              <w:rPr>
                <w:rFonts w:ascii="Times New Roman" w:eastAsia="Times New Roman" w:hAnsi="Times New Roman"/>
                <w:b/>
                <w:bCs/>
                <w:sz w:val="21"/>
                <w:szCs w:val="21"/>
                <w:lang w:val="mk-MK" w:eastAsia="mk-MK"/>
              </w:rPr>
              <w:t xml:space="preserve">     3.844.041 </w:t>
            </w:r>
          </w:p>
        </w:tc>
      </w:tr>
      <w:tr w:rsidR="006A6248" w:rsidRPr="006A6248" w14:paraId="7BB25AF1" w14:textId="77777777" w:rsidTr="006A6248">
        <w:trPr>
          <w:trHeight w:val="300"/>
        </w:trPr>
        <w:tc>
          <w:tcPr>
            <w:tcW w:w="5240" w:type="dxa"/>
            <w:tcBorders>
              <w:top w:val="nil"/>
              <w:left w:val="nil"/>
              <w:bottom w:val="nil"/>
              <w:right w:val="nil"/>
            </w:tcBorders>
            <w:shd w:val="clear" w:color="auto" w:fill="auto"/>
            <w:vAlign w:val="bottom"/>
            <w:hideMark/>
          </w:tcPr>
          <w:p w14:paraId="190D89E6" w14:textId="77777777" w:rsidR="006A6248" w:rsidRPr="006A6248" w:rsidRDefault="006A6248" w:rsidP="006A6248">
            <w:pPr>
              <w:spacing w:after="0" w:line="240" w:lineRule="auto"/>
              <w:jc w:val="right"/>
              <w:rPr>
                <w:rFonts w:ascii="Times New Roman" w:eastAsia="Times New Roman" w:hAnsi="Times New Roman"/>
                <w:b/>
                <w:bCs/>
                <w:sz w:val="21"/>
                <w:szCs w:val="21"/>
                <w:lang w:val="mk-MK" w:eastAsia="mk-MK"/>
              </w:rPr>
            </w:pPr>
          </w:p>
        </w:tc>
        <w:tc>
          <w:tcPr>
            <w:tcW w:w="960" w:type="dxa"/>
            <w:tcBorders>
              <w:top w:val="nil"/>
              <w:left w:val="nil"/>
              <w:bottom w:val="nil"/>
              <w:right w:val="nil"/>
            </w:tcBorders>
            <w:shd w:val="clear" w:color="auto" w:fill="auto"/>
            <w:noWrap/>
            <w:vAlign w:val="center"/>
            <w:hideMark/>
          </w:tcPr>
          <w:p w14:paraId="376FF068" w14:textId="77777777" w:rsidR="006A6248" w:rsidRPr="006A6248" w:rsidRDefault="006A6248" w:rsidP="006A6248">
            <w:pPr>
              <w:spacing w:after="0" w:line="240" w:lineRule="auto"/>
              <w:rPr>
                <w:rFonts w:ascii="Times New Roman" w:eastAsia="Times New Roman" w:hAnsi="Times New Roman"/>
                <w:sz w:val="20"/>
                <w:szCs w:val="20"/>
                <w:lang w:val="mk-MK" w:eastAsia="mk-MK"/>
              </w:rPr>
            </w:pPr>
          </w:p>
        </w:tc>
        <w:tc>
          <w:tcPr>
            <w:tcW w:w="180" w:type="dxa"/>
            <w:tcBorders>
              <w:top w:val="nil"/>
              <w:left w:val="nil"/>
              <w:bottom w:val="nil"/>
              <w:right w:val="nil"/>
            </w:tcBorders>
            <w:shd w:val="clear" w:color="auto" w:fill="auto"/>
            <w:vAlign w:val="bottom"/>
            <w:hideMark/>
          </w:tcPr>
          <w:p w14:paraId="5C6693EE" w14:textId="77777777" w:rsidR="006A6248" w:rsidRPr="006A6248" w:rsidRDefault="006A6248" w:rsidP="006A6248">
            <w:pPr>
              <w:spacing w:after="0" w:line="240" w:lineRule="auto"/>
              <w:jc w:val="center"/>
              <w:rPr>
                <w:rFonts w:ascii="Times New Roman" w:eastAsia="Times New Roman" w:hAnsi="Times New Roman"/>
                <w:sz w:val="20"/>
                <w:szCs w:val="20"/>
                <w:lang w:val="mk-MK" w:eastAsia="mk-MK"/>
              </w:rPr>
            </w:pPr>
          </w:p>
        </w:tc>
        <w:tc>
          <w:tcPr>
            <w:tcW w:w="1600" w:type="dxa"/>
            <w:tcBorders>
              <w:top w:val="nil"/>
              <w:left w:val="nil"/>
              <w:bottom w:val="nil"/>
              <w:right w:val="nil"/>
            </w:tcBorders>
            <w:shd w:val="clear" w:color="auto" w:fill="auto"/>
            <w:noWrap/>
            <w:vAlign w:val="center"/>
            <w:hideMark/>
          </w:tcPr>
          <w:p w14:paraId="6645FC9B" w14:textId="77777777" w:rsidR="006A6248" w:rsidRPr="006A6248" w:rsidRDefault="006A6248" w:rsidP="006A6248">
            <w:pPr>
              <w:spacing w:after="0" w:line="240" w:lineRule="auto"/>
              <w:jc w:val="center"/>
              <w:rPr>
                <w:rFonts w:ascii="Times New Roman" w:eastAsia="Times New Roman" w:hAnsi="Times New Roman"/>
                <w:sz w:val="20"/>
                <w:szCs w:val="20"/>
                <w:lang w:val="mk-MK" w:eastAsia="mk-MK"/>
              </w:rPr>
            </w:pPr>
          </w:p>
        </w:tc>
        <w:tc>
          <w:tcPr>
            <w:tcW w:w="180" w:type="dxa"/>
            <w:tcBorders>
              <w:top w:val="nil"/>
              <w:left w:val="nil"/>
              <w:bottom w:val="nil"/>
              <w:right w:val="nil"/>
            </w:tcBorders>
            <w:shd w:val="clear" w:color="auto" w:fill="auto"/>
            <w:noWrap/>
            <w:vAlign w:val="center"/>
            <w:hideMark/>
          </w:tcPr>
          <w:p w14:paraId="25F8BCC6" w14:textId="77777777" w:rsidR="006A6248" w:rsidRPr="006A6248" w:rsidRDefault="006A6248" w:rsidP="006A6248">
            <w:pPr>
              <w:spacing w:after="0" w:line="240" w:lineRule="auto"/>
              <w:jc w:val="right"/>
              <w:rPr>
                <w:rFonts w:ascii="Times New Roman" w:eastAsia="Times New Roman" w:hAnsi="Times New Roman"/>
                <w:sz w:val="20"/>
                <w:szCs w:val="20"/>
                <w:lang w:val="mk-MK" w:eastAsia="mk-MK"/>
              </w:rPr>
            </w:pPr>
          </w:p>
        </w:tc>
        <w:tc>
          <w:tcPr>
            <w:tcW w:w="1300" w:type="dxa"/>
            <w:tcBorders>
              <w:top w:val="nil"/>
              <w:left w:val="nil"/>
              <w:bottom w:val="nil"/>
              <w:right w:val="nil"/>
            </w:tcBorders>
            <w:shd w:val="clear" w:color="auto" w:fill="auto"/>
            <w:noWrap/>
            <w:vAlign w:val="center"/>
            <w:hideMark/>
          </w:tcPr>
          <w:p w14:paraId="526EB213" w14:textId="77777777" w:rsidR="006A6248" w:rsidRPr="006A6248" w:rsidRDefault="006A6248" w:rsidP="006A6248">
            <w:pPr>
              <w:spacing w:after="0" w:line="240" w:lineRule="auto"/>
              <w:jc w:val="right"/>
              <w:rPr>
                <w:rFonts w:ascii="Times New Roman" w:eastAsia="Times New Roman" w:hAnsi="Times New Roman"/>
                <w:sz w:val="20"/>
                <w:szCs w:val="20"/>
                <w:lang w:val="mk-MK" w:eastAsia="mk-MK"/>
              </w:rPr>
            </w:pPr>
          </w:p>
        </w:tc>
      </w:tr>
      <w:tr w:rsidR="006A6248" w:rsidRPr="006A6248" w14:paraId="5E84BAA6" w14:textId="77777777" w:rsidTr="006A6248">
        <w:trPr>
          <w:trHeight w:val="300"/>
        </w:trPr>
        <w:tc>
          <w:tcPr>
            <w:tcW w:w="5240" w:type="dxa"/>
            <w:tcBorders>
              <w:top w:val="nil"/>
              <w:left w:val="nil"/>
              <w:bottom w:val="nil"/>
              <w:right w:val="nil"/>
            </w:tcBorders>
            <w:shd w:val="clear" w:color="auto" w:fill="auto"/>
            <w:vAlign w:val="bottom"/>
            <w:hideMark/>
          </w:tcPr>
          <w:p w14:paraId="0457B9CE" w14:textId="77777777" w:rsidR="006A6248" w:rsidRPr="006A6248" w:rsidRDefault="006A6248" w:rsidP="006A6248">
            <w:pPr>
              <w:spacing w:after="0" w:line="240" w:lineRule="auto"/>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 xml:space="preserve">Приходи од провизии и надомести </w:t>
            </w:r>
          </w:p>
        </w:tc>
        <w:tc>
          <w:tcPr>
            <w:tcW w:w="960" w:type="dxa"/>
            <w:tcBorders>
              <w:top w:val="nil"/>
              <w:left w:val="nil"/>
              <w:bottom w:val="nil"/>
              <w:right w:val="nil"/>
            </w:tcBorders>
            <w:shd w:val="clear" w:color="auto" w:fill="auto"/>
            <w:noWrap/>
            <w:vAlign w:val="center"/>
            <w:hideMark/>
          </w:tcPr>
          <w:p w14:paraId="347FB6D4" w14:textId="77777777" w:rsidR="006A6248" w:rsidRPr="006A6248" w:rsidRDefault="006A6248" w:rsidP="006A6248">
            <w:pPr>
              <w:spacing w:after="0" w:line="240" w:lineRule="auto"/>
              <w:rPr>
                <w:rFonts w:ascii="Times New Roman" w:eastAsia="Times New Roman" w:hAnsi="Times New Roman"/>
                <w:sz w:val="21"/>
                <w:szCs w:val="21"/>
                <w:lang w:val="mk-MK" w:eastAsia="mk-MK"/>
              </w:rPr>
            </w:pPr>
          </w:p>
        </w:tc>
        <w:tc>
          <w:tcPr>
            <w:tcW w:w="180" w:type="dxa"/>
            <w:tcBorders>
              <w:top w:val="nil"/>
              <w:left w:val="nil"/>
              <w:bottom w:val="nil"/>
              <w:right w:val="nil"/>
            </w:tcBorders>
            <w:shd w:val="clear" w:color="auto" w:fill="auto"/>
            <w:vAlign w:val="bottom"/>
            <w:hideMark/>
          </w:tcPr>
          <w:p w14:paraId="2295B630" w14:textId="77777777" w:rsidR="006A6248" w:rsidRPr="006A6248" w:rsidRDefault="006A6248" w:rsidP="006A6248">
            <w:pPr>
              <w:spacing w:after="0" w:line="240" w:lineRule="auto"/>
              <w:jc w:val="center"/>
              <w:rPr>
                <w:rFonts w:ascii="Times New Roman" w:eastAsia="Times New Roman" w:hAnsi="Times New Roman"/>
                <w:sz w:val="20"/>
                <w:szCs w:val="20"/>
                <w:lang w:val="mk-MK" w:eastAsia="mk-MK"/>
              </w:rPr>
            </w:pPr>
          </w:p>
        </w:tc>
        <w:tc>
          <w:tcPr>
            <w:tcW w:w="1600" w:type="dxa"/>
            <w:tcBorders>
              <w:top w:val="nil"/>
              <w:left w:val="nil"/>
              <w:bottom w:val="nil"/>
              <w:right w:val="nil"/>
            </w:tcBorders>
            <w:shd w:val="clear" w:color="auto" w:fill="auto"/>
            <w:noWrap/>
            <w:vAlign w:val="center"/>
            <w:hideMark/>
          </w:tcPr>
          <w:p w14:paraId="647B1ABD" w14:textId="77777777" w:rsidR="006A6248" w:rsidRPr="006A6248" w:rsidRDefault="006A6248" w:rsidP="006A6248">
            <w:pPr>
              <w:spacing w:after="0" w:line="240" w:lineRule="auto"/>
              <w:jc w:val="right"/>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 xml:space="preserve">          1.521.304 </w:t>
            </w:r>
          </w:p>
        </w:tc>
        <w:tc>
          <w:tcPr>
            <w:tcW w:w="180" w:type="dxa"/>
            <w:tcBorders>
              <w:top w:val="nil"/>
              <w:left w:val="nil"/>
              <w:bottom w:val="nil"/>
              <w:right w:val="nil"/>
            </w:tcBorders>
            <w:shd w:val="clear" w:color="auto" w:fill="auto"/>
            <w:noWrap/>
            <w:vAlign w:val="center"/>
            <w:hideMark/>
          </w:tcPr>
          <w:p w14:paraId="61BDB38D" w14:textId="77777777" w:rsidR="006A6248" w:rsidRPr="006A6248" w:rsidRDefault="006A6248" w:rsidP="006A6248">
            <w:pPr>
              <w:spacing w:after="0" w:line="240" w:lineRule="auto"/>
              <w:jc w:val="right"/>
              <w:rPr>
                <w:rFonts w:ascii="Times New Roman" w:eastAsia="Times New Roman" w:hAnsi="Times New Roman"/>
                <w:sz w:val="21"/>
                <w:szCs w:val="21"/>
                <w:lang w:val="mk-MK" w:eastAsia="mk-MK"/>
              </w:rPr>
            </w:pPr>
          </w:p>
        </w:tc>
        <w:tc>
          <w:tcPr>
            <w:tcW w:w="1300" w:type="dxa"/>
            <w:tcBorders>
              <w:top w:val="nil"/>
              <w:left w:val="nil"/>
              <w:bottom w:val="nil"/>
              <w:right w:val="nil"/>
            </w:tcBorders>
            <w:shd w:val="clear" w:color="auto" w:fill="auto"/>
            <w:noWrap/>
            <w:vAlign w:val="center"/>
            <w:hideMark/>
          </w:tcPr>
          <w:p w14:paraId="459E21D5" w14:textId="77777777" w:rsidR="006A6248" w:rsidRPr="006A6248" w:rsidRDefault="006A6248" w:rsidP="006A6248">
            <w:pPr>
              <w:spacing w:after="0" w:line="240" w:lineRule="auto"/>
              <w:jc w:val="right"/>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 xml:space="preserve">     1.439.240 </w:t>
            </w:r>
          </w:p>
        </w:tc>
      </w:tr>
      <w:tr w:rsidR="006A6248" w:rsidRPr="006A6248" w14:paraId="09942AC5" w14:textId="77777777" w:rsidTr="006A6248">
        <w:trPr>
          <w:trHeight w:val="300"/>
        </w:trPr>
        <w:tc>
          <w:tcPr>
            <w:tcW w:w="5240" w:type="dxa"/>
            <w:tcBorders>
              <w:top w:val="nil"/>
              <w:left w:val="nil"/>
              <w:bottom w:val="nil"/>
              <w:right w:val="nil"/>
            </w:tcBorders>
            <w:shd w:val="clear" w:color="auto" w:fill="auto"/>
            <w:vAlign w:val="bottom"/>
            <w:hideMark/>
          </w:tcPr>
          <w:p w14:paraId="24F95D14" w14:textId="77777777" w:rsidR="006A6248" w:rsidRPr="006A6248" w:rsidRDefault="006A6248" w:rsidP="006A6248">
            <w:pPr>
              <w:spacing w:after="0" w:line="240" w:lineRule="auto"/>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 xml:space="preserve">Расходи за провизии и надомести </w:t>
            </w:r>
          </w:p>
        </w:tc>
        <w:tc>
          <w:tcPr>
            <w:tcW w:w="960" w:type="dxa"/>
            <w:tcBorders>
              <w:top w:val="nil"/>
              <w:left w:val="nil"/>
              <w:bottom w:val="nil"/>
              <w:right w:val="nil"/>
            </w:tcBorders>
            <w:shd w:val="clear" w:color="auto" w:fill="auto"/>
            <w:noWrap/>
            <w:vAlign w:val="center"/>
            <w:hideMark/>
          </w:tcPr>
          <w:p w14:paraId="0D749BE4" w14:textId="77777777" w:rsidR="006A6248" w:rsidRPr="006A6248" w:rsidRDefault="006A6248" w:rsidP="006A6248">
            <w:pPr>
              <w:spacing w:after="0" w:line="240" w:lineRule="auto"/>
              <w:rPr>
                <w:rFonts w:ascii="Times New Roman" w:eastAsia="Times New Roman" w:hAnsi="Times New Roman"/>
                <w:sz w:val="21"/>
                <w:szCs w:val="21"/>
                <w:lang w:val="mk-MK" w:eastAsia="mk-MK"/>
              </w:rPr>
            </w:pPr>
          </w:p>
        </w:tc>
        <w:tc>
          <w:tcPr>
            <w:tcW w:w="180" w:type="dxa"/>
            <w:tcBorders>
              <w:top w:val="nil"/>
              <w:left w:val="nil"/>
              <w:bottom w:val="nil"/>
              <w:right w:val="nil"/>
            </w:tcBorders>
            <w:shd w:val="clear" w:color="auto" w:fill="auto"/>
            <w:vAlign w:val="bottom"/>
            <w:hideMark/>
          </w:tcPr>
          <w:p w14:paraId="4D8D2237" w14:textId="77777777" w:rsidR="006A6248" w:rsidRPr="006A6248" w:rsidRDefault="006A6248" w:rsidP="006A6248">
            <w:pPr>
              <w:spacing w:after="0" w:line="240" w:lineRule="auto"/>
              <w:jc w:val="center"/>
              <w:rPr>
                <w:rFonts w:ascii="Times New Roman" w:eastAsia="Times New Roman" w:hAnsi="Times New Roman"/>
                <w:sz w:val="20"/>
                <w:szCs w:val="20"/>
                <w:lang w:val="mk-MK" w:eastAsia="mk-MK"/>
              </w:rPr>
            </w:pPr>
          </w:p>
        </w:tc>
        <w:tc>
          <w:tcPr>
            <w:tcW w:w="1600" w:type="dxa"/>
            <w:tcBorders>
              <w:top w:val="nil"/>
              <w:left w:val="nil"/>
              <w:bottom w:val="single" w:sz="4" w:space="0" w:color="auto"/>
              <w:right w:val="nil"/>
            </w:tcBorders>
            <w:shd w:val="clear" w:color="auto" w:fill="auto"/>
            <w:noWrap/>
            <w:vAlign w:val="center"/>
            <w:hideMark/>
          </w:tcPr>
          <w:p w14:paraId="3A666E26" w14:textId="77777777" w:rsidR="006A6248" w:rsidRPr="006A6248" w:rsidRDefault="006A6248" w:rsidP="006A6248">
            <w:pPr>
              <w:spacing w:after="0" w:line="240" w:lineRule="auto"/>
              <w:jc w:val="right"/>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 xml:space="preserve">           (622.666)</w:t>
            </w:r>
          </w:p>
        </w:tc>
        <w:tc>
          <w:tcPr>
            <w:tcW w:w="180" w:type="dxa"/>
            <w:tcBorders>
              <w:top w:val="nil"/>
              <w:left w:val="nil"/>
              <w:bottom w:val="nil"/>
              <w:right w:val="nil"/>
            </w:tcBorders>
            <w:shd w:val="clear" w:color="auto" w:fill="auto"/>
            <w:noWrap/>
            <w:vAlign w:val="center"/>
            <w:hideMark/>
          </w:tcPr>
          <w:p w14:paraId="069C7D4D" w14:textId="77777777" w:rsidR="006A6248" w:rsidRPr="006A6248" w:rsidRDefault="006A6248" w:rsidP="006A6248">
            <w:pPr>
              <w:spacing w:after="0" w:line="240" w:lineRule="auto"/>
              <w:jc w:val="right"/>
              <w:rPr>
                <w:rFonts w:ascii="Times New Roman" w:eastAsia="Times New Roman" w:hAnsi="Times New Roman"/>
                <w:sz w:val="21"/>
                <w:szCs w:val="21"/>
                <w:lang w:val="mk-MK" w:eastAsia="mk-MK"/>
              </w:rPr>
            </w:pPr>
          </w:p>
        </w:tc>
        <w:tc>
          <w:tcPr>
            <w:tcW w:w="1300" w:type="dxa"/>
            <w:tcBorders>
              <w:top w:val="nil"/>
              <w:left w:val="nil"/>
              <w:bottom w:val="single" w:sz="4" w:space="0" w:color="auto"/>
              <w:right w:val="nil"/>
            </w:tcBorders>
            <w:shd w:val="clear" w:color="auto" w:fill="auto"/>
            <w:noWrap/>
            <w:vAlign w:val="center"/>
            <w:hideMark/>
          </w:tcPr>
          <w:p w14:paraId="3C7FB01D" w14:textId="77777777" w:rsidR="006A6248" w:rsidRPr="006A6248" w:rsidRDefault="006A6248" w:rsidP="006A6248">
            <w:pPr>
              <w:spacing w:after="0" w:line="240" w:lineRule="auto"/>
              <w:jc w:val="right"/>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 xml:space="preserve">      (607.750)</w:t>
            </w:r>
          </w:p>
        </w:tc>
      </w:tr>
      <w:tr w:rsidR="006A6248" w:rsidRPr="006A6248" w14:paraId="4094067C" w14:textId="77777777" w:rsidTr="006A6248">
        <w:trPr>
          <w:trHeight w:val="300"/>
        </w:trPr>
        <w:tc>
          <w:tcPr>
            <w:tcW w:w="5240" w:type="dxa"/>
            <w:tcBorders>
              <w:top w:val="nil"/>
              <w:left w:val="nil"/>
              <w:bottom w:val="nil"/>
              <w:right w:val="nil"/>
            </w:tcBorders>
            <w:shd w:val="clear" w:color="auto" w:fill="auto"/>
            <w:vAlign w:val="bottom"/>
            <w:hideMark/>
          </w:tcPr>
          <w:p w14:paraId="14398011" w14:textId="77777777" w:rsidR="006A6248" w:rsidRPr="006A6248" w:rsidRDefault="006A6248" w:rsidP="006A6248">
            <w:pPr>
              <w:spacing w:after="0" w:line="240" w:lineRule="auto"/>
              <w:rPr>
                <w:rFonts w:ascii="Times New Roman" w:eastAsia="Times New Roman" w:hAnsi="Times New Roman"/>
                <w:b/>
                <w:bCs/>
                <w:sz w:val="21"/>
                <w:szCs w:val="21"/>
                <w:lang w:val="mk-MK" w:eastAsia="mk-MK"/>
              </w:rPr>
            </w:pPr>
            <w:r w:rsidRPr="006A6248">
              <w:rPr>
                <w:rFonts w:ascii="Times New Roman" w:eastAsia="Times New Roman" w:hAnsi="Times New Roman"/>
                <w:b/>
                <w:bCs/>
                <w:sz w:val="21"/>
                <w:szCs w:val="21"/>
                <w:lang w:val="mk-MK" w:eastAsia="mk-MK"/>
              </w:rPr>
              <w:t xml:space="preserve">Нето-приходи/(расходи) од провизии и надомести </w:t>
            </w:r>
          </w:p>
        </w:tc>
        <w:tc>
          <w:tcPr>
            <w:tcW w:w="960" w:type="dxa"/>
            <w:tcBorders>
              <w:top w:val="nil"/>
              <w:left w:val="nil"/>
              <w:bottom w:val="nil"/>
              <w:right w:val="nil"/>
            </w:tcBorders>
            <w:shd w:val="clear" w:color="auto" w:fill="auto"/>
            <w:noWrap/>
            <w:vAlign w:val="center"/>
            <w:hideMark/>
          </w:tcPr>
          <w:p w14:paraId="7CF2BE00" w14:textId="77777777" w:rsidR="006A6248" w:rsidRPr="006A6248" w:rsidRDefault="006A6248" w:rsidP="006A6248">
            <w:pPr>
              <w:spacing w:after="0" w:line="240" w:lineRule="auto"/>
              <w:jc w:val="center"/>
              <w:rPr>
                <w:rFonts w:ascii="Times New Roman" w:eastAsia="Times New Roman" w:hAnsi="Times New Roman"/>
                <w:b/>
                <w:bCs/>
                <w:sz w:val="21"/>
                <w:szCs w:val="21"/>
                <w:lang w:val="mk-MK" w:eastAsia="mk-MK"/>
              </w:rPr>
            </w:pPr>
            <w:r w:rsidRPr="006A6248">
              <w:rPr>
                <w:rFonts w:ascii="Times New Roman" w:eastAsia="Times New Roman" w:hAnsi="Times New Roman"/>
                <w:b/>
                <w:bCs/>
                <w:sz w:val="21"/>
                <w:szCs w:val="21"/>
                <w:lang w:val="mk-MK" w:eastAsia="mk-MK"/>
              </w:rPr>
              <w:t>7</w:t>
            </w:r>
          </w:p>
        </w:tc>
        <w:tc>
          <w:tcPr>
            <w:tcW w:w="180" w:type="dxa"/>
            <w:tcBorders>
              <w:top w:val="nil"/>
              <w:left w:val="nil"/>
              <w:bottom w:val="nil"/>
              <w:right w:val="nil"/>
            </w:tcBorders>
            <w:shd w:val="clear" w:color="auto" w:fill="auto"/>
            <w:vAlign w:val="bottom"/>
            <w:hideMark/>
          </w:tcPr>
          <w:p w14:paraId="076FFE30" w14:textId="77777777" w:rsidR="006A6248" w:rsidRPr="006A6248" w:rsidRDefault="006A6248" w:rsidP="006A6248">
            <w:pPr>
              <w:spacing w:after="0" w:line="240" w:lineRule="auto"/>
              <w:jc w:val="center"/>
              <w:rPr>
                <w:rFonts w:ascii="Times New Roman" w:eastAsia="Times New Roman" w:hAnsi="Times New Roman"/>
                <w:b/>
                <w:bCs/>
                <w:sz w:val="21"/>
                <w:szCs w:val="21"/>
                <w:lang w:val="mk-MK" w:eastAsia="mk-MK"/>
              </w:rPr>
            </w:pPr>
          </w:p>
        </w:tc>
        <w:tc>
          <w:tcPr>
            <w:tcW w:w="1600" w:type="dxa"/>
            <w:tcBorders>
              <w:top w:val="nil"/>
              <w:left w:val="nil"/>
              <w:bottom w:val="nil"/>
              <w:right w:val="nil"/>
            </w:tcBorders>
            <w:shd w:val="clear" w:color="auto" w:fill="auto"/>
            <w:noWrap/>
            <w:vAlign w:val="center"/>
            <w:hideMark/>
          </w:tcPr>
          <w:p w14:paraId="6E773866" w14:textId="77777777" w:rsidR="006A6248" w:rsidRPr="006A6248" w:rsidRDefault="006A6248" w:rsidP="006A6248">
            <w:pPr>
              <w:spacing w:after="0" w:line="240" w:lineRule="auto"/>
              <w:jc w:val="right"/>
              <w:rPr>
                <w:rFonts w:ascii="Times New Roman" w:eastAsia="Times New Roman" w:hAnsi="Times New Roman"/>
                <w:b/>
                <w:bCs/>
                <w:sz w:val="21"/>
                <w:szCs w:val="21"/>
                <w:lang w:val="mk-MK" w:eastAsia="mk-MK"/>
              </w:rPr>
            </w:pPr>
            <w:r w:rsidRPr="006A6248">
              <w:rPr>
                <w:rFonts w:ascii="Times New Roman" w:eastAsia="Times New Roman" w:hAnsi="Times New Roman"/>
                <w:b/>
                <w:bCs/>
                <w:sz w:val="21"/>
                <w:szCs w:val="21"/>
                <w:lang w:val="mk-MK" w:eastAsia="mk-MK"/>
              </w:rPr>
              <w:t xml:space="preserve">             898.638 </w:t>
            </w:r>
          </w:p>
        </w:tc>
        <w:tc>
          <w:tcPr>
            <w:tcW w:w="180" w:type="dxa"/>
            <w:tcBorders>
              <w:top w:val="nil"/>
              <w:left w:val="nil"/>
              <w:bottom w:val="nil"/>
              <w:right w:val="nil"/>
            </w:tcBorders>
            <w:shd w:val="clear" w:color="auto" w:fill="auto"/>
            <w:noWrap/>
            <w:vAlign w:val="center"/>
            <w:hideMark/>
          </w:tcPr>
          <w:p w14:paraId="6EBB8D66" w14:textId="77777777" w:rsidR="006A6248" w:rsidRPr="006A6248" w:rsidRDefault="006A6248" w:rsidP="006A6248">
            <w:pPr>
              <w:spacing w:after="0" w:line="240" w:lineRule="auto"/>
              <w:jc w:val="right"/>
              <w:rPr>
                <w:rFonts w:ascii="Times New Roman" w:eastAsia="Times New Roman" w:hAnsi="Times New Roman"/>
                <w:b/>
                <w:bCs/>
                <w:sz w:val="21"/>
                <w:szCs w:val="21"/>
                <w:lang w:val="mk-MK" w:eastAsia="mk-MK"/>
              </w:rPr>
            </w:pPr>
          </w:p>
        </w:tc>
        <w:tc>
          <w:tcPr>
            <w:tcW w:w="1300" w:type="dxa"/>
            <w:tcBorders>
              <w:top w:val="nil"/>
              <w:left w:val="nil"/>
              <w:bottom w:val="nil"/>
              <w:right w:val="nil"/>
            </w:tcBorders>
            <w:shd w:val="clear" w:color="auto" w:fill="auto"/>
            <w:noWrap/>
            <w:vAlign w:val="center"/>
            <w:hideMark/>
          </w:tcPr>
          <w:p w14:paraId="2C2C7512" w14:textId="77777777" w:rsidR="006A6248" w:rsidRPr="006A6248" w:rsidRDefault="006A6248" w:rsidP="006A6248">
            <w:pPr>
              <w:spacing w:after="0" w:line="240" w:lineRule="auto"/>
              <w:jc w:val="right"/>
              <w:rPr>
                <w:rFonts w:ascii="Times New Roman" w:eastAsia="Times New Roman" w:hAnsi="Times New Roman"/>
                <w:b/>
                <w:bCs/>
                <w:sz w:val="21"/>
                <w:szCs w:val="21"/>
                <w:lang w:val="mk-MK" w:eastAsia="mk-MK"/>
              </w:rPr>
            </w:pPr>
            <w:r w:rsidRPr="006A6248">
              <w:rPr>
                <w:rFonts w:ascii="Times New Roman" w:eastAsia="Times New Roman" w:hAnsi="Times New Roman"/>
                <w:b/>
                <w:bCs/>
                <w:sz w:val="21"/>
                <w:szCs w:val="21"/>
                <w:lang w:val="mk-MK" w:eastAsia="mk-MK"/>
              </w:rPr>
              <w:t xml:space="preserve">        831.490 </w:t>
            </w:r>
          </w:p>
        </w:tc>
      </w:tr>
      <w:tr w:rsidR="006A6248" w:rsidRPr="006A6248" w14:paraId="1619D02E" w14:textId="77777777" w:rsidTr="006A6248">
        <w:trPr>
          <w:trHeight w:val="300"/>
        </w:trPr>
        <w:tc>
          <w:tcPr>
            <w:tcW w:w="5240" w:type="dxa"/>
            <w:tcBorders>
              <w:top w:val="nil"/>
              <w:left w:val="nil"/>
              <w:bottom w:val="nil"/>
              <w:right w:val="nil"/>
            </w:tcBorders>
            <w:shd w:val="clear" w:color="auto" w:fill="auto"/>
            <w:vAlign w:val="bottom"/>
            <w:hideMark/>
          </w:tcPr>
          <w:p w14:paraId="09C99FD0" w14:textId="77777777" w:rsidR="006A6248" w:rsidRPr="006A6248" w:rsidRDefault="006A6248" w:rsidP="006A6248">
            <w:pPr>
              <w:spacing w:after="0" w:line="240" w:lineRule="auto"/>
              <w:jc w:val="right"/>
              <w:rPr>
                <w:rFonts w:ascii="Times New Roman" w:eastAsia="Times New Roman" w:hAnsi="Times New Roman"/>
                <w:b/>
                <w:bCs/>
                <w:sz w:val="21"/>
                <w:szCs w:val="21"/>
                <w:lang w:val="mk-MK" w:eastAsia="mk-MK"/>
              </w:rPr>
            </w:pPr>
          </w:p>
        </w:tc>
        <w:tc>
          <w:tcPr>
            <w:tcW w:w="960" w:type="dxa"/>
            <w:tcBorders>
              <w:top w:val="nil"/>
              <w:left w:val="nil"/>
              <w:bottom w:val="nil"/>
              <w:right w:val="nil"/>
            </w:tcBorders>
            <w:shd w:val="clear" w:color="auto" w:fill="auto"/>
            <w:noWrap/>
            <w:vAlign w:val="center"/>
            <w:hideMark/>
          </w:tcPr>
          <w:p w14:paraId="17049D19" w14:textId="77777777" w:rsidR="006A6248" w:rsidRPr="006A6248" w:rsidRDefault="006A6248" w:rsidP="006A6248">
            <w:pPr>
              <w:spacing w:after="0" w:line="240" w:lineRule="auto"/>
              <w:rPr>
                <w:rFonts w:ascii="Times New Roman" w:eastAsia="Times New Roman" w:hAnsi="Times New Roman"/>
                <w:sz w:val="20"/>
                <w:szCs w:val="20"/>
                <w:lang w:val="mk-MK" w:eastAsia="mk-MK"/>
              </w:rPr>
            </w:pPr>
          </w:p>
        </w:tc>
        <w:tc>
          <w:tcPr>
            <w:tcW w:w="180" w:type="dxa"/>
            <w:tcBorders>
              <w:top w:val="nil"/>
              <w:left w:val="nil"/>
              <w:bottom w:val="nil"/>
              <w:right w:val="nil"/>
            </w:tcBorders>
            <w:shd w:val="clear" w:color="auto" w:fill="auto"/>
            <w:vAlign w:val="bottom"/>
            <w:hideMark/>
          </w:tcPr>
          <w:p w14:paraId="270B73D8" w14:textId="77777777" w:rsidR="006A6248" w:rsidRPr="006A6248" w:rsidRDefault="006A6248" w:rsidP="006A6248">
            <w:pPr>
              <w:spacing w:after="0" w:line="240" w:lineRule="auto"/>
              <w:jc w:val="center"/>
              <w:rPr>
                <w:rFonts w:ascii="Times New Roman" w:eastAsia="Times New Roman" w:hAnsi="Times New Roman"/>
                <w:sz w:val="20"/>
                <w:szCs w:val="20"/>
                <w:lang w:val="mk-MK" w:eastAsia="mk-MK"/>
              </w:rPr>
            </w:pPr>
          </w:p>
        </w:tc>
        <w:tc>
          <w:tcPr>
            <w:tcW w:w="1600" w:type="dxa"/>
            <w:tcBorders>
              <w:top w:val="nil"/>
              <w:left w:val="nil"/>
              <w:bottom w:val="nil"/>
              <w:right w:val="nil"/>
            </w:tcBorders>
            <w:shd w:val="clear" w:color="auto" w:fill="auto"/>
            <w:noWrap/>
            <w:vAlign w:val="center"/>
            <w:hideMark/>
          </w:tcPr>
          <w:p w14:paraId="7D67DBF0" w14:textId="77777777" w:rsidR="006A6248" w:rsidRPr="006A6248" w:rsidRDefault="006A6248" w:rsidP="006A6248">
            <w:pPr>
              <w:spacing w:after="0" w:line="240" w:lineRule="auto"/>
              <w:jc w:val="center"/>
              <w:rPr>
                <w:rFonts w:ascii="Times New Roman" w:eastAsia="Times New Roman" w:hAnsi="Times New Roman"/>
                <w:sz w:val="20"/>
                <w:szCs w:val="20"/>
                <w:lang w:val="mk-MK" w:eastAsia="mk-MK"/>
              </w:rPr>
            </w:pPr>
          </w:p>
        </w:tc>
        <w:tc>
          <w:tcPr>
            <w:tcW w:w="180" w:type="dxa"/>
            <w:tcBorders>
              <w:top w:val="nil"/>
              <w:left w:val="nil"/>
              <w:bottom w:val="nil"/>
              <w:right w:val="nil"/>
            </w:tcBorders>
            <w:shd w:val="clear" w:color="auto" w:fill="auto"/>
            <w:noWrap/>
            <w:vAlign w:val="center"/>
            <w:hideMark/>
          </w:tcPr>
          <w:p w14:paraId="146D886A" w14:textId="77777777" w:rsidR="006A6248" w:rsidRPr="006A6248" w:rsidRDefault="006A6248" w:rsidP="006A6248">
            <w:pPr>
              <w:spacing w:after="0" w:line="240" w:lineRule="auto"/>
              <w:jc w:val="right"/>
              <w:rPr>
                <w:rFonts w:ascii="Times New Roman" w:eastAsia="Times New Roman" w:hAnsi="Times New Roman"/>
                <w:sz w:val="20"/>
                <w:szCs w:val="20"/>
                <w:lang w:val="mk-MK" w:eastAsia="mk-MK"/>
              </w:rPr>
            </w:pPr>
          </w:p>
        </w:tc>
        <w:tc>
          <w:tcPr>
            <w:tcW w:w="1300" w:type="dxa"/>
            <w:tcBorders>
              <w:top w:val="nil"/>
              <w:left w:val="nil"/>
              <w:bottom w:val="nil"/>
              <w:right w:val="nil"/>
            </w:tcBorders>
            <w:shd w:val="clear" w:color="auto" w:fill="auto"/>
            <w:noWrap/>
            <w:vAlign w:val="center"/>
            <w:hideMark/>
          </w:tcPr>
          <w:p w14:paraId="491718A8" w14:textId="77777777" w:rsidR="006A6248" w:rsidRPr="006A6248" w:rsidRDefault="006A6248" w:rsidP="006A6248">
            <w:pPr>
              <w:spacing w:after="0" w:line="240" w:lineRule="auto"/>
              <w:jc w:val="right"/>
              <w:rPr>
                <w:rFonts w:ascii="Times New Roman" w:eastAsia="Times New Roman" w:hAnsi="Times New Roman"/>
                <w:sz w:val="20"/>
                <w:szCs w:val="20"/>
                <w:lang w:val="mk-MK" w:eastAsia="mk-MK"/>
              </w:rPr>
            </w:pPr>
          </w:p>
        </w:tc>
      </w:tr>
      <w:tr w:rsidR="006A6248" w:rsidRPr="006A6248" w14:paraId="00E50025" w14:textId="77777777" w:rsidTr="006A6248">
        <w:trPr>
          <w:trHeight w:val="300"/>
        </w:trPr>
        <w:tc>
          <w:tcPr>
            <w:tcW w:w="5240" w:type="dxa"/>
            <w:tcBorders>
              <w:top w:val="nil"/>
              <w:left w:val="nil"/>
              <w:bottom w:val="nil"/>
              <w:right w:val="nil"/>
            </w:tcBorders>
            <w:shd w:val="clear" w:color="auto" w:fill="auto"/>
            <w:vAlign w:val="bottom"/>
            <w:hideMark/>
          </w:tcPr>
          <w:p w14:paraId="775444CE" w14:textId="77777777" w:rsidR="006A6248" w:rsidRPr="006A6248" w:rsidRDefault="006A6248" w:rsidP="006A6248">
            <w:pPr>
              <w:spacing w:after="0" w:line="240" w:lineRule="auto"/>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 xml:space="preserve">Нето-приходи/(расходи) од тргување </w:t>
            </w:r>
          </w:p>
        </w:tc>
        <w:tc>
          <w:tcPr>
            <w:tcW w:w="960" w:type="dxa"/>
            <w:tcBorders>
              <w:top w:val="nil"/>
              <w:left w:val="nil"/>
              <w:bottom w:val="nil"/>
              <w:right w:val="nil"/>
            </w:tcBorders>
            <w:shd w:val="clear" w:color="auto" w:fill="auto"/>
            <w:noWrap/>
            <w:vAlign w:val="center"/>
            <w:hideMark/>
          </w:tcPr>
          <w:p w14:paraId="76E099B4" w14:textId="77777777" w:rsidR="006A6248" w:rsidRPr="006A6248" w:rsidRDefault="006A6248" w:rsidP="006A6248">
            <w:pPr>
              <w:spacing w:after="0" w:line="240" w:lineRule="auto"/>
              <w:jc w:val="center"/>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8</w:t>
            </w:r>
          </w:p>
        </w:tc>
        <w:tc>
          <w:tcPr>
            <w:tcW w:w="180" w:type="dxa"/>
            <w:tcBorders>
              <w:top w:val="nil"/>
              <w:left w:val="nil"/>
              <w:bottom w:val="nil"/>
              <w:right w:val="nil"/>
            </w:tcBorders>
            <w:shd w:val="clear" w:color="auto" w:fill="auto"/>
            <w:vAlign w:val="bottom"/>
            <w:hideMark/>
          </w:tcPr>
          <w:p w14:paraId="21758CCC" w14:textId="77777777" w:rsidR="006A6248" w:rsidRPr="006A6248" w:rsidRDefault="006A6248" w:rsidP="006A6248">
            <w:pPr>
              <w:spacing w:after="0" w:line="240" w:lineRule="auto"/>
              <w:jc w:val="center"/>
              <w:rPr>
                <w:rFonts w:ascii="Times New Roman" w:eastAsia="Times New Roman" w:hAnsi="Times New Roman"/>
                <w:sz w:val="21"/>
                <w:szCs w:val="21"/>
                <w:lang w:val="mk-MK" w:eastAsia="mk-MK"/>
              </w:rPr>
            </w:pPr>
          </w:p>
        </w:tc>
        <w:tc>
          <w:tcPr>
            <w:tcW w:w="1600" w:type="dxa"/>
            <w:tcBorders>
              <w:top w:val="nil"/>
              <w:left w:val="nil"/>
              <w:bottom w:val="nil"/>
              <w:right w:val="nil"/>
            </w:tcBorders>
            <w:shd w:val="clear" w:color="auto" w:fill="auto"/>
            <w:noWrap/>
            <w:vAlign w:val="center"/>
            <w:hideMark/>
          </w:tcPr>
          <w:p w14:paraId="35A73212" w14:textId="77777777" w:rsidR="006A6248" w:rsidRPr="006A6248" w:rsidRDefault="006A6248" w:rsidP="006A6248">
            <w:pPr>
              <w:spacing w:after="0" w:line="240" w:lineRule="auto"/>
              <w:jc w:val="right"/>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 xml:space="preserve">                     26 </w:t>
            </w:r>
          </w:p>
        </w:tc>
        <w:tc>
          <w:tcPr>
            <w:tcW w:w="180" w:type="dxa"/>
            <w:tcBorders>
              <w:top w:val="nil"/>
              <w:left w:val="nil"/>
              <w:bottom w:val="nil"/>
              <w:right w:val="nil"/>
            </w:tcBorders>
            <w:shd w:val="clear" w:color="auto" w:fill="auto"/>
            <w:noWrap/>
            <w:vAlign w:val="center"/>
            <w:hideMark/>
          </w:tcPr>
          <w:p w14:paraId="6A38ACB6" w14:textId="77777777" w:rsidR="006A6248" w:rsidRPr="006A6248" w:rsidRDefault="006A6248" w:rsidP="006A6248">
            <w:pPr>
              <w:spacing w:after="0" w:line="240" w:lineRule="auto"/>
              <w:jc w:val="right"/>
              <w:rPr>
                <w:rFonts w:ascii="Times New Roman" w:eastAsia="Times New Roman" w:hAnsi="Times New Roman"/>
                <w:sz w:val="21"/>
                <w:szCs w:val="21"/>
                <w:lang w:val="mk-MK" w:eastAsia="mk-MK"/>
              </w:rPr>
            </w:pPr>
          </w:p>
        </w:tc>
        <w:tc>
          <w:tcPr>
            <w:tcW w:w="1300" w:type="dxa"/>
            <w:tcBorders>
              <w:top w:val="nil"/>
              <w:left w:val="nil"/>
              <w:bottom w:val="nil"/>
              <w:right w:val="nil"/>
            </w:tcBorders>
            <w:shd w:val="clear" w:color="auto" w:fill="auto"/>
            <w:noWrap/>
            <w:vAlign w:val="center"/>
            <w:hideMark/>
          </w:tcPr>
          <w:p w14:paraId="1B46A999" w14:textId="77777777" w:rsidR="006A6248" w:rsidRPr="006A6248" w:rsidRDefault="006A6248" w:rsidP="006A6248">
            <w:pPr>
              <w:spacing w:after="0" w:line="240" w:lineRule="auto"/>
              <w:jc w:val="right"/>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 xml:space="preserve">            (696)</w:t>
            </w:r>
          </w:p>
        </w:tc>
      </w:tr>
      <w:tr w:rsidR="006A6248" w:rsidRPr="006A6248" w14:paraId="37905352" w14:textId="77777777" w:rsidTr="006A6248">
        <w:trPr>
          <w:trHeight w:val="555"/>
        </w:trPr>
        <w:tc>
          <w:tcPr>
            <w:tcW w:w="5240" w:type="dxa"/>
            <w:tcBorders>
              <w:top w:val="nil"/>
              <w:left w:val="nil"/>
              <w:bottom w:val="nil"/>
              <w:right w:val="nil"/>
            </w:tcBorders>
            <w:shd w:val="clear" w:color="auto" w:fill="auto"/>
            <w:vAlign w:val="bottom"/>
            <w:hideMark/>
          </w:tcPr>
          <w:p w14:paraId="6C432956" w14:textId="77777777" w:rsidR="006A6248" w:rsidRPr="006A6248" w:rsidRDefault="006A6248" w:rsidP="006A6248">
            <w:pPr>
              <w:spacing w:after="0" w:line="240" w:lineRule="auto"/>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Нето-приходи од други финансиски инструменти евидентирани по објективна вредност</w:t>
            </w:r>
          </w:p>
        </w:tc>
        <w:tc>
          <w:tcPr>
            <w:tcW w:w="960" w:type="dxa"/>
            <w:tcBorders>
              <w:top w:val="nil"/>
              <w:left w:val="nil"/>
              <w:bottom w:val="nil"/>
              <w:right w:val="nil"/>
            </w:tcBorders>
            <w:shd w:val="clear" w:color="auto" w:fill="auto"/>
            <w:noWrap/>
            <w:vAlign w:val="center"/>
            <w:hideMark/>
          </w:tcPr>
          <w:p w14:paraId="6795B44A" w14:textId="77777777" w:rsidR="006A6248" w:rsidRPr="006A6248" w:rsidRDefault="006A6248" w:rsidP="006A6248">
            <w:pPr>
              <w:spacing w:after="0" w:line="240" w:lineRule="auto"/>
              <w:jc w:val="center"/>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9</w:t>
            </w:r>
          </w:p>
        </w:tc>
        <w:tc>
          <w:tcPr>
            <w:tcW w:w="180" w:type="dxa"/>
            <w:tcBorders>
              <w:top w:val="nil"/>
              <w:left w:val="nil"/>
              <w:bottom w:val="nil"/>
              <w:right w:val="nil"/>
            </w:tcBorders>
            <w:shd w:val="clear" w:color="auto" w:fill="auto"/>
            <w:vAlign w:val="bottom"/>
            <w:hideMark/>
          </w:tcPr>
          <w:p w14:paraId="75325D69" w14:textId="77777777" w:rsidR="006A6248" w:rsidRPr="006A6248" w:rsidRDefault="006A6248" w:rsidP="006A6248">
            <w:pPr>
              <w:spacing w:after="0" w:line="240" w:lineRule="auto"/>
              <w:jc w:val="center"/>
              <w:rPr>
                <w:rFonts w:ascii="Times New Roman" w:eastAsia="Times New Roman" w:hAnsi="Times New Roman"/>
                <w:sz w:val="21"/>
                <w:szCs w:val="21"/>
                <w:lang w:val="mk-MK" w:eastAsia="mk-MK"/>
              </w:rPr>
            </w:pPr>
          </w:p>
        </w:tc>
        <w:tc>
          <w:tcPr>
            <w:tcW w:w="1600" w:type="dxa"/>
            <w:tcBorders>
              <w:top w:val="nil"/>
              <w:left w:val="nil"/>
              <w:bottom w:val="nil"/>
              <w:right w:val="nil"/>
            </w:tcBorders>
            <w:shd w:val="clear" w:color="auto" w:fill="auto"/>
            <w:noWrap/>
            <w:vAlign w:val="center"/>
            <w:hideMark/>
          </w:tcPr>
          <w:p w14:paraId="28367FE1" w14:textId="77777777" w:rsidR="006A6248" w:rsidRPr="006A6248" w:rsidRDefault="006A6248" w:rsidP="006A6248">
            <w:pPr>
              <w:spacing w:after="0" w:line="240" w:lineRule="auto"/>
              <w:jc w:val="center"/>
              <w:rPr>
                <w:rFonts w:ascii="Times New Roman" w:eastAsia="Times New Roman" w:hAnsi="Times New Roman"/>
                <w:sz w:val="20"/>
                <w:szCs w:val="20"/>
                <w:lang w:val="mk-MK" w:eastAsia="mk-MK"/>
              </w:rPr>
            </w:pPr>
          </w:p>
        </w:tc>
        <w:tc>
          <w:tcPr>
            <w:tcW w:w="180" w:type="dxa"/>
            <w:tcBorders>
              <w:top w:val="nil"/>
              <w:left w:val="nil"/>
              <w:bottom w:val="nil"/>
              <w:right w:val="nil"/>
            </w:tcBorders>
            <w:shd w:val="clear" w:color="auto" w:fill="auto"/>
            <w:noWrap/>
            <w:vAlign w:val="center"/>
            <w:hideMark/>
          </w:tcPr>
          <w:p w14:paraId="4DD4A298" w14:textId="77777777" w:rsidR="006A6248" w:rsidRPr="006A6248" w:rsidRDefault="006A6248" w:rsidP="006A6248">
            <w:pPr>
              <w:spacing w:after="0" w:line="240" w:lineRule="auto"/>
              <w:jc w:val="right"/>
              <w:rPr>
                <w:rFonts w:ascii="Times New Roman" w:eastAsia="Times New Roman" w:hAnsi="Times New Roman"/>
                <w:sz w:val="20"/>
                <w:szCs w:val="20"/>
                <w:lang w:val="mk-MK" w:eastAsia="mk-MK"/>
              </w:rPr>
            </w:pPr>
          </w:p>
        </w:tc>
        <w:tc>
          <w:tcPr>
            <w:tcW w:w="1300" w:type="dxa"/>
            <w:tcBorders>
              <w:top w:val="nil"/>
              <w:left w:val="nil"/>
              <w:bottom w:val="nil"/>
              <w:right w:val="nil"/>
            </w:tcBorders>
            <w:shd w:val="clear" w:color="auto" w:fill="auto"/>
            <w:noWrap/>
            <w:vAlign w:val="center"/>
            <w:hideMark/>
          </w:tcPr>
          <w:p w14:paraId="716E8279" w14:textId="77777777" w:rsidR="006A6248" w:rsidRPr="006A6248" w:rsidRDefault="006A6248" w:rsidP="006A6248">
            <w:pPr>
              <w:spacing w:after="0" w:line="240" w:lineRule="auto"/>
              <w:jc w:val="right"/>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 xml:space="preserve">                -   </w:t>
            </w:r>
          </w:p>
        </w:tc>
      </w:tr>
      <w:tr w:rsidR="006A6248" w:rsidRPr="006A6248" w14:paraId="592322A6" w14:textId="77777777" w:rsidTr="006A6248">
        <w:trPr>
          <w:trHeight w:val="300"/>
        </w:trPr>
        <w:tc>
          <w:tcPr>
            <w:tcW w:w="5240" w:type="dxa"/>
            <w:tcBorders>
              <w:top w:val="nil"/>
              <w:left w:val="nil"/>
              <w:bottom w:val="nil"/>
              <w:right w:val="nil"/>
            </w:tcBorders>
            <w:shd w:val="clear" w:color="auto" w:fill="auto"/>
            <w:vAlign w:val="bottom"/>
            <w:hideMark/>
          </w:tcPr>
          <w:p w14:paraId="36D931E7" w14:textId="77777777" w:rsidR="006A6248" w:rsidRPr="006A6248" w:rsidRDefault="006A6248" w:rsidP="006A6248">
            <w:pPr>
              <w:spacing w:after="0" w:line="240" w:lineRule="auto"/>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 xml:space="preserve">Нето-приходи/(расходи) од курсни разлики </w:t>
            </w:r>
          </w:p>
        </w:tc>
        <w:tc>
          <w:tcPr>
            <w:tcW w:w="960" w:type="dxa"/>
            <w:tcBorders>
              <w:top w:val="nil"/>
              <w:left w:val="nil"/>
              <w:bottom w:val="nil"/>
              <w:right w:val="nil"/>
            </w:tcBorders>
            <w:shd w:val="clear" w:color="auto" w:fill="auto"/>
            <w:noWrap/>
            <w:vAlign w:val="center"/>
            <w:hideMark/>
          </w:tcPr>
          <w:p w14:paraId="455C3ED6" w14:textId="77777777" w:rsidR="006A6248" w:rsidRPr="006A6248" w:rsidRDefault="006A6248" w:rsidP="006A6248">
            <w:pPr>
              <w:spacing w:after="0" w:line="240" w:lineRule="auto"/>
              <w:jc w:val="center"/>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10</w:t>
            </w:r>
          </w:p>
        </w:tc>
        <w:tc>
          <w:tcPr>
            <w:tcW w:w="180" w:type="dxa"/>
            <w:tcBorders>
              <w:top w:val="nil"/>
              <w:left w:val="nil"/>
              <w:bottom w:val="nil"/>
              <w:right w:val="nil"/>
            </w:tcBorders>
            <w:shd w:val="clear" w:color="auto" w:fill="auto"/>
            <w:vAlign w:val="bottom"/>
            <w:hideMark/>
          </w:tcPr>
          <w:p w14:paraId="7EE3825D" w14:textId="77777777" w:rsidR="006A6248" w:rsidRPr="006A6248" w:rsidRDefault="006A6248" w:rsidP="006A6248">
            <w:pPr>
              <w:spacing w:after="0" w:line="240" w:lineRule="auto"/>
              <w:jc w:val="center"/>
              <w:rPr>
                <w:rFonts w:ascii="Times New Roman" w:eastAsia="Times New Roman" w:hAnsi="Times New Roman"/>
                <w:sz w:val="21"/>
                <w:szCs w:val="21"/>
                <w:lang w:val="mk-MK" w:eastAsia="mk-MK"/>
              </w:rPr>
            </w:pPr>
          </w:p>
        </w:tc>
        <w:tc>
          <w:tcPr>
            <w:tcW w:w="1600" w:type="dxa"/>
            <w:tcBorders>
              <w:top w:val="nil"/>
              <w:left w:val="nil"/>
              <w:bottom w:val="nil"/>
              <w:right w:val="nil"/>
            </w:tcBorders>
            <w:shd w:val="clear" w:color="auto" w:fill="auto"/>
            <w:noWrap/>
            <w:vAlign w:val="center"/>
            <w:hideMark/>
          </w:tcPr>
          <w:p w14:paraId="790D15D4" w14:textId="77777777" w:rsidR="006A6248" w:rsidRPr="006A6248" w:rsidRDefault="006A6248" w:rsidP="006A6248">
            <w:pPr>
              <w:spacing w:after="0" w:line="240" w:lineRule="auto"/>
              <w:jc w:val="right"/>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 xml:space="preserve">             157.425 </w:t>
            </w:r>
          </w:p>
        </w:tc>
        <w:tc>
          <w:tcPr>
            <w:tcW w:w="180" w:type="dxa"/>
            <w:tcBorders>
              <w:top w:val="nil"/>
              <w:left w:val="nil"/>
              <w:bottom w:val="nil"/>
              <w:right w:val="nil"/>
            </w:tcBorders>
            <w:shd w:val="clear" w:color="auto" w:fill="auto"/>
            <w:noWrap/>
            <w:vAlign w:val="center"/>
            <w:hideMark/>
          </w:tcPr>
          <w:p w14:paraId="060B6386" w14:textId="77777777" w:rsidR="006A6248" w:rsidRPr="006A6248" w:rsidRDefault="006A6248" w:rsidP="006A6248">
            <w:pPr>
              <w:spacing w:after="0" w:line="240" w:lineRule="auto"/>
              <w:jc w:val="right"/>
              <w:rPr>
                <w:rFonts w:ascii="Times New Roman" w:eastAsia="Times New Roman" w:hAnsi="Times New Roman"/>
                <w:sz w:val="21"/>
                <w:szCs w:val="21"/>
                <w:lang w:val="mk-MK" w:eastAsia="mk-MK"/>
              </w:rPr>
            </w:pPr>
          </w:p>
        </w:tc>
        <w:tc>
          <w:tcPr>
            <w:tcW w:w="1300" w:type="dxa"/>
            <w:tcBorders>
              <w:top w:val="nil"/>
              <w:left w:val="nil"/>
              <w:bottom w:val="nil"/>
              <w:right w:val="nil"/>
            </w:tcBorders>
            <w:shd w:val="clear" w:color="auto" w:fill="auto"/>
            <w:noWrap/>
            <w:vAlign w:val="center"/>
            <w:hideMark/>
          </w:tcPr>
          <w:p w14:paraId="7DF5C8BE" w14:textId="77777777" w:rsidR="006A6248" w:rsidRPr="006A6248" w:rsidRDefault="006A6248" w:rsidP="006A6248">
            <w:pPr>
              <w:spacing w:after="0" w:line="240" w:lineRule="auto"/>
              <w:jc w:val="right"/>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 xml:space="preserve">        110.078 </w:t>
            </w:r>
          </w:p>
        </w:tc>
      </w:tr>
      <w:tr w:rsidR="006A6248" w:rsidRPr="006A6248" w14:paraId="70662329" w14:textId="77777777" w:rsidTr="006A6248">
        <w:trPr>
          <w:trHeight w:val="300"/>
        </w:trPr>
        <w:tc>
          <w:tcPr>
            <w:tcW w:w="5240" w:type="dxa"/>
            <w:tcBorders>
              <w:top w:val="nil"/>
              <w:left w:val="nil"/>
              <w:bottom w:val="nil"/>
              <w:right w:val="nil"/>
            </w:tcBorders>
            <w:shd w:val="clear" w:color="auto" w:fill="auto"/>
            <w:vAlign w:val="bottom"/>
            <w:hideMark/>
          </w:tcPr>
          <w:p w14:paraId="33F51D70" w14:textId="77777777" w:rsidR="006A6248" w:rsidRPr="006A6248" w:rsidRDefault="006A6248" w:rsidP="006A6248">
            <w:pPr>
              <w:spacing w:after="0" w:line="240" w:lineRule="auto"/>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Останати приходи од дејноста</w:t>
            </w:r>
          </w:p>
        </w:tc>
        <w:tc>
          <w:tcPr>
            <w:tcW w:w="960" w:type="dxa"/>
            <w:tcBorders>
              <w:top w:val="nil"/>
              <w:left w:val="nil"/>
              <w:bottom w:val="nil"/>
              <w:right w:val="nil"/>
            </w:tcBorders>
            <w:shd w:val="clear" w:color="auto" w:fill="auto"/>
            <w:noWrap/>
            <w:vAlign w:val="center"/>
            <w:hideMark/>
          </w:tcPr>
          <w:p w14:paraId="5D771113" w14:textId="77777777" w:rsidR="006A6248" w:rsidRPr="006A6248" w:rsidRDefault="006A6248" w:rsidP="006A6248">
            <w:pPr>
              <w:spacing w:after="0" w:line="240" w:lineRule="auto"/>
              <w:jc w:val="center"/>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11</w:t>
            </w:r>
          </w:p>
        </w:tc>
        <w:tc>
          <w:tcPr>
            <w:tcW w:w="180" w:type="dxa"/>
            <w:tcBorders>
              <w:top w:val="nil"/>
              <w:left w:val="nil"/>
              <w:bottom w:val="nil"/>
              <w:right w:val="nil"/>
            </w:tcBorders>
            <w:shd w:val="clear" w:color="auto" w:fill="auto"/>
            <w:vAlign w:val="bottom"/>
            <w:hideMark/>
          </w:tcPr>
          <w:p w14:paraId="3BD6F95E" w14:textId="77777777" w:rsidR="006A6248" w:rsidRPr="006A6248" w:rsidRDefault="006A6248" w:rsidP="006A6248">
            <w:pPr>
              <w:spacing w:after="0" w:line="240" w:lineRule="auto"/>
              <w:jc w:val="center"/>
              <w:rPr>
                <w:rFonts w:ascii="Times New Roman" w:eastAsia="Times New Roman" w:hAnsi="Times New Roman"/>
                <w:sz w:val="21"/>
                <w:szCs w:val="21"/>
                <w:lang w:val="mk-MK" w:eastAsia="mk-MK"/>
              </w:rPr>
            </w:pPr>
          </w:p>
        </w:tc>
        <w:tc>
          <w:tcPr>
            <w:tcW w:w="1600" w:type="dxa"/>
            <w:tcBorders>
              <w:top w:val="nil"/>
              <w:left w:val="nil"/>
              <w:bottom w:val="nil"/>
              <w:right w:val="nil"/>
            </w:tcBorders>
            <w:shd w:val="clear" w:color="auto" w:fill="auto"/>
            <w:noWrap/>
            <w:vAlign w:val="center"/>
            <w:hideMark/>
          </w:tcPr>
          <w:p w14:paraId="41296177" w14:textId="77777777" w:rsidR="006A6248" w:rsidRPr="006A6248" w:rsidRDefault="006A6248" w:rsidP="006A6248">
            <w:pPr>
              <w:spacing w:after="0" w:line="240" w:lineRule="auto"/>
              <w:jc w:val="right"/>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 xml:space="preserve">             594.926 </w:t>
            </w:r>
          </w:p>
        </w:tc>
        <w:tc>
          <w:tcPr>
            <w:tcW w:w="180" w:type="dxa"/>
            <w:tcBorders>
              <w:top w:val="nil"/>
              <w:left w:val="nil"/>
              <w:bottom w:val="nil"/>
              <w:right w:val="nil"/>
            </w:tcBorders>
            <w:shd w:val="clear" w:color="auto" w:fill="auto"/>
            <w:noWrap/>
            <w:vAlign w:val="center"/>
            <w:hideMark/>
          </w:tcPr>
          <w:p w14:paraId="6B8CF5A8" w14:textId="77777777" w:rsidR="006A6248" w:rsidRPr="006A6248" w:rsidRDefault="006A6248" w:rsidP="006A6248">
            <w:pPr>
              <w:spacing w:after="0" w:line="240" w:lineRule="auto"/>
              <w:jc w:val="right"/>
              <w:rPr>
                <w:rFonts w:ascii="Times New Roman" w:eastAsia="Times New Roman" w:hAnsi="Times New Roman"/>
                <w:sz w:val="21"/>
                <w:szCs w:val="21"/>
                <w:lang w:val="mk-MK" w:eastAsia="mk-MK"/>
              </w:rPr>
            </w:pPr>
          </w:p>
        </w:tc>
        <w:tc>
          <w:tcPr>
            <w:tcW w:w="1300" w:type="dxa"/>
            <w:tcBorders>
              <w:top w:val="nil"/>
              <w:left w:val="nil"/>
              <w:bottom w:val="nil"/>
              <w:right w:val="nil"/>
            </w:tcBorders>
            <w:shd w:val="clear" w:color="auto" w:fill="auto"/>
            <w:noWrap/>
            <w:vAlign w:val="center"/>
            <w:hideMark/>
          </w:tcPr>
          <w:p w14:paraId="19B92FA9" w14:textId="77777777" w:rsidR="006A6248" w:rsidRPr="006A6248" w:rsidRDefault="006A6248" w:rsidP="006A6248">
            <w:pPr>
              <w:spacing w:after="0" w:line="240" w:lineRule="auto"/>
              <w:jc w:val="right"/>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 xml:space="preserve">        463.221 </w:t>
            </w:r>
          </w:p>
        </w:tc>
      </w:tr>
      <w:tr w:rsidR="006A6248" w:rsidRPr="006A6248" w14:paraId="273065FA" w14:textId="77777777" w:rsidTr="006A6248">
        <w:trPr>
          <w:trHeight w:val="300"/>
        </w:trPr>
        <w:tc>
          <w:tcPr>
            <w:tcW w:w="5240" w:type="dxa"/>
            <w:tcBorders>
              <w:top w:val="nil"/>
              <w:left w:val="nil"/>
              <w:bottom w:val="nil"/>
              <w:right w:val="nil"/>
            </w:tcBorders>
            <w:shd w:val="clear" w:color="auto" w:fill="auto"/>
            <w:vAlign w:val="bottom"/>
            <w:hideMark/>
          </w:tcPr>
          <w:p w14:paraId="195FC1A6" w14:textId="77777777" w:rsidR="006A6248" w:rsidRPr="006A6248" w:rsidRDefault="006A6248" w:rsidP="006A6248">
            <w:pPr>
              <w:spacing w:after="0" w:line="240" w:lineRule="auto"/>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Удел во добивката на придружените друштва</w:t>
            </w:r>
          </w:p>
        </w:tc>
        <w:tc>
          <w:tcPr>
            <w:tcW w:w="960" w:type="dxa"/>
            <w:tcBorders>
              <w:top w:val="nil"/>
              <w:left w:val="nil"/>
              <w:bottom w:val="nil"/>
              <w:right w:val="nil"/>
            </w:tcBorders>
            <w:shd w:val="clear" w:color="auto" w:fill="auto"/>
            <w:noWrap/>
            <w:vAlign w:val="center"/>
            <w:hideMark/>
          </w:tcPr>
          <w:p w14:paraId="0994CA8F" w14:textId="77777777" w:rsidR="006A6248" w:rsidRPr="006A6248" w:rsidRDefault="006A6248" w:rsidP="006A6248">
            <w:pPr>
              <w:spacing w:after="0" w:line="240" w:lineRule="auto"/>
              <w:jc w:val="center"/>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24</w:t>
            </w:r>
          </w:p>
        </w:tc>
        <w:tc>
          <w:tcPr>
            <w:tcW w:w="180" w:type="dxa"/>
            <w:tcBorders>
              <w:top w:val="nil"/>
              <w:left w:val="nil"/>
              <w:bottom w:val="nil"/>
              <w:right w:val="nil"/>
            </w:tcBorders>
            <w:shd w:val="clear" w:color="auto" w:fill="auto"/>
            <w:vAlign w:val="bottom"/>
            <w:hideMark/>
          </w:tcPr>
          <w:p w14:paraId="2C2B8DD7" w14:textId="77777777" w:rsidR="006A6248" w:rsidRPr="006A6248" w:rsidRDefault="006A6248" w:rsidP="006A6248">
            <w:pPr>
              <w:spacing w:after="0" w:line="240" w:lineRule="auto"/>
              <w:jc w:val="center"/>
              <w:rPr>
                <w:rFonts w:ascii="Times New Roman" w:eastAsia="Times New Roman" w:hAnsi="Times New Roman"/>
                <w:sz w:val="21"/>
                <w:szCs w:val="21"/>
                <w:lang w:val="mk-MK" w:eastAsia="mk-MK"/>
              </w:rPr>
            </w:pPr>
          </w:p>
        </w:tc>
        <w:tc>
          <w:tcPr>
            <w:tcW w:w="1600" w:type="dxa"/>
            <w:tcBorders>
              <w:top w:val="nil"/>
              <w:left w:val="nil"/>
              <w:bottom w:val="nil"/>
              <w:right w:val="nil"/>
            </w:tcBorders>
            <w:shd w:val="clear" w:color="auto" w:fill="auto"/>
            <w:noWrap/>
            <w:vAlign w:val="center"/>
            <w:hideMark/>
          </w:tcPr>
          <w:p w14:paraId="1DED4C4C" w14:textId="77777777" w:rsidR="006A6248" w:rsidRPr="006A6248" w:rsidRDefault="006A6248" w:rsidP="006A6248">
            <w:pPr>
              <w:spacing w:after="0" w:line="240" w:lineRule="auto"/>
              <w:jc w:val="center"/>
              <w:rPr>
                <w:rFonts w:ascii="Times New Roman" w:eastAsia="Times New Roman" w:hAnsi="Times New Roman"/>
                <w:sz w:val="20"/>
                <w:szCs w:val="20"/>
                <w:lang w:val="mk-MK" w:eastAsia="mk-MK"/>
              </w:rPr>
            </w:pPr>
          </w:p>
        </w:tc>
        <w:tc>
          <w:tcPr>
            <w:tcW w:w="180" w:type="dxa"/>
            <w:tcBorders>
              <w:top w:val="nil"/>
              <w:left w:val="nil"/>
              <w:bottom w:val="nil"/>
              <w:right w:val="nil"/>
            </w:tcBorders>
            <w:shd w:val="clear" w:color="auto" w:fill="auto"/>
            <w:noWrap/>
            <w:vAlign w:val="center"/>
            <w:hideMark/>
          </w:tcPr>
          <w:p w14:paraId="3394B542" w14:textId="77777777" w:rsidR="006A6248" w:rsidRPr="006A6248" w:rsidRDefault="006A6248" w:rsidP="006A6248">
            <w:pPr>
              <w:spacing w:after="0" w:line="240" w:lineRule="auto"/>
              <w:jc w:val="right"/>
              <w:rPr>
                <w:rFonts w:ascii="Times New Roman" w:eastAsia="Times New Roman" w:hAnsi="Times New Roman"/>
                <w:sz w:val="20"/>
                <w:szCs w:val="20"/>
                <w:lang w:val="mk-MK" w:eastAsia="mk-MK"/>
              </w:rPr>
            </w:pPr>
          </w:p>
        </w:tc>
        <w:tc>
          <w:tcPr>
            <w:tcW w:w="1300" w:type="dxa"/>
            <w:tcBorders>
              <w:top w:val="nil"/>
              <w:left w:val="nil"/>
              <w:bottom w:val="nil"/>
              <w:right w:val="nil"/>
            </w:tcBorders>
            <w:shd w:val="clear" w:color="auto" w:fill="auto"/>
            <w:noWrap/>
            <w:vAlign w:val="center"/>
            <w:hideMark/>
          </w:tcPr>
          <w:p w14:paraId="6AFA80E9" w14:textId="77777777" w:rsidR="006A6248" w:rsidRPr="006A6248" w:rsidRDefault="006A6248" w:rsidP="006A6248">
            <w:pPr>
              <w:spacing w:after="0" w:line="240" w:lineRule="auto"/>
              <w:jc w:val="right"/>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 xml:space="preserve">                -   </w:t>
            </w:r>
          </w:p>
        </w:tc>
      </w:tr>
      <w:tr w:rsidR="006A6248" w:rsidRPr="006A6248" w14:paraId="16908084" w14:textId="77777777" w:rsidTr="006A6248">
        <w:trPr>
          <w:trHeight w:val="825"/>
        </w:trPr>
        <w:tc>
          <w:tcPr>
            <w:tcW w:w="5240" w:type="dxa"/>
            <w:tcBorders>
              <w:top w:val="nil"/>
              <w:left w:val="nil"/>
              <w:bottom w:val="nil"/>
              <w:right w:val="nil"/>
            </w:tcBorders>
            <w:shd w:val="clear" w:color="auto" w:fill="auto"/>
            <w:vAlign w:val="bottom"/>
            <w:hideMark/>
          </w:tcPr>
          <w:p w14:paraId="06C50110" w14:textId="77777777" w:rsidR="006A6248" w:rsidRPr="006A6248" w:rsidRDefault="006A6248" w:rsidP="006A6248">
            <w:pPr>
              <w:spacing w:after="0" w:line="240" w:lineRule="auto"/>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Исправка на вредноста на финансиските средства и посебна резерва за вонбилансната изложеност, на нето-основа</w:t>
            </w:r>
          </w:p>
        </w:tc>
        <w:tc>
          <w:tcPr>
            <w:tcW w:w="960" w:type="dxa"/>
            <w:tcBorders>
              <w:top w:val="nil"/>
              <w:left w:val="nil"/>
              <w:bottom w:val="nil"/>
              <w:right w:val="nil"/>
            </w:tcBorders>
            <w:shd w:val="clear" w:color="auto" w:fill="auto"/>
            <w:noWrap/>
            <w:vAlign w:val="center"/>
            <w:hideMark/>
          </w:tcPr>
          <w:p w14:paraId="4EC6831A" w14:textId="77777777" w:rsidR="006A6248" w:rsidRPr="006A6248" w:rsidRDefault="006A6248" w:rsidP="006A6248">
            <w:pPr>
              <w:spacing w:after="0" w:line="240" w:lineRule="auto"/>
              <w:jc w:val="center"/>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12</w:t>
            </w:r>
          </w:p>
        </w:tc>
        <w:tc>
          <w:tcPr>
            <w:tcW w:w="180" w:type="dxa"/>
            <w:tcBorders>
              <w:top w:val="nil"/>
              <w:left w:val="nil"/>
              <w:bottom w:val="nil"/>
              <w:right w:val="nil"/>
            </w:tcBorders>
            <w:shd w:val="clear" w:color="auto" w:fill="auto"/>
            <w:vAlign w:val="bottom"/>
            <w:hideMark/>
          </w:tcPr>
          <w:p w14:paraId="30A05071" w14:textId="77777777" w:rsidR="006A6248" w:rsidRPr="006A6248" w:rsidRDefault="006A6248" w:rsidP="006A6248">
            <w:pPr>
              <w:spacing w:after="0" w:line="240" w:lineRule="auto"/>
              <w:jc w:val="center"/>
              <w:rPr>
                <w:rFonts w:ascii="Times New Roman" w:eastAsia="Times New Roman" w:hAnsi="Times New Roman"/>
                <w:sz w:val="21"/>
                <w:szCs w:val="21"/>
                <w:lang w:val="mk-MK" w:eastAsia="mk-MK"/>
              </w:rPr>
            </w:pPr>
          </w:p>
        </w:tc>
        <w:tc>
          <w:tcPr>
            <w:tcW w:w="1600" w:type="dxa"/>
            <w:tcBorders>
              <w:top w:val="nil"/>
              <w:left w:val="nil"/>
              <w:bottom w:val="nil"/>
              <w:right w:val="nil"/>
            </w:tcBorders>
            <w:shd w:val="clear" w:color="auto" w:fill="auto"/>
            <w:noWrap/>
            <w:vAlign w:val="center"/>
            <w:hideMark/>
          </w:tcPr>
          <w:p w14:paraId="113ACA48" w14:textId="77777777" w:rsidR="006A6248" w:rsidRPr="006A6248" w:rsidRDefault="006A6248" w:rsidP="006A6248">
            <w:pPr>
              <w:spacing w:after="0" w:line="240" w:lineRule="auto"/>
              <w:jc w:val="right"/>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 xml:space="preserve">        (1.234.098)</w:t>
            </w:r>
          </w:p>
        </w:tc>
        <w:tc>
          <w:tcPr>
            <w:tcW w:w="180" w:type="dxa"/>
            <w:tcBorders>
              <w:top w:val="nil"/>
              <w:left w:val="nil"/>
              <w:bottom w:val="nil"/>
              <w:right w:val="nil"/>
            </w:tcBorders>
            <w:shd w:val="clear" w:color="auto" w:fill="auto"/>
            <w:noWrap/>
            <w:vAlign w:val="center"/>
            <w:hideMark/>
          </w:tcPr>
          <w:p w14:paraId="176EEDB9" w14:textId="77777777" w:rsidR="006A6248" w:rsidRPr="006A6248" w:rsidRDefault="006A6248" w:rsidP="006A6248">
            <w:pPr>
              <w:spacing w:after="0" w:line="240" w:lineRule="auto"/>
              <w:jc w:val="right"/>
              <w:rPr>
                <w:rFonts w:ascii="Times New Roman" w:eastAsia="Times New Roman" w:hAnsi="Times New Roman"/>
                <w:sz w:val="21"/>
                <w:szCs w:val="21"/>
                <w:lang w:val="mk-MK" w:eastAsia="mk-MK"/>
              </w:rPr>
            </w:pPr>
          </w:p>
        </w:tc>
        <w:tc>
          <w:tcPr>
            <w:tcW w:w="1300" w:type="dxa"/>
            <w:tcBorders>
              <w:top w:val="nil"/>
              <w:left w:val="nil"/>
              <w:bottom w:val="nil"/>
              <w:right w:val="nil"/>
            </w:tcBorders>
            <w:shd w:val="clear" w:color="auto" w:fill="auto"/>
            <w:noWrap/>
            <w:vAlign w:val="center"/>
            <w:hideMark/>
          </w:tcPr>
          <w:p w14:paraId="15A28337" w14:textId="77777777" w:rsidR="006A6248" w:rsidRPr="006A6248" w:rsidRDefault="006A6248" w:rsidP="006A6248">
            <w:pPr>
              <w:spacing w:after="0" w:line="240" w:lineRule="auto"/>
              <w:jc w:val="right"/>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 xml:space="preserve">      (772.417)</w:t>
            </w:r>
          </w:p>
        </w:tc>
      </w:tr>
      <w:tr w:rsidR="006A6248" w:rsidRPr="006A6248" w14:paraId="30E9E028" w14:textId="77777777" w:rsidTr="006A6248">
        <w:trPr>
          <w:trHeight w:val="555"/>
        </w:trPr>
        <w:tc>
          <w:tcPr>
            <w:tcW w:w="5240" w:type="dxa"/>
            <w:tcBorders>
              <w:top w:val="nil"/>
              <w:left w:val="nil"/>
              <w:bottom w:val="nil"/>
              <w:right w:val="nil"/>
            </w:tcBorders>
            <w:shd w:val="clear" w:color="auto" w:fill="auto"/>
            <w:vAlign w:val="bottom"/>
            <w:hideMark/>
          </w:tcPr>
          <w:p w14:paraId="409F0FE2" w14:textId="77777777" w:rsidR="006A6248" w:rsidRPr="006A6248" w:rsidRDefault="006A6248" w:rsidP="006A6248">
            <w:pPr>
              <w:spacing w:after="0" w:line="240" w:lineRule="auto"/>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Загуба поради оштетување на нефинансиските  средства, на нето-основа</w:t>
            </w:r>
          </w:p>
        </w:tc>
        <w:tc>
          <w:tcPr>
            <w:tcW w:w="960" w:type="dxa"/>
            <w:tcBorders>
              <w:top w:val="nil"/>
              <w:left w:val="nil"/>
              <w:bottom w:val="nil"/>
              <w:right w:val="nil"/>
            </w:tcBorders>
            <w:shd w:val="clear" w:color="auto" w:fill="auto"/>
            <w:noWrap/>
            <w:vAlign w:val="center"/>
            <w:hideMark/>
          </w:tcPr>
          <w:p w14:paraId="31313954" w14:textId="77777777" w:rsidR="006A6248" w:rsidRPr="006A6248" w:rsidRDefault="006A6248" w:rsidP="006A6248">
            <w:pPr>
              <w:spacing w:after="0" w:line="240" w:lineRule="auto"/>
              <w:jc w:val="center"/>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13</w:t>
            </w:r>
          </w:p>
        </w:tc>
        <w:tc>
          <w:tcPr>
            <w:tcW w:w="180" w:type="dxa"/>
            <w:tcBorders>
              <w:top w:val="nil"/>
              <w:left w:val="nil"/>
              <w:bottom w:val="nil"/>
              <w:right w:val="nil"/>
            </w:tcBorders>
            <w:shd w:val="clear" w:color="auto" w:fill="auto"/>
            <w:vAlign w:val="bottom"/>
            <w:hideMark/>
          </w:tcPr>
          <w:p w14:paraId="48711864" w14:textId="77777777" w:rsidR="006A6248" w:rsidRPr="006A6248" w:rsidRDefault="006A6248" w:rsidP="006A6248">
            <w:pPr>
              <w:spacing w:after="0" w:line="240" w:lineRule="auto"/>
              <w:jc w:val="center"/>
              <w:rPr>
                <w:rFonts w:ascii="Times New Roman" w:eastAsia="Times New Roman" w:hAnsi="Times New Roman"/>
                <w:sz w:val="21"/>
                <w:szCs w:val="21"/>
                <w:lang w:val="mk-MK" w:eastAsia="mk-MK"/>
              </w:rPr>
            </w:pPr>
          </w:p>
        </w:tc>
        <w:tc>
          <w:tcPr>
            <w:tcW w:w="1600" w:type="dxa"/>
            <w:tcBorders>
              <w:top w:val="nil"/>
              <w:left w:val="nil"/>
              <w:bottom w:val="nil"/>
              <w:right w:val="nil"/>
            </w:tcBorders>
            <w:shd w:val="clear" w:color="auto" w:fill="auto"/>
            <w:noWrap/>
            <w:vAlign w:val="center"/>
            <w:hideMark/>
          </w:tcPr>
          <w:p w14:paraId="35C19C1B" w14:textId="77777777" w:rsidR="006A6248" w:rsidRPr="006A6248" w:rsidRDefault="006A6248" w:rsidP="006A6248">
            <w:pPr>
              <w:spacing w:after="0" w:line="240" w:lineRule="auto"/>
              <w:jc w:val="right"/>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 xml:space="preserve">             (27.112)</w:t>
            </w:r>
          </w:p>
        </w:tc>
        <w:tc>
          <w:tcPr>
            <w:tcW w:w="180" w:type="dxa"/>
            <w:tcBorders>
              <w:top w:val="nil"/>
              <w:left w:val="nil"/>
              <w:bottom w:val="nil"/>
              <w:right w:val="nil"/>
            </w:tcBorders>
            <w:shd w:val="clear" w:color="auto" w:fill="auto"/>
            <w:noWrap/>
            <w:vAlign w:val="center"/>
            <w:hideMark/>
          </w:tcPr>
          <w:p w14:paraId="5F8E813D" w14:textId="77777777" w:rsidR="006A6248" w:rsidRPr="006A6248" w:rsidRDefault="006A6248" w:rsidP="006A6248">
            <w:pPr>
              <w:spacing w:after="0" w:line="240" w:lineRule="auto"/>
              <w:jc w:val="right"/>
              <w:rPr>
                <w:rFonts w:ascii="Times New Roman" w:eastAsia="Times New Roman" w:hAnsi="Times New Roman"/>
                <w:sz w:val="21"/>
                <w:szCs w:val="21"/>
                <w:lang w:val="mk-MK" w:eastAsia="mk-MK"/>
              </w:rPr>
            </w:pPr>
          </w:p>
        </w:tc>
        <w:tc>
          <w:tcPr>
            <w:tcW w:w="1300" w:type="dxa"/>
            <w:tcBorders>
              <w:top w:val="nil"/>
              <w:left w:val="nil"/>
              <w:bottom w:val="nil"/>
              <w:right w:val="nil"/>
            </w:tcBorders>
            <w:shd w:val="clear" w:color="auto" w:fill="auto"/>
            <w:noWrap/>
            <w:vAlign w:val="center"/>
            <w:hideMark/>
          </w:tcPr>
          <w:p w14:paraId="7900DB4C" w14:textId="77777777" w:rsidR="006A6248" w:rsidRPr="006A6248" w:rsidRDefault="006A6248" w:rsidP="006A6248">
            <w:pPr>
              <w:spacing w:after="0" w:line="240" w:lineRule="auto"/>
              <w:jc w:val="right"/>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 xml:space="preserve">         65.774 </w:t>
            </w:r>
          </w:p>
        </w:tc>
      </w:tr>
      <w:tr w:rsidR="006A6248" w:rsidRPr="006A6248" w14:paraId="3E45E734" w14:textId="77777777" w:rsidTr="006A6248">
        <w:trPr>
          <w:trHeight w:val="300"/>
        </w:trPr>
        <w:tc>
          <w:tcPr>
            <w:tcW w:w="5240" w:type="dxa"/>
            <w:tcBorders>
              <w:top w:val="nil"/>
              <w:left w:val="nil"/>
              <w:bottom w:val="nil"/>
              <w:right w:val="nil"/>
            </w:tcBorders>
            <w:shd w:val="clear" w:color="auto" w:fill="auto"/>
            <w:vAlign w:val="bottom"/>
            <w:hideMark/>
          </w:tcPr>
          <w:p w14:paraId="17492797" w14:textId="77777777" w:rsidR="006A6248" w:rsidRPr="006A6248" w:rsidRDefault="006A6248" w:rsidP="006A6248">
            <w:pPr>
              <w:spacing w:after="0" w:line="240" w:lineRule="auto"/>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Трошоци за вработените</w:t>
            </w:r>
          </w:p>
        </w:tc>
        <w:tc>
          <w:tcPr>
            <w:tcW w:w="960" w:type="dxa"/>
            <w:tcBorders>
              <w:top w:val="nil"/>
              <w:left w:val="nil"/>
              <w:bottom w:val="nil"/>
              <w:right w:val="nil"/>
            </w:tcBorders>
            <w:shd w:val="clear" w:color="auto" w:fill="auto"/>
            <w:noWrap/>
            <w:vAlign w:val="center"/>
            <w:hideMark/>
          </w:tcPr>
          <w:p w14:paraId="6C808326" w14:textId="77777777" w:rsidR="006A6248" w:rsidRPr="006A6248" w:rsidRDefault="006A6248" w:rsidP="006A6248">
            <w:pPr>
              <w:spacing w:after="0" w:line="240" w:lineRule="auto"/>
              <w:jc w:val="center"/>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14</w:t>
            </w:r>
          </w:p>
        </w:tc>
        <w:tc>
          <w:tcPr>
            <w:tcW w:w="180" w:type="dxa"/>
            <w:tcBorders>
              <w:top w:val="nil"/>
              <w:left w:val="nil"/>
              <w:bottom w:val="nil"/>
              <w:right w:val="nil"/>
            </w:tcBorders>
            <w:shd w:val="clear" w:color="auto" w:fill="auto"/>
            <w:vAlign w:val="bottom"/>
            <w:hideMark/>
          </w:tcPr>
          <w:p w14:paraId="19344AF5" w14:textId="77777777" w:rsidR="006A6248" w:rsidRPr="006A6248" w:rsidRDefault="006A6248" w:rsidP="006A6248">
            <w:pPr>
              <w:spacing w:after="0" w:line="240" w:lineRule="auto"/>
              <w:jc w:val="center"/>
              <w:rPr>
                <w:rFonts w:ascii="Times New Roman" w:eastAsia="Times New Roman" w:hAnsi="Times New Roman"/>
                <w:sz w:val="21"/>
                <w:szCs w:val="21"/>
                <w:lang w:val="mk-MK" w:eastAsia="mk-MK"/>
              </w:rPr>
            </w:pPr>
          </w:p>
        </w:tc>
        <w:tc>
          <w:tcPr>
            <w:tcW w:w="1600" w:type="dxa"/>
            <w:tcBorders>
              <w:top w:val="nil"/>
              <w:left w:val="nil"/>
              <w:bottom w:val="nil"/>
              <w:right w:val="nil"/>
            </w:tcBorders>
            <w:shd w:val="clear" w:color="auto" w:fill="auto"/>
            <w:noWrap/>
            <w:vAlign w:val="center"/>
            <w:hideMark/>
          </w:tcPr>
          <w:p w14:paraId="062C601D" w14:textId="77777777" w:rsidR="006A6248" w:rsidRPr="006A6248" w:rsidRDefault="006A6248" w:rsidP="006A6248">
            <w:pPr>
              <w:spacing w:after="0" w:line="240" w:lineRule="auto"/>
              <w:jc w:val="right"/>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 xml:space="preserve">           (962.641)</w:t>
            </w:r>
          </w:p>
        </w:tc>
        <w:tc>
          <w:tcPr>
            <w:tcW w:w="180" w:type="dxa"/>
            <w:tcBorders>
              <w:top w:val="nil"/>
              <w:left w:val="nil"/>
              <w:bottom w:val="nil"/>
              <w:right w:val="nil"/>
            </w:tcBorders>
            <w:shd w:val="clear" w:color="auto" w:fill="auto"/>
            <w:noWrap/>
            <w:vAlign w:val="center"/>
            <w:hideMark/>
          </w:tcPr>
          <w:p w14:paraId="6F6FFA78" w14:textId="77777777" w:rsidR="006A6248" w:rsidRPr="006A6248" w:rsidRDefault="006A6248" w:rsidP="006A6248">
            <w:pPr>
              <w:spacing w:after="0" w:line="240" w:lineRule="auto"/>
              <w:jc w:val="right"/>
              <w:rPr>
                <w:rFonts w:ascii="Times New Roman" w:eastAsia="Times New Roman" w:hAnsi="Times New Roman"/>
                <w:sz w:val="21"/>
                <w:szCs w:val="21"/>
                <w:lang w:val="mk-MK" w:eastAsia="mk-MK"/>
              </w:rPr>
            </w:pPr>
          </w:p>
        </w:tc>
        <w:tc>
          <w:tcPr>
            <w:tcW w:w="1300" w:type="dxa"/>
            <w:tcBorders>
              <w:top w:val="nil"/>
              <w:left w:val="nil"/>
              <w:bottom w:val="nil"/>
              <w:right w:val="nil"/>
            </w:tcBorders>
            <w:shd w:val="clear" w:color="auto" w:fill="auto"/>
            <w:noWrap/>
            <w:vAlign w:val="center"/>
            <w:hideMark/>
          </w:tcPr>
          <w:p w14:paraId="35E8C7CE" w14:textId="77777777" w:rsidR="006A6248" w:rsidRPr="006A6248" w:rsidRDefault="006A6248" w:rsidP="006A6248">
            <w:pPr>
              <w:spacing w:after="0" w:line="240" w:lineRule="auto"/>
              <w:jc w:val="right"/>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 xml:space="preserve">      (890.490)</w:t>
            </w:r>
          </w:p>
        </w:tc>
      </w:tr>
      <w:tr w:rsidR="006A6248" w:rsidRPr="006A6248" w14:paraId="1F5298B6" w14:textId="77777777" w:rsidTr="006A6248">
        <w:trPr>
          <w:trHeight w:val="300"/>
        </w:trPr>
        <w:tc>
          <w:tcPr>
            <w:tcW w:w="5240" w:type="dxa"/>
            <w:tcBorders>
              <w:top w:val="nil"/>
              <w:left w:val="nil"/>
              <w:bottom w:val="nil"/>
              <w:right w:val="nil"/>
            </w:tcBorders>
            <w:shd w:val="clear" w:color="auto" w:fill="auto"/>
            <w:vAlign w:val="bottom"/>
            <w:hideMark/>
          </w:tcPr>
          <w:p w14:paraId="1AC386AA" w14:textId="77777777" w:rsidR="006A6248" w:rsidRPr="006A6248" w:rsidRDefault="006A6248" w:rsidP="006A6248">
            <w:pPr>
              <w:spacing w:after="0" w:line="240" w:lineRule="auto"/>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lastRenderedPageBreak/>
              <w:t>Амортизација</w:t>
            </w:r>
          </w:p>
        </w:tc>
        <w:tc>
          <w:tcPr>
            <w:tcW w:w="960" w:type="dxa"/>
            <w:tcBorders>
              <w:top w:val="nil"/>
              <w:left w:val="nil"/>
              <w:bottom w:val="nil"/>
              <w:right w:val="nil"/>
            </w:tcBorders>
            <w:shd w:val="clear" w:color="auto" w:fill="auto"/>
            <w:noWrap/>
            <w:vAlign w:val="center"/>
            <w:hideMark/>
          </w:tcPr>
          <w:p w14:paraId="5A11FA41" w14:textId="77777777" w:rsidR="006A6248" w:rsidRPr="006A6248" w:rsidRDefault="006A6248" w:rsidP="006A6248">
            <w:pPr>
              <w:spacing w:after="0" w:line="240" w:lineRule="auto"/>
              <w:jc w:val="center"/>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15</w:t>
            </w:r>
          </w:p>
        </w:tc>
        <w:tc>
          <w:tcPr>
            <w:tcW w:w="180" w:type="dxa"/>
            <w:tcBorders>
              <w:top w:val="nil"/>
              <w:left w:val="nil"/>
              <w:bottom w:val="nil"/>
              <w:right w:val="nil"/>
            </w:tcBorders>
            <w:shd w:val="clear" w:color="auto" w:fill="auto"/>
            <w:vAlign w:val="bottom"/>
            <w:hideMark/>
          </w:tcPr>
          <w:p w14:paraId="7EBA68ED" w14:textId="77777777" w:rsidR="006A6248" w:rsidRPr="006A6248" w:rsidRDefault="006A6248" w:rsidP="006A6248">
            <w:pPr>
              <w:spacing w:after="0" w:line="240" w:lineRule="auto"/>
              <w:jc w:val="center"/>
              <w:rPr>
                <w:rFonts w:ascii="Times New Roman" w:eastAsia="Times New Roman" w:hAnsi="Times New Roman"/>
                <w:sz w:val="21"/>
                <w:szCs w:val="21"/>
                <w:lang w:val="mk-MK" w:eastAsia="mk-MK"/>
              </w:rPr>
            </w:pPr>
          </w:p>
        </w:tc>
        <w:tc>
          <w:tcPr>
            <w:tcW w:w="1600" w:type="dxa"/>
            <w:tcBorders>
              <w:top w:val="nil"/>
              <w:left w:val="nil"/>
              <w:bottom w:val="nil"/>
              <w:right w:val="nil"/>
            </w:tcBorders>
            <w:shd w:val="clear" w:color="auto" w:fill="auto"/>
            <w:noWrap/>
            <w:vAlign w:val="center"/>
            <w:hideMark/>
          </w:tcPr>
          <w:p w14:paraId="505839B8" w14:textId="77777777" w:rsidR="006A6248" w:rsidRPr="006A6248" w:rsidRDefault="006A6248" w:rsidP="006A6248">
            <w:pPr>
              <w:spacing w:after="0" w:line="240" w:lineRule="auto"/>
              <w:jc w:val="right"/>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 xml:space="preserve">           (130.520)</w:t>
            </w:r>
          </w:p>
        </w:tc>
        <w:tc>
          <w:tcPr>
            <w:tcW w:w="180" w:type="dxa"/>
            <w:tcBorders>
              <w:top w:val="nil"/>
              <w:left w:val="nil"/>
              <w:bottom w:val="nil"/>
              <w:right w:val="nil"/>
            </w:tcBorders>
            <w:shd w:val="clear" w:color="auto" w:fill="auto"/>
            <w:noWrap/>
            <w:vAlign w:val="center"/>
            <w:hideMark/>
          </w:tcPr>
          <w:p w14:paraId="63AB17CA" w14:textId="77777777" w:rsidR="006A6248" w:rsidRPr="006A6248" w:rsidRDefault="006A6248" w:rsidP="006A6248">
            <w:pPr>
              <w:spacing w:after="0" w:line="240" w:lineRule="auto"/>
              <w:jc w:val="right"/>
              <w:rPr>
                <w:rFonts w:ascii="Times New Roman" w:eastAsia="Times New Roman" w:hAnsi="Times New Roman"/>
                <w:sz w:val="21"/>
                <w:szCs w:val="21"/>
                <w:lang w:val="mk-MK" w:eastAsia="mk-MK"/>
              </w:rPr>
            </w:pPr>
          </w:p>
        </w:tc>
        <w:tc>
          <w:tcPr>
            <w:tcW w:w="1300" w:type="dxa"/>
            <w:tcBorders>
              <w:top w:val="nil"/>
              <w:left w:val="nil"/>
              <w:bottom w:val="nil"/>
              <w:right w:val="nil"/>
            </w:tcBorders>
            <w:shd w:val="clear" w:color="auto" w:fill="auto"/>
            <w:noWrap/>
            <w:vAlign w:val="center"/>
            <w:hideMark/>
          </w:tcPr>
          <w:p w14:paraId="35BC9951" w14:textId="77777777" w:rsidR="006A6248" w:rsidRPr="006A6248" w:rsidRDefault="006A6248" w:rsidP="006A6248">
            <w:pPr>
              <w:spacing w:after="0" w:line="240" w:lineRule="auto"/>
              <w:jc w:val="right"/>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 xml:space="preserve">      (123.372)</w:t>
            </w:r>
          </w:p>
        </w:tc>
      </w:tr>
      <w:tr w:rsidR="006A6248" w:rsidRPr="006A6248" w14:paraId="241D4060" w14:textId="77777777" w:rsidTr="006A6248">
        <w:trPr>
          <w:trHeight w:val="300"/>
        </w:trPr>
        <w:tc>
          <w:tcPr>
            <w:tcW w:w="5240" w:type="dxa"/>
            <w:tcBorders>
              <w:top w:val="nil"/>
              <w:left w:val="nil"/>
              <w:bottom w:val="nil"/>
              <w:right w:val="nil"/>
            </w:tcBorders>
            <w:shd w:val="clear" w:color="auto" w:fill="auto"/>
            <w:vAlign w:val="bottom"/>
            <w:hideMark/>
          </w:tcPr>
          <w:p w14:paraId="3EB94141" w14:textId="77777777" w:rsidR="006A6248" w:rsidRPr="006A6248" w:rsidRDefault="006A6248" w:rsidP="006A6248">
            <w:pPr>
              <w:spacing w:after="0" w:line="240" w:lineRule="auto"/>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Останати расходи од дејноста</w:t>
            </w:r>
          </w:p>
        </w:tc>
        <w:tc>
          <w:tcPr>
            <w:tcW w:w="960" w:type="dxa"/>
            <w:tcBorders>
              <w:top w:val="nil"/>
              <w:left w:val="nil"/>
              <w:bottom w:val="nil"/>
              <w:right w:val="nil"/>
            </w:tcBorders>
            <w:shd w:val="clear" w:color="auto" w:fill="auto"/>
            <w:noWrap/>
            <w:vAlign w:val="center"/>
            <w:hideMark/>
          </w:tcPr>
          <w:p w14:paraId="64092ADC" w14:textId="77777777" w:rsidR="006A6248" w:rsidRPr="006A6248" w:rsidRDefault="006A6248" w:rsidP="006A6248">
            <w:pPr>
              <w:spacing w:after="0" w:line="240" w:lineRule="auto"/>
              <w:jc w:val="center"/>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16</w:t>
            </w:r>
          </w:p>
        </w:tc>
        <w:tc>
          <w:tcPr>
            <w:tcW w:w="180" w:type="dxa"/>
            <w:tcBorders>
              <w:top w:val="nil"/>
              <w:left w:val="nil"/>
              <w:bottom w:val="nil"/>
              <w:right w:val="nil"/>
            </w:tcBorders>
            <w:shd w:val="clear" w:color="auto" w:fill="auto"/>
            <w:vAlign w:val="bottom"/>
            <w:hideMark/>
          </w:tcPr>
          <w:p w14:paraId="4EBE285E" w14:textId="77777777" w:rsidR="006A6248" w:rsidRPr="006A6248" w:rsidRDefault="006A6248" w:rsidP="006A6248">
            <w:pPr>
              <w:spacing w:after="0" w:line="240" w:lineRule="auto"/>
              <w:jc w:val="center"/>
              <w:rPr>
                <w:rFonts w:ascii="Times New Roman" w:eastAsia="Times New Roman" w:hAnsi="Times New Roman"/>
                <w:sz w:val="21"/>
                <w:szCs w:val="21"/>
                <w:lang w:val="mk-MK" w:eastAsia="mk-MK"/>
              </w:rPr>
            </w:pPr>
          </w:p>
        </w:tc>
        <w:tc>
          <w:tcPr>
            <w:tcW w:w="1600" w:type="dxa"/>
            <w:tcBorders>
              <w:top w:val="nil"/>
              <w:left w:val="nil"/>
              <w:bottom w:val="nil"/>
              <w:right w:val="nil"/>
            </w:tcBorders>
            <w:shd w:val="clear" w:color="auto" w:fill="auto"/>
            <w:noWrap/>
            <w:vAlign w:val="center"/>
            <w:hideMark/>
          </w:tcPr>
          <w:p w14:paraId="701F6DF2" w14:textId="77777777" w:rsidR="006A6248" w:rsidRPr="006A6248" w:rsidRDefault="006A6248" w:rsidP="006A6248">
            <w:pPr>
              <w:spacing w:after="0" w:line="240" w:lineRule="auto"/>
              <w:jc w:val="right"/>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 xml:space="preserve">           (887.545)</w:t>
            </w:r>
          </w:p>
        </w:tc>
        <w:tc>
          <w:tcPr>
            <w:tcW w:w="180" w:type="dxa"/>
            <w:tcBorders>
              <w:top w:val="nil"/>
              <w:left w:val="nil"/>
              <w:bottom w:val="nil"/>
              <w:right w:val="nil"/>
            </w:tcBorders>
            <w:shd w:val="clear" w:color="auto" w:fill="auto"/>
            <w:noWrap/>
            <w:vAlign w:val="center"/>
            <w:hideMark/>
          </w:tcPr>
          <w:p w14:paraId="00C9C7EA" w14:textId="77777777" w:rsidR="006A6248" w:rsidRPr="006A6248" w:rsidRDefault="006A6248" w:rsidP="006A6248">
            <w:pPr>
              <w:spacing w:after="0" w:line="240" w:lineRule="auto"/>
              <w:jc w:val="right"/>
              <w:rPr>
                <w:rFonts w:ascii="Times New Roman" w:eastAsia="Times New Roman" w:hAnsi="Times New Roman"/>
                <w:sz w:val="21"/>
                <w:szCs w:val="21"/>
                <w:lang w:val="mk-MK" w:eastAsia="mk-MK"/>
              </w:rPr>
            </w:pPr>
          </w:p>
        </w:tc>
        <w:tc>
          <w:tcPr>
            <w:tcW w:w="1300" w:type="dxa"/>
            <w:tcBorders>
              <w:top w:val="nil"/>
              <w:left w:val="nil"/>
              <w:bottom w:val="nil"/>
              <w:right w:val="nil"/>
            </w:tcBorders>
            <w:shd w:val="clear" w:color="auto" w:fill="auto"/>
            <w:noWrap/>
            <w:vAlign w:val="center"/>
            <w:hideMark/>
          </w:tcPr>
          <w:p w14:paraId="58071E2B" w14:textId="77777777" w:rsidR="006A6248" w:rsidRPr="006A6248" w:rsidRDefault="006A6248" w:rsidP="006A6248">
            <w:pPr>
              <w:spacing w:after="0" w:line="240" w:lineRule="auto"/>
              <w:jc w:val="right"/>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 xml:space="preserve">      (798.796)</w:t>
            </w:r>
          </w:p>
        </w:tc>
      </w:tr>
      <w:tr w:rsidR="006A6248" w:rsidRPr="006A6248" w14:paraId="5C34A928" w14:textId="77777777" w:rsidTr="006A6248">
        <w:trPr>
          <w:trHeight w:val="300"/>
        </w:trPr>
        <w:tc>
          <w:tcPr>
            <w:tcW w:w="5240" w:type="dxa"/>
            <w:tcBorders>
              <w:top w:val="nil"/>
              <w:left w:val="nil"/>
              <w:bottom w:val="nil"/>
              <w:right w:val="nil"/>
            </w:tcBorders>
            <w:shd w:val="clear" w:color="auto" w:fill="auto"/>
            <w:vAlign w:val="bottom"/>
            <w:hideMark/>
          </w:tcPr>
          <w:p w14:paraId="113B5F45" w14:textId="77777777" w:rsidR="006A6248" w:rsidRPr="006A6248" w:rsidRDefault="006A6248" w:rsidP="006A6248">
            <w:pPr>
              <w:spacing w:after="0" w:line="240" w:lineRule="auto"/>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 xml:space="preserve">Удел во загубата на придружените друштва </w:t>
            </w:r>
          </w:p>
        </w:tc>
        <w:tc>
          <w:tcPr>
            <w:tcW w:w="960" w:type="dxa"/>
            <w:tcBorders>
              <w:top w:val="nil"/>
              <w:left w:val="nil"/>
              <w:bottom w:val="nil"/>
              <w:right w:val="nil"/>
            </w:tcBorders>
            <w:shd w:val="clear" w:color="auto" w:fill="auto"/>
            <w:noWrap/>
            <w:vAlign w:val="center"/>
            <w:hideMark/>
          </w:tcPr>
          <w:p w14:paraId="2DC29CFB" w14:textId="77777777" w:rsidR="006A6248" w:rsidRPr="006A6248" w:rsidRDefault="006A6248" w:rsidP="006A6248">
            <w:pPr>
              <w:spacing w:after="0" w:line="240" w:lineRule="auto"/>
              <w:jc w:val="center"/>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24</w:t>
            </w:r>
          </w:p>
        </w:tc>
        <w:tc>
          <w:tcPr>
            <w:tcW w:w="180" w:type="dxa"/>
            <w:tcBorders>
              <w:top w:val="nil"/>
              <w:left w:val="nil"/>
              <w:bottom w:val="nil"/>
              <w:right w:val="nil"/>
            </w:tcBorders>
            <w:shd w:val="clear" w:color="auto" w:fill="auto"/>
            <w:vAlign w:val="bottom"/>
            <w:hideMark/>
          </w:tcPr>
          <w:p w14:paraId="1E0D0487" w14:textId="77777777" w:rsidR="006A6248" w:rsidRPr="006A6248" w:rsidRDefault="006A6248" w:rsidP="006A6248">
            <w:pPr>
              <w:spacing w:after="0" w:line="240" w:lineRule="auto"/>
              <w:jc w:val="center"/>
              <w:rPr>
                <w:rFonts w:ascii="Times New Roman" w:eastAsia="Times New Roman" w:hAnsi="Times New Roman"/>
                <w:sz w:val="21"/>
                <w:szCs w:val="21"/>
                <w:lang w:val="mk-MK" w:eastAsia="mk-MK"/>
              </w:rPr>
            </w:pPr>
          </w:p>
        </w:tc>
        <w:tc>
          <w:tcPr>
            <w:tcW w:w="1600" w:type="dxa"/>
            <w:tcBorders>
              <w:top w:val="nil"/>
              <w:left w:val="nil"/>
              <w:bottom w:val="single" w:sz="4" w:space="0" w:color="auto"/>
              <w:right w:val="nil"/>
            </w:tcBorders>
            <w:shd w:val="clear" w:color="auto" w:fill="auto"/>
            <w:noWrap/>
            <w:vAlign w:val="center"/>
            <w:hideMark/>
          </w:tcPr>
          <w:p w14:paraId="7473837C" w14:textId="77777777" w:rsidR="006A6248" w:rsidRPr="006A6248" w:rsidRDefault="006A6248" w:rsidP="006A6248">
            <w:pPr>
              <w:spacing w:after="0" w:line="240" w:lineRule="auto"/>
              <w:jc w:val="right"/>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 </w:t>
            </w:r>
          </w:p>
        </w:tc>
        <w:tc>
          <w:tcPr>
            <w:tcW w:w="180" w:type="dxa"/>
            <w:tcBorders>
              <w:top w:val="nil"/>
              <w:left w:val="nil"/>
              <w:bottom w:val="nil"/>
              <w:right w:val="nil"/>
            </w:tcBorders>
            <w:shd w:val="clear" w:color="auto" w:fill="auto"/>
            <w:noWrap/>
            <w:vAlign w:val="center"/>
            <w:hideMark/>
          </w:tcPr>
          <w:p w14:paraId="0E882117" w14:textId="77777777" w:rsidR="006A6248" w:rsidRPr="006A6248" w:rsidRDefault="006A6248" w:rsidP="006A6248">
            <w:pPr>
              <w:spacing w:after="0" w:line="240" w:lineRule="auto"/>
              <w:jc w:val="right"/>
              <w:rPr>
                <w:rFonts w:ascii="Times New Roman" w:eastAsia="Times New Roman" w:hAnsi="Times New Roman"/>
                <w:sz w:val="21"/>
                <w:szCs w:val="21"/>
                <w:lang w:val="mk-MK" w:eastAsia="mk-MK"/>
              </w:rPr>
            </w:pPr>
          </w:p>
        </w:tc>
        <w:tc>
          <w:tcPr>
            <w:tcW w:w="1300" w:type="dxa"/>
            <w:tcBorders>
              <w:top w:val="nil"/>
              <w:left w:val="nil"/>
              <w:bottom w:val="single" w:sz="4" w:space="0" w:color="auto"/>
              <w:right w:val="nil"/>
            </w:tcBorders>
            <w:shd w:val="clear" w:color="auto" w:fill="auto"/>
            <w:noWrap/>
            <w:vAlign w:val="center"/>
            <w:hideMark/>
          </w:tcPr>
          <w:p w14:paraId="176A1858" w14:textId="77777777" w:rsidR="006A6248" w:rsidRPr="006A6248" w:rsidRDefault="006A6248" w:rsidP="006A6248">
            <w:pPr>
              <w:spacing w:after="0" w:line="240" w:lineRule="auto"/>
              <w:jc w:val="right"/>
              <w:rPr>
                <w:rFonts w:ascii="Times New Roman" w:eastAsia="Times New Roman" w:hAnsi="Times New Roman"/>
                <w:sz w:val="21"/>
                <w:szCs w:val="21"/>
                <w:lang w:val="mk-MK" w:eastAsia="mk-MK"/>
              </w:rPr>
            </w:pPr>
            <w:r w:rsidRPr="006A6248">
              <w:rPr>
                <w:rFonts w:ascii="Times New Roman" w:eastAsia="Times New Roman" w:hAnsi="Times New Roman"/>
                <w:sz w:val="21"/>
                <w:szCs w:val="21"/>
                <w:lang w:val="mk-MK" w:eastAsia="mk-MK"/>
              </w:rPr>
              <w:t xml:space="preserve">                -   </w:t>
            </w:r>
          </w:p>
        </w:tc>
      </w:tr>
      <w:tr w:rsidR="006A6248" w:rsidRPr="006A6248" w14:paraId="496DB8AF" w14:textId="77777777" w:rsidTr="006A6248">
        <w:trPr>
          <w:trHeight w:val="300"/>
        </w:trPr>
        <w:tc>
          <w:tcPr>
            <w:tcW w:w="5240" w:type="dxa"/>
            <w:tcBorders>
              <w:top w:val="nil"/>
              <w:left w:val="nil"/>
              <w:bottom w:val="nil"/>
              <w:right w:val="nil"/>
            </w:tcBorders>
            <w:shd w:val="clear" w:color="auto" w:fill="auto"/>
            <w:vAlign w:val="bottom"/>
            <w:hideMark/>
          </w:tcPr>
          <w:p w14:paraId="6B4A3E6B" w14:textId="77777777" w:rsidR="006A6248" w:rsidRPr="006A6248" w:rsidRDefault="006A6248" w:rsidP="006A6248">
            <w:pPr>
              <w:spacing w:after="0" w:line="240" w:lineRule="auto"/>
              <w:jc w:val="right"/>
              <w:rPr>
                <w:rFonts w:ascii="Times New Roman" w:eastAsia="Times New Roman" w:hAnsi="Times New Roman"/>
                <w:sz w:val="21"/>
                <w:szCs w:val="21"/>
                <w:lang w:val="mk-MK" w:eastAsia="mk-MK"/>
              </w:rPr>
            </w:pPr>
          </w:p>
        </w:tc>
        <w:tc>
          <w:tcPr>
            <w:tcW w:w="960" w:type="dxa"/>
            <w:tcBorders>
              <w:top w:val="nil"/>
              <w:left w:val="nil"/>
              <w:bottom w:val="nil"/>
              <w:right w:val="nil"/>
            </w:tcBorders>
            <w:shd w:val="clear" w:color="auto" w:fill="auto"/>
            <w:noWrap/>
            <w:vAlign w:val="center"/>
            <w:hideMark/>
          </w:tcPr>
          <w:p w14:paraId="1A497560" w14:textId="77777777" w:rsidR="006A6248" w:rsidRPr="006A6248" w:rsidRDefault="006A6248" w:rsidP="006A6248">
            <w:pPr>
              <w:spacing w:after="0" w:line="240" w:lineRule="auto"/>
              <w:rPr>
                <w:rFonts w:ascii="Times New Roman" w:eastAsia="Times New Roman" w:hAnsi="Times New Roman"/>
                <w:sz w:val="20"/>
                <w:szCs w:val="20"/>
                <w:lang w:val="mk-MK" w:eastAsia="mk-MK"/>
              </w:rPr>
            </w:pPr>
          </w:p>
        </w:tc>
        <w:tc>
          <w:tcPr>
            <w:tcW w:w="180" w:type="dxa"/>
            <w:tcBorders>
              <w:top w:val="nil"/>
              <w:left w:val="nil"/>
              <w:bottom w:val="nil"/>
              <w:right w:val="nil"/>
            </w:tcBorders>
            <w:shd w:val="clear" w:color="auto" w:fill="auto"/>
            <w:vAlign w:val="bottom"/>
            <w:hideMark/>
          </w:tcPr>
          <w:p w14:paraId="0F28A9F0" w14:textId="77777777" w:rsidR="006A6248" w:rsidRPr="006A6248" w:rsidRDefault="006A6248" w:rsidP="006A6248">
            <w:pPr>
              <w:spacing w:after="0" w:line="240" w:lineRule="auto"/>
              <w:jc w:val="center"/>
              <w:rPr>
                <w:rFonts w:ascii="Times New Roman" w:eastAsia="Times New Roman" w:hAnsi="Times New Roman"/>
                <w:sz w:val="20"/>
                <w:szCs w:val="20"/>
                <w:lang w:val="mk-MK" w:eastAsia="mk-MK"/>
              </w:rPr>
            </w:pPr>
          </w:p>
        </w:tc>
        <w:tc>
          <w:tcPr>
            <w:tcW w:w="1600" w:type="dxa"/>
            <w:tcBorders>
              <w:top w:val="nil"/>
              <w:left w:val="nil"/>
              <w:bottom w:val="nil"/>
              <w:right w:val="nil"/>
            </w:tcBorders>
            <w:shd w:val="clear" w:color="auto" w:fill="auto"/>
            <w:noWrap/>
            <w:vAlign w:val="center"/>
            <w:hideMark/>
          </w:tcPr>
          <w:p w14:paraId="260C094C" w14:textId="77777777" w:rsidR="006A6248" w:rsidRPr="006A6248" w:rsidRDefault="006A6248" w:rsidP="006A6248">
            <w:pPr>
              <w:spacing w:after="0" w:line="240" w:lineRule="auto"/>
              <w:jc w:val="center"/>
              <w:rPr>
                <w:rFonts w:ascii="Times New Roman" w:eastAsia="Times New Roman" w:hAnsi="Times New Roman"/>
                <w:sz w:val="20"/>
                <w:szCs w:val="20"/>
                <w:lang w:val="mk-MK" w:eastAsia="mk-MK"/>
              </w:rPr>
            </w:pPr>
          </w:p>
        </w:tc>
        <w:tc>
          <w:tcPr>
            <w:tcW w:w="180" w:type="dxa"/>
            <w:tcBorders>
              <w:top w:val="nil"/>
              <w:left w:val="nil"/>
              <w:bottom w:val="nil"/>
              <w:right w:val="nil"/>
            </w:tcBorders>
            <w:shd w:val="clear" w:color="auto" w:fill="auto"/>
            <w:noWrap/>
            <w:vAlign w:val="center"/>
            <w:hideMark/>
          </w:tcPr>
          <w:p w14:paraId="36CD696C" w14:textId="77777777" w:rsidR="006A6248" w:rsidRPr="006A6248" w:rsidRDefault="006A6248" w:rsidP="006A6248">
            <w:pPr>
              <w:spacing w:after="0" w:line="240" w:lineRule="auto"/>
              <w:jc w:val="right"/>
              <w:rPr>
                <w:rFonts w:ascii="Times New Roman" w:eastAsia="Times New Roman" w:hAnsi="Times New Roman"/>
                <w:sz w:val="20"/>
                <w:szCs w:val="20"/>
                <w:lang w:val="mk-MK" w:eastAsia="mk-MK"/>
              </w:rPr>
            </w:pPr>
          </w:p>
        </w:tc>
        <w:tc>
          <w:tcPr>
            <w:tcW w:w="1300" w:type="dxa"/>
            <w:tcBorders>
              <w:top w:val="nil"/>
              <w:left w:val="nil"/>
              <w:bottom w:val="nil"/>
              <w:right w:val="nil"/>
            </w:tcBorders>
            <w:shd w:val="clear" w:color="auto" w:fill="auto"/>
            <w:noWrap/>
            <w:vAlign w:val="center"/>
            <w:hideMark/>
          </w:tcPr>
          <w:p w14:paraId="015232A6" w14:textId="77777777" w:rsidR="006A6248" w:rsidRPr="006A6248" w:rsidRDefault="006A6248" w:rsidP="006A6248">
            <w:pPr>
              <w:spacing w:after="0" w:line="240" w:lineRule="auto"/>
              <w:jc w:val="right"/>
              <w:rPr>
                <w:rFonts w:ascii="Times New Roman" w:eastAsia="Times New Roman" w:hAnsi="Times New Roman"/>
                <w:sz w:val="20"/>
                <w:szCs w:val="20"/>
                <w:lang w:val="mk-MK" w:eastAsia="mk-MK"/>
              </w:rPr>
            </w:pPr>
          </w:p>
        </w:tc>
      </w:tr>
      <w:tr w:rsidR="006A6248" w:rsidRPr="006A6248" w14:paraId="7E7584DF" w14:textId="77777777" w:rsidTr="006A6248">
        <w:trPr>
          <w:trHeight w:val="300"/>
        </w:trPr>
        <w:tc>
          <w:tcPr>
            <w:tcW w:w="5240" w:type="dxa"/>
            <w:tcBorders>
              <w:top w:val="nil"/>
              <w:left w:val="nil"/>
              <w:bottom w:val="nil"/>
              <w:right w:val="nil"/>
            </w:tcBorders>
            <w:shd w:val="clear" w:color="auto" w:fill="auto"/>
            <w:vAlign w:val="bottom"/>
            <w:hideMark/>
          </w:tcPr>
          <w:p w14:paraId="1152FC20" w14:textId="77777777" w:rsidR="006A6248" w:rsidRPr="006A6248" w:rsidRDefault="006A6248" w:rsidP="006A6248">
            <w:pPr>
              <w:spacing w:after="0" w:line="240" w:lineRule="auto"/>
              <w:rPr>
                <w:rFonts w:ascii="Times New Roman" w:eastAsia="Times New Roman" w:hAnsi="Times New Roman"/>
                <w:b/>
                <w:bCs/>
                <w:sz w:val="21"/>
                <w:szCs w:val="21"/>
                <w:lang w:val="mk-MK" w:eastAsia="mk-MK"/>
              </w:rPr>
            </w:pPr>
            <w:r w:rsidRPr="006A6248">
              <w:rPr>
                <w:rFonts w:ascii="Times New Roman" w:eastAsia="Times New Roman" w:hAnsi="Times New Roman"/>
                <w:b/>
                <w:bCs/>
                <w:sz w:val="21"/>
                <w:szCs w:val="21"/>
                <w:lang w:val="mk-MK" w:eastAsia="mk-MK"/>
              </w:rPr>
              <w:t>Добивка пред оданочување</w:t>
            </w:r>
          </w:p>
        </w:tc>
        <w:tc>
          <w:tcPr>
            <w:tcW w:w="960" w:type="dxa"/>
            <w:tcBorders>
              <w:top w:val="nil"/>
              <w:left w:val="nil"/>
              <w:bottom w:val="nil"/>
              <w:right w:val="nil"/>
            </w:tcBorders>
            <w:shd w:val="clear" w:color="auto" w:fill="auto"/>
            <w:noWrap/>
            <w:vAlign w:val="center"/>
            <w:hideMark/>
          </w:tcPr>
          <w:p w14:paraId="379F21CE" w14:textId="77777777" w:rsidR="006A6248" w:rsidRPr="006A6248" w:rsidRDefault="006A6248" w:rsidP="006A6248">
            <w:pPr>
              <w:spacing w:after="0" w:line="240" w:lineRule="auto"/>
              <w:rPr>
                <w:rFonts w:ascii="Times New Roman" w:eastAsia="Times New Roman" w:hAnsi="Times New Roman"/>
                <w:b/>
                <w:bCs/>
                <w:sz w:val="21"/>
                <w:szCs w:val="21"/>
                <w:lang w:val="mk-MK" w:eastAsia="mk-MK"/>
              </w:rPr>
            </w:pPr>
          </w:p>
        </w:tc>
        <w:tc>
          <w:tcPr>
            <w:tcW w:w="180" w:type="dxa"/>
            <w:tcBorders>
              <w:top w:val="nil"/>
              <w:left w:val="nil"/>
              <w:bottom w:val="nil"/>
              <w:right w:val="nil"/>
            </w:tcBorders>
            <w:shd w:val="clear" w:color="auto" w:fill="auto"/>
            <w:vAlign w:val="bottom"/>
            <w:hideMark/>
          </w:tcPr>
          <w:p w14:paraId="6EE0AEEE" w14:textId="77777777" w:rsidR="006A6248" w:rsidRPr="006A6248" w:rsidRDefault="006A6248" w:rsidP="006A6248">
            <w:pPr>
              <w:spacing w:after="0" w:line="240" w:lineRule="auto"/>
              <w:jc w:val="center"/>
              <w:rPr>
                <w:rFonts w:ascii="Times New Roman" w:eastAsia="Times New Roman" w:hAnsi="Times New Roman"/>
                <w:sz w:val="20"/>
                <w:szCs w:val="20"/>
                <w:lang w:val="mk-MK" w:eastAsia="mk-MK"/>
              </w:rPr>
            </w:pPr>
          </w:p>
        </w:tc>
        <w:tc>
          <w:tcPr>
            <w:tcW w:w="1600" w:type="dxa"/>
            <w:tcBorders>
              <w:top w:val="nil"/>
              <w:left w:val="nil"/>
              <w:bottom w:val="nil"/>
              <w:right w:val="nil"/>
            </w:tcBorders>
            <w:shd w:val="clear" w:color="auto" w:fill="auto"/>
            <w:vAlign w:val="center"/>
            <w:hideMark/>
          </w:tcPr>
          <w:p w14:paraId="3CA3CB29" w14:textId="77777777" w:rsidR="006A6248" w:rsidRPr="006A6248" w:rsidRDefault="006A6248" w:rsidP="006A6248">
            <w:pPr>
              <w:spacing w:after="0" w:line="240" w:lineRule="auto"/>
              <w:jc w:val="right"/>
              <w:rPr>
                <w:rFonts w:ascii="Times New Roman" w:eastAsia="Times New Roman" w:hAnsi="Times New Roman"/>
                <w:b/>
                <w:bCs/>
                <w:sz w:val="21"/>
                <w:szCs w:val="21"/>
                <w:lang w:val="mk-MK" w:eastAsia="mk-MK"/>
              </w:rPr>
            </w:pPr>
            <w:r w:rsidRPr="006A6248">
              <w:rPr>
                <w:rFonts w:ascii="Times New Roman" w:eastAsia="Times New Roman" w:hAnsi="Times New Roman"/>
                <w:b/>
                <w:bCs/>
                <w:sz w:val="21"/>
                <w:szCs w:val="21"/>
                <w:lang w:val="mk-MK" w:eastAsia="mk-MK"/>
              </w:rPr>
              <w:t xml:space="preserve">          2.613.840 </w:t>
            </w:r>
          </w:p>
        </w:tc>
        <w:tc>
          <w:tcPr>
            <w:tcW w:w="180" w:type="dxa"/>
            <w:tcBorders>
              <w:top w:val="nil"/>
              <w:left w:val="nil"/>
              <w:bottom w:val="nil"/>
              <w:right w:val="nil"/>
            </w:tcBorders>
            <w:shd w:val="clear" w:color="auto" w:fill="auto"/>
            <w:noWrap/>
            <w:vAlign w:val="center"/>
            <w:hideMark/>
          </w:tcPr>
          <w:p w14:paraId="72B5B08B" w14:textId="77777777" w:rsidR="006A6248" w:rsidRPr="006A6248" w:rsidRDefault="006A6248" w:rsidP="006A6248">
            <w:pPr>
              <w:spacing w:after="0" w:line="240" w:lineRule="auto"/>
              <w:jc w:val="right"/>
              <w:rPr>
                <w:rFonts w:ascii="Times New Roman" w:eastAsia="Times New Roman" w:hAnsi="Times New Roman"/>
                <w:b/>
                <w:bCs/>
                <w:sz w:val="21"/>
                <w:szCs w:val="21"/>
                <w:lang w:val="mk-MK" w:eastAsia="mk-MK"/>
              </w:rPr>
            </w:pPr>
          </w:p>
        </w:tc>
        <w:tc>
          <w:tcPr>
            <w:tcW w:w="1300" w:type="dxa"/>
            <w:tcBorders>
              <w:top w:val="nil"/>
              <w:left w:val="nil"/>
              <w:bottom w:val="nil"/>
              <w:right w:val="nil"/>
            </w:tcBorders>
            <w:shd w:val="clear" w:color="auto" w:fill="auto"/>
            <w:vAlign w:val="center"/>
            <w:hideMark/>
          </w:tcPr>
          <w:p w14:paraId="3F42BDBB" w14:textId="77777777" w:rsidR="006A6248" w:rsidRPr="006A6248" w:rsidRDefault="006A6248" w:rsidP="006A6248">
            <w:pPr>
              <w:spacing w:after="0" w:line="240" w:lineRule="auto"/>
              <w:jc w:val="right"/>
              <w:rPr>
                <w:rFonts w:ascii="Times New Roman" w:eastAsia="Times New Roman" w:hAnsi="Times New Roman"/>
                <w:b/>
                <w:bCs/>
                <w:sz w:val="21"/>
                <w:szCs w:val="21"/>
                <w:lang w:val="mk-MK" w:eastAsia="mk-MK"/>
              </w:rPr>
            </w:pPr>
            <w:r w:rsidRPr="006A6248">
              <w:rPr>
                <w:rFonts w:ascii="Times New Roman" w:eastAsia="Times New Roman" w:hAnsi="Times New Roman"/>
                <w:b/>
                <w:bCs/>
                <w:sz w:val="21"/>
                <w:szCs w:val="21"/>
                <w:lang w:val="mk-MK" w:eastAsia="mk-MK"/>
              </w:rPr>
              <w:t xml:space="preserve">     2.728.833 </w:t>
            </w:r>
          </w:p>
        </w:tc>
      </w:tr>
      <w:tr w:rsidR="006A6248" w:rsidRPr="006A6248" w14:paraId="4C94909C" w14:textId="77777777" w:rsidTr="006A6248">
        <w:trPr>
          <w:trHeight w:val="300"/>
        </w:trPr>
        <w:tc>
          <w:tcPr>
            <w:tcW w:w="5240" w:type="dxa"/>
            <w:tcBorders>
              <w:top w:val="nil"/>
              <w:left w:val="nil"/>
              <w:bottom w:val="nil"/>
              <w:right w:val="nil"/>
            </w:tcBorders>
            <w:shd w:val="clear" w:color="auto" w:fill="auto"/>
            <w:vAlign w:val="bottom"/>
            <w:hideMark/>
          </w:tcPr>
          <w:p w14:paraId="7D776C53" w14:textId="77777777" w:rsidR="006A6248" w:rsidRPr="006A6248" w:rsidRDefault="006A6248" w:rsidP="006A6248">
            <w:pPr>
              <w:spacing w:after="0" w:line="240" w:lineRule="auto"/>
              <w:jc w:val="right"/>
              <w:rPr>
                <w:rFonts w:ascii="Times New Roman" w:eastAsia="Times New Roman" w:hAnsi="Times New Roman"/>
                <w:b/>
                <w:bCs/>
                <w:sz w:val="21"/>
                <w:szCs w:val="21"/>
                <w:lang w:val="mk-MK" w:eastAsia="mk-MK"/>
              </w:rPr>
            </w:pPr>
          </w:p>
        </w:tc>
        <w:tc>
          <w:tcPr>
            <w:tcW w:w="960" w:type="dxa"/>
            <w:tcBorders>
              <w:top w:val="nil"/>
              <w:left w:val="nil"/>
              <w:bottom w:val="nil"/>
              <w:right w:val="nil"/>
            </w:tcBorders>
            <w:shd w:val="clear" w:color="auto" w:fill="auto"/>
            <w:noWrap/>
            <w:vAlign w:val="center"/>
            <w:hideMark/>
          </w:tcPr>
          <w:p w14:paraId="69839C2B" w14:textId="77777777" w:rsidR="006A6248" w:rsidRPr="006A6248" w:rsidRDefault="006A6248" w:rsidP="006A6248">
            <w:pPr>
              <w:spacing w:after="0" w:line="240" w:lineRule="auto"/>
              <w:rPr>
                <w:rFonts w:ascii="Times New Roman" w:eastAsia="Times New Roman" w:hAnsi="Times New Roman"/>
                <w:sz w:val="20"/>
                <w:szCs w:val="20"/>
                <w:lang w:val="mk-MK" w:eastAsia="mk-MK"/>
              </w:rPr>
            </w:pPr>
          </w:p>
        </w:tc>
        <w:tc>
          <w:tcPr>
            <w:tcW w:w="180" w:type="dxa"/>
            <w:tcBorders>
              <w:top w:val="nil"/>
              <w:left w:val="nil"/>
              <w:bottom w:val="nil"/>
              <w:right w:val="nil"/>
            </w:tcBorders>
            <w:shd w:val="clear" w:color="auto" w:fill="auto"/>
            <w:vAlign w:val="bottom"/>
            <w:hideMark/>
          </w:tcPr>
          <w:p w14:paraId="790B0CBD" w14:textId="77777777" w:rsidR="006A6248" w:rsidRPr="006A6248" w:rsidRDefault="006A6248" w:rsidP="006A6248">
            <w:pPr>
              <w:spacing w:after="0" w:line="240" w:lineRule="auto"/>
              <w:jc w:val="center"/>
              <w:rPr>
                <w:rFonts w:ascii="Times New Roman" w:eastAsia="Times New Roman" w:hAnsi="Times New Roman"/>
                <w:sz w:val="20"/>
                <w:szCs w:val="20"/>
                <w:lang w:val="mk-MK" w:eastAsia="mk-MK"/>
              </w:rPr>
            </w:pPr>
          </w:p>
        </w:tc>
        <w:tc>
          <w:tcPr>
            <w:tcW w:w="1600" w:type="dxa"/>
            <w:tcBorders>
              <w:top w:val="nil"/>
              <w:left w:val="nil"/>
              <w:bottom w:val="nil"/>
              <w:right w:val="nil"/>
            </w:tcBorders>
            <w:shd w:val="clear" w:color="auto" w:fill="auto"/>
            <w:noWrap/>
            <w:vAlign w:val="center"/>
            <w:hideMark/>
          </w:tcPr>
          <w:p w14:paraId="37F496D0" w14:textId="77777777" w:rsidR="006A6248" w:rsidRPr="006A6248" w:rsidRDefault="006A6248" w:rsidP="006A6248">
            <w:pPr>
              <w:spacing w:after="0" w:line="240" w:lineRule="auto"/>
              <w:jc w:val="center"/>
              <w:rPr>
                <w:rFonts w:ascii="Times New Roman" w:eastAsia="Times New Roman" w:hAnsi="Times New Roman"/>
                <w:sz w:val="20"/>
                <w:szCs w:val="20"/>
                <w:lang w:val="mk-MK" w:eastAsia="mk-MK"/>
              </w:rPr>
            </w:pPr>
          </w:p>
        </w:tc>
        <w:tc>
          <w:tcPr>
            <w:tcW w:w="180" w:type="dxa"/>
            <w:tcBorders>
              <w:top w:val="nil"/>
              <w:left w:val="nil"/>
              <w:bottom w:val="nil"/>
              <w:right w:val="nil"/>
            </w:tcBorders>
            <w:shd w:val="clear" w:color="auto" w:fill="auto"/>
            <w:noWrap/>
            <w:vAlign w:val="center"/>
            <w:hideMark/>
          </w:tcPr>
          <w:p w14:paraId="3D4A6F9F" w14:textId="77777777" w:rsidR="006A6248" w:rsidRPr="006A6248" w:rsidRDefault="006A6248" w:rsidP="006A6248">
            <w:pPr>
              <w:spacing w:after="0" w:line="240" w:lineRule="auto"/>
              <w:jc w:val="right"/>
              <w:rPr>
                <w:rFonts w:ascii="Times New Roman" w:eastAsia="Times New Roman" w:hAnsi="Times New Roman"/>
                <w:sz w:val="20"/>
                <w:szCs w:val="20"/>
                <w:lang w:val="mk-MK" w:eastAsia="mk-MK"/>
              </w:rPr>
            </w:pPr>
          </w:p>
        </w:tc>
        <w:tc>
          <w:tcPr>
            <w:tcW w:w="1300" w:type="dxa"/>
            <w:tcBorders>
              <w:top w:val="nil"/>
              <w:left w:val="nil"/>
              <w:bottom w:val="nil"/>
              <w:right w:val="nil"/>
            </w:tcBorders>
            <w:shd w:val="clear" w:color="auto" w:fill="auto"/>
            <w:noWrap/>
            <w:vAlign w:val="center"/>
            <w:hideMark/>
          </w:tcPr>
          <w:p w14:paraId="6BA8FA3B" w14:textId="77777777" w:rsidR="006A6248" w:rsidRPr="006A6248" w:rsidRDefault="006A6248" w:rsidP="006A6248">
            <w:pPr>
              <w:spacing w:after="0" w:line="240" w:lineRule="auto"/>
              <w:jc w:val="right"/>
              <w:rPr>
                <w:rFonts w:ascii="Times New Roman" w:eastAsia="Times New Roman" w:hAnsi="Times New Roman"/>
                <w:sz w:val="20"/>
                <w:szCs w:val="20"/>
                <w:lang w:val="mk-MK" w:eastAsia="mk-MK"/>
              </w:rPr>
            </w:pPr>
          </w:p>
        </w:tc>
      </w:tr>
      <w:tr w:rsidR="006A6248" w:rsidRPr="006A6248" w14:paraId="7B9C889D" w14:textId="77777777" w:rsidTr="006A6248">
        <w:trPr>
          <w:trHeight w:val="300"/>
        </w:trPr>
        <w:tc>
          <w:tcPr>
            <w:tcW w:w="5240" w:type="dxa"/>
            <w:tcBorders>
              <w:top w:val="nil"/>
              <w:left w:val="nil"/>
              <w:bottom w:val="nil"/>
              <w:right w:val="nil"/>
            </w:tcBorders>
            <w:shd w:val="clear" w:color="auto" w:fill="auto"/>
            <w:vAlign w:val="bottom"/>
            <w:hideMark/>
          </w:tcPr>
          <w:p w14:paraId="7A7C8F27" w14:textId="77777777" w:rsidR="006A6248" w:rsidRPr="006A6248" w:rsidRDefault="006A6248" w:rsidP="006A6248">
            <w:pPr>
              <w:spacing w:after="0" w:line="240" w:lineRule="auto"/>
              <w:rPr>
                <w:rFonts w:ascii="Times New Roman" w:eastAsia="Times New Roman" w:hAnsi="Times New Roman"/>
                <w:b/>
                <w:bCs/>
                <w:sz w:val="21"/>
                <w:szCs w:val="21"/>
                <w:lang w:val="mk-MK" w:eastAsia="mk-MK"/>
              </w:rPr>
            </w:pPr>
            <w:r w:rsidRPr="006A6248">
              <w:rPr>
                <w:rFonts w:ascii="Times New Roman" w:eastAsia="Times New Roman" w:hAnsi="Times New Roman"/>
                <w:b/>
                <w:bCs/>
                <w:sz w:val="21"/>
                <w:szCs w:val="21"/>
                <w:lang w:val="mk-MK" w:eastAsia="mk-MK"/>
              </w:rPr>
              <w:t>Данок на добивка</w:t>
            </w:r>
          </w:p>
        </w:tc>
        <w:tc>
          <w:tcPr>
            <w:tcW w:w="960" w:type="dxa"/>
            <w:tcBorders>
              <w:top w:val="nil"/>
              <w:left w:val="nil"/>
              <w:bottom w:val="nil"/>
              <w:right w:val="nil"/>
            </w:tcBorders>
            <w:shd w:val="clear" w:color="auto" w:fill="auto"/>
            <w:noWrap/>
            <w:vAlign w:val="center"/>
            <w:hideMark/>
          </w:tcPr>
          <w:p w14:paraId="178CCD3F" w14:textId="77777777" w:rsidR="006A6248" w:rsidRPr="006A6248" w:rsidRDefault="006A6248" w:rsidP="006A6248">
            <w:pPr>
              <w:spacing w:after="0" w:line="240" w:lineRule="auto"/>
              <w:jc w:val="center"/>
              <w:rPr>
                <w:rFonts w:ascii="Times New Roman" w:eastAsia="Times New Roman" w:hAnsi="Times New Roman"/>
                <w:b/>
                <w:bCs/>
                <w:sz w:val="21"/>
                <w:szCs w:val="21"/>
                <w:lang w:val="mk-MK" w:eastAsia="mk-MK"/>
              </w:rPr>
            </w:pPr>
            <w:r w:rsidRPr="006A6248">
              <w:rPr>
                <w:rFonts w:ascii="Times New Roman" w:eastAsia="Times New Roman" w:hAnsi="Times New Roman"/>
                <w:b/>
                <w:bCs/>
                <w:sz w:val="21"/>
                <w:szCs w:val="21"/>
                <w:lang w:val="mk-MK" w:eastAsia="mk-MK"/>
              </w:rPr>
              <w:t>17</w:t>
            </w:r>
          </w:p>
        </w:tc>
        <w:tc>
          <w:tcPr>
            <w:tcW w:w="180" w:type="dxa"/>
            <w:tcBorders>
              <w:top w:val="nil"/>
              <w:left w:val="nil"/>
              <w:bottom w:val="nil"/>
              <w:right w:val="nil"/>
            </w:tcBorders>
            <w:shd w:val="clear" w:color="auto" w:fill="auto"/>
            <w:vAlign w:val="bottom"/>
            <w:hideMark/>
          </w:tcPr>
          <w:p w14:paraId="0FAAA9F4" w14:textId="77777777" w:rsidR="006A6248" w:rsidRPr="006A6248" w:rsidRDefault="006A6248" w:rsidP="006A6248">
            <w:pPr>
              <w:spacing w:after="0" w:line="240" w:lineRule="auto"/>
              <w:jc w:val="center"/>
              <w:rPr>
                <w:rFonts w:ascii="Times New Roman" w:eastAsia="Times New Roman" w:hAnsi="Times New Roman"/>
                <w:b/>
                <w:bCs/>
                <w:sz w:val="21"/>
                <w:szCs w:val="21"/>
                <w:lang w:val="mk-MK" w:eastAsia="mk-MK"/>
              </w:rPr>
            </w:pPr>
          </w:p>
        </w:tc>
        <w:tc>
          <w:tcPr>
            <w:tcW w:w="1600" w:type="dxa"/>
            <w:tcBorders>
              <w:top w:val="nil"/>
              <w:left w:val="nil"/>
              <w:bottom w:val="single" w:sz="4" w:space="0" w:color="auto"/>
              <w:right w:val="nil"/>
            </w:tcBorders>
            <w:shd w:val="clear" w:color="auto" w:fill="auto"/>
            <w:noWrap/>
            <w:vAlign w:val="center"/>
            <w:hideMark/>
          </w:tcPr>
          <w:p w14:paraId="2146B4BC" w14:textId="77777777" w:rsidR="006A6248" w:rsidRPr="006A6248" w:rsidRDefault="006A6248" w:rsidP="006A6248">
            <w:pPr>
              <w:spacing w:after="0" w:line="240" w:lineRule="auto"/>
              <w:jc w:val="right"/>
              <w:rPr>
                <w:rFonts w:ascii="Times New Roman" w:eastAsia="Times New Roman" w:hAnsi="Times New Roman"/>
                <w:b/>
                <w:bCs/>
                <w:sz w:val="21"/>
                <w:szCs w:val="21"/>
                <w:lang w:val="mk-MK" w:eastAsia="mk-MK"/>
              </w:rPr>
            </w:pPr>
            <w:r w:rsidRPr="006A6248">
              <w:rPr>
                <w:rFonts w:ascii="Times New Roman" w:eastAsia="Times New Roman" w:hAnsi="Times New Roman"/>
                <w:b/>
                <w:bCs/>
                <w:sz w:val="21"/>
                <w:szCs w:val="21"/>
                <w:lang w:val="mk-MK" w:eastAsia="mk-MK"/>
              </w:rPr>
              <w:t xml:space="preserve">           (242.162)</w:t>
            </w:r>
          </w:p>
        </w:tc>
        <w:tc>
          <w:tcPr>
            <w:tcW w:w="180" w:type="dxa"/>
            <w:tcBorders>
              <w:top w:val="nil"/>
              <w:left w:val="nil"/>
              <w:bottom w:val="nil"/>
              <w:right w:val="nil"/>
            </w:tcBorders>
            <w:shd w:val="clear" w:color="auto" w:fill="auto"/>
            <w:noWrap/>
            <w:vAlign w:val="center"/>
            <w:hideMark/>
          </w:tcPr>
          <w:p w14:paraId="30904187" w14:textId="77777777" w:rsidR="006A6248" w:rsidRPr="006A6248" w:rsidRDefault="006A6248" w:rsidP="006A6248">
            <w:pPr>
              <w:spacing w:after="0" w:line="240" w:lineRule="auto"/>
              <w:jc w:val="right"/>
              <w:rPr>
                <w:rFonts w:ascii="Times New Roman" w:eastAsia="Times New Roman" w:hAnsi="Times New Roman"/>
                <w:b/>
                <w:bCs/>
                <w:sz w:val="21"/>
                <w:szCs w:val="21"/>
                <w:lang w:val="mk-MK" w:eastAsia="mk-MK"/>
              </w:rPr>
            </w:pPr>
          </w:p>
        </w:tc>
        <w:tc>
          <w:tcPr>
            <w:tcW w:w="1300" w:type="dxa"/>
            <w:tcBorders>
              <w:top w:val="nil"/>
              <w:left w:val="nil"/>
              <w:bottom w:val="single" w:sz="4" w:space="0" w:color="auto"/>
              <w:right w:val="nil"/>
            </w:tcBorders>
            <w:shd w:val="clear" w:color="auto" w:fill="auto"/>
            <w:noWrap/>
            <w:vAlign w:val="center"/>
            <w:hideMark/>
          </w:tcPr>
          <w:p w14:paraId="292E987C" w14:textId="77777777" w:rsidR="006A6248" w:rsidRPr="006A6248" w:rsidRDefault="006A6248" w:rsidP="006A6248">
            <w:pPr>
              <w:spacing w:after="0" w:line="240" w:lineRule="auto"/>
              <w:jc w:val="right"/>
              <w:rPr>
                <w:rFonts w:ascii="Times New Roman" w:eastAsia="Times New Roman" w:hAnsi="Times New Roman"/>
                <w:b/>
                <w:bCs/>
                <w:sz w:val="21"/>
                <w:szCs w:val="21"/>
                <w:lang w:val="mk-MK" w:eastAsia="mk-MK"/>
              </w:rPr>
            </w:pPr>
            <w:r w:rsidRPr="006A6248">
              <w:rPr>
                <w:rFonts w:ascii="Times New Roman" w:eastAsia="Times New Roman" w:hAnsi="Times New Roman"/>
                <w:b/>
                <w:bCs/>
                <w:sz w:val="21"/>
                <w:szCs w:val="21"/>
                <w:lang w:val="mk-MK" w:eastAsia="mk-MK"/>
              </w:rPr>
              <w:t xml:space="preserve">      (262.877)</w:t>
            </w:r>
          </w:p>
        </w:tc>
      </w:tr>
      <w:tr w:rsidR="006A6248" w:rsidRPr="006A6248" w14:paraId="44722C50" w14:textId="77777777" w:rsidTr="006A6248">
        <w:trPr>
          <w:trHeight w:val="300"/>
        </w:trPr>
        <w:tc>
          <w:tcPr>
            <w:tcW w:w="5240" w:type="dxa"/>
            <w:tcBorders>
              <w:top w:val="nil"/>
              <w:left w:val="nil"/>
              <w:bottom w:val="nil"/>
              <w:right w:val="nil"/>
            </w:tcBorders>
            <w:shd w:val="clear" w:color="auto" w:fill="auto"/>
            <w:vAlign w:val="bottom"/>
            <w:hideMark/>
          </w:tcPr>
          <w:p w14:paraId="3F31D862" w14:textId="77777777" w:rsidR="006A6248" w:rsidRPr="006A6248" w:rsidRDefault="006A6248" w:rsidP="006A6248">
            <w:pPr>
              <w:spacing w:after="0" w:line="240" w:lineRule="auto"/>
              <w:jc w:val="right"/>
              <w:rPr>
                <w:rFonts w:ascii="Times New Roman" w:eastAsia="Times New Roman" w:hAnsi="Times New Roman"/>
                <w:b/>
                <w:bCs/>
                <w:sz w:val="21"/>
                <w:szCs w:val="21"/>
                <w:lang w:val="mk-MK" w:eastAsia="mk-MK"/>
              </w:rPr>
            </w:pPr>
          </w:p>
        </w:tc>
        <w:tc>
          <w:tcPr>
            <w:tcW w:w="960" w:type="dxa"/>
            <w:tcBorders>
              <w:top w:val="nil"/>
              <w:left w:val="nil"/>
              <w:bottom w:val="nil"/>
              <w:right w:val="nil"/>
            </w:tcBorders>
            <w:shd w:val="clear" w:color="auto" w:fill="auto"/>
            <w:noWrap/>
            <w:vAlign w:val="center"/>
            <w:hideMark/>
          </w:tcPr>
          <w:p w14:paraId="7647106C" w14:textId="77777777" w:rsidR="006A6248" w:rsidRPr="006A6248" w:rsidRDefault="006A6248" w:rsidP="006A6248">
            <w:pPr>
              <w:spacing w:after="0" w:line="240" w:lineRule="auto"/>
              <w:rPr>
                <w:rFonts w:ascii="Times New Roman" w:eastAsia="Times New Roman" w:hAnsi="Times New Roman"/>
                <w:sz w:val="20"/>
                <w:szCs w:val="20"/>
                <w:lang w:val="mk-MK" w:eastAsia="mk-MK"/>
              </w:rPr>
            </w:pPr>
          </w:p>
        </w:tc>
        <w:tc>
          <w:tcPr>
            <w:tcW w:w="180" w:type="dxa"/>
            <w:tcBorders>
              <w:top w:val="nil"/>
              <w:left w:val="nil"/>
              <w:bottom w:val="nil"/>
              <w:right w:val="nil"/>
            </w:tcBorders>
            <w:shd w:val="clear" w:color="auto" w:fill="auto"/>
            <w:vAlign w:val="bottom"/>
            <w:hideMark/>
          </w:tcPr>
          <w:p w14:paraId="1F4E03DC" w14:textId="77777777" w:rsidR="006A6248" w:rsidRPr="006A6248" w:rsidRDefault="006A6248" w:rsidP="006A6248">
            <w:pPr>
              <w:spacing w:after="0" w:line="240" w:lineRule="auto"/>
              <w:jc w:val="center"/>
              <w:rPr>
                <w:rFonts w:ascii="Times New Roman" w:eastAsia="Times New Roman" w:hAnsi="Times New Roman"/>
                <w:sz w:val="20"/>
                <w:szCs w:val="20"/>
                <w:lang w:val="mk-MK" w:eastAsia="mk-MK"/>
              </w:rPr>
            </w:pPr>
          </w:p>
        </w:tc>
        <w:tc>
          <w:tcPr>
            <w:tcW w:w="1600" w:type="dxa"/>
            <w:tcBorders>
              <w:top w:val="nil"/>
              <w:left w:val="nil"/>
              <w:bottom w:val="nil"/>
              <w:right w:val="nil"/>
            </w:tcBorders>
            <w:shd w:val="clear" w:color="auto" w:fill="auto"/>
            <w:noWrap/>
            <w:vAlign w:val="center"/>
            <w:hideMark/>
          </w:tcPr>
          <w:p w14:paraId="0EF6D5E2" w14:textId="77777777" w:rsidR="006A6248" w:rsidRPr="006A6248" w:rsidRDefault="006A6248" w:rsidP="006A6248">
            <w:pPr>
              <w:spacing w:after="0" w:line="240" w:lineRule="auto"/>
              <w:jc w:val="center"/>
              <w:rPr>
                <w:rFonts w:ascii="Times New Roman" w:eastAsia="Times New Roman" w:hAnsi="Times New Roman"/>
                <w:sz w:val="20"/>
                <w:szCs w:val="20"/>
                <w:lang w:val="mk-MK" w:eastAsia="mk-MK"/>
              </w:rPr>
            </w:pPr>
          </w:p>
        </w:tc>
        <w:tc>
          <w:tcPr>
            <w:tcW w:w="180" w:type="dxa"/>
            <w:tcBorders>
              <w:top w:val="nil"/>
              <w:left w:val="nil"/>
              <w:bottom w:val="nil"/>
              <w:right w:val="nil"/>
            </w:tcBorders>
            <w:shd w:val="clear" w:color="auto" w:fill="auto"/>
            <w:noWrap/>
            <w:vAlign w:val="center"/>
            <w:hideMark/>
          </w:tcPr>
          <w:p w14:paraId="2E77F31A" w14:textId="77777777" w:rsidR="006A6248" w:rsidRPr="006A6248" w:rsidRDefault="006A6248" w:rsidP="006A6248">
            <w:pPr>
              <w:spacing w:after="0" w:line="240" w:lineRule="auto"/>
              <w:jc w:val="right"/>
              <w:rPr>
                <w:rFonts w:ascii="Times New Roman" w:eastAsia="Times New Roman" w:hAnsi="Times New Roman"/>
                <w:sz w:val="20"/>
                <w:szCs w:val="20"/>
                <w:lang w:val="mk-MK" w:eastAsia="mk-MK"/>
              </w:rPr>
            </w:pPr>
          </w:p>
        </w:tc>
        <w:tc>
          <w:tcPr>
            <w:tcW w:w="1300" w:type="dxa"/>
            <w:tcBorders>
              <w:top w:val="nil"/>
              <w:left w:val="nil"/>
              <w:bottom w:val="nil"/>
              <w:right w:val="nil"/>
            </w:tcBorders>
            <w:shd w:val="clear" w:color="auto" w:fill="auto"/>
            <w:noWrap/>
            <w:vAlign w:val="center"/>
            <w:hideMark/>
          </w:tcPr>
          <w:p w14:paraId="4AB60888" w14:textId="77777777" w:rsidR="006A6248" w:rsidRPr="006A6248" w:rsidRDefault="006A6248" w:rsidP="006A6248">
            <w:pPr>
              <w:spacing w:after="0" w:line="240" w:lineRule="auto"/>
              <w:jc w:val="right"/>
              <w:rPr>
                <w:rFonts w:ascii="Times New Roman" w:eastAsia="Times New Roman" w:hAnsi="Times New Roman"/>
                <w:sz w:val="20"/>
                <w:szCs w:val="20"/>
                <w:lang w:val="mk-MK" w:eastAsia="mk-MK"/>
              </w:rPr>
            </w:pPr>
          </w:p>
        </w:tc>
      </w:tr>
      <w:tr w:rsidR="006A6248" w:rsidRPr="006A6248" w14:paraId="71A9FCF3" w14:textId="77777777" w:rsidTr="006A6248">
        <w:trPr>
          <w:trHeight w:val="315"/>
        </w:trPr>
        <w:tc>
          <w:tcPr>
            <w:tcW w:w="5240" w:type="dxa"/>
            <w:tcBorders>
              <w:top w:val="nil"/>
              <w:left w:val="nil"/>
              <w:bottom w:val="nil"/>
              <w:right w:val="nil"/>
            </w:tcBorders>
            <w:shd w:val="clear" w:color="auto" w:fill="auto"/>
            <w:vAlign w:val="bottom"/>
            <w:hideMark/>
          </w:tcPr>
          <w:p w14:paraId="6B1AC9E8" w14:textId="77777777" w:rsidR="006A6248" w:rsidRPr="006A6248" w:rsidRDefault="006A6248" w:rsidP="006A6248">
            <w:pPr>
              <w:spacing w:after="0" w:line="240" w:lineRule="auto"/>
              <w:rPr>
                <w:rFonts w:ascii="Times New Roman" w:eastAsia="Times New Roman" w:hAnsi="Times New Roman"/>
                <w:b/>
                <w:bCs/>
                <w:sz w:val="21"/>
                <w:szCs w:val="21"/>
                <w:lang w:val="mk-MK" w:eastAsia="mk-MK"/>
              </w:rPr>
            </w:pPr>
            <w:r w:rsidRPr="006A6248">
              <w:rPr>
                <w:rFonts w:ascii="Times New Roman" w:eastAsia="Times New Roman" w:hAnsi="Times New Roman"/>
                <w:b/>
                <w:bCs/>
                <w:sz w:val="21"/>
                <w:szCs w:val="21"/>
                <w:lang w:val="mk-MK" w:eastAsia="mk-MK"/>
              </w:rPr>
              <w:t>Добивка за финансиската година</w:t>
            </w:r>
          </w:p>
        </w:tc>
        <w:tc>
          <w:tcPr>
            <w:tcW w:w="960" w:type="dxa"/>
            <w:tcBorders>
              <w:top w:val="nil"/>
              <w:left w:val="nil"/>
              <w:bottom w:val="nil"/>
              <w:right w:val="nil"/>
            </w:tcBorders>
            <w:shd w:val="clear" w:color="auto" w:fill="auto"/>
            <w:noWrap/>
            <w:vAlign w:val="center"/>
            <w:hideMark/>
          </w:tcPr>
          <w:p w14:paraId="7DC0C91B" w14:textId="77777777" w:rsidR="006A6248" w:rsidRPr="006A6248" w:rsidRDefault="006A6248" w:rsidP="006A6248">
            <w:pPr>
              <w:spacing w:after="0" w:line="240" w:lineRule="auto"/>
              <w:rPr>
                <w:rFonts w:ascii="Times New Roman" w:eastAsia="Times New Roman" w:hAnsi="Times New Roman"/>
                <w:b/>
                <w:bCs/>
                <w:sz w:val="21"/>
                <w:szCs w:val="21"/>
                <w:lang w:val="mk-MK" w:eastAsia="mk-MK"/>
              </w:rPr>
            </w:pPr>
          </w:p>
        </w:tc>
        <w:tc>
          <w:tcPr>
            <w:tcW w:w="180" w:type="dxa"/>
            <w:tcBorders>
              <w:top w:val="nil"/>
              <w:left w:val="nil"/>
              <w:bottom w:val="nil"/>
              <w:right w:val="nil"/>
            </w:tcBorders>
            <w:shd w:val="clear" w:color="auto" w:fill="auto"/>
            <w:vAlign w:val="bottom"/>
            <w:hideMark/>
          </w:tcPr>
          <w:p w14:paraId="67F00C83" w14:textId="77777777" w:rsidR="006A6248" w:rsidRPr="006A6248" w:rsidRDefault="006A6248" w:rsidP="006A6248">
            <w:pPr>
              <w:spacing w:after="0" w:line="240" w:lineRule="auto"/>
              <w:jc w:val="center"/>
              <w:rPr>
                <w:rFonts w:ascii="Times New Roman" w:eastAsia="Times New Roman" w:hAnsi="Times New Roman"/>
                <w:sz w:val="20"/>
                <w:szCs w:val="20"/>
                <w:lang w:val="mk-MK" w:eastAsia="mk-MK"/>
              </w:rPr>
            </w:pPr>
          </w:p>
        </w:tc>
        <w:tc>
          <w:tcPr>
            <w:tcW w:w="1600" w:type="dxa"/>
            <w:tcBorders>
              <w:top w:val="nil"/>
              <w:left w:val="nil"/>
              <w:bottom w:val="double" w:sz="6" w:space="0" w:color="auto"/>
              <w:right w:val="nil"/>
            </w:tcBorders>
            <w:shd w:val="clear" w:color="auto" w:fill="auto"/>
            <w:vAlign w:val="center"/>
            <w:hideMark/>
          </w:tcPr>
          <w:p w14:paraId="7F1CF998" w14:textId="77777777" w:rsidR="006A6248" w:rsidRPr="006A6248" w:rsidRDefault="006A6248" w:rsidP="006A6248">
            <w:pPr>
              <w:spacing w:after="0" w:line="240" w:lineRule="auto"/>
              <w:jc w:val="right"/>
              <w:rPr>
                <w:rFonts w:ascii="Times New Roman" w:eastAsia="Times New Roman" w:hAnsi="Times New Roman"/>
                <w:b/>
                <w:bCs/>
                <w:sz w:val="21"/>
                <w:szCs w:val="21"/>
                <w:lang w:val="mk-MK" w:eastAsia="mk-MK"/>
              </w:rPr>
            </w:pPr>
            <w:r w:rsidRPr="006A6248">
              <w:rPr>
                <w:rFonts w:ascii="Times New Roman" w:eastAsia="Times New Roman" w:hAnsi="Times New Roman"/>
                <w:b/>
                <w:bCs/>
                <w:sz w:val="21"/>
                <w:szCs w:val="21"/>
                <w:lang w:val="mk-MK" w:eastAsia="mk-MK"/>
              </w:rPr>
              <w:t xml:space="preserve">          2.371.678 </w:t>
            </w:r>
          </w:p>
        </w:tc>
        <w:tc>
          <w:tcPr>
            <w:tcW w:w="180" w:type="dxa"/>
            <w:tcBorders>
              <w:top w:val="nil"/>
              <w:left w:val="nil"/>
              <w:bottom w:val="nil"/>
              <w:right w:val="nil"/>
            </w:tcBorders>
            <w:shd w:val="clear" w:color="auto" w:fill="auto"/>
            <w:noWrap/>
            <w:vAlign w:val="center"/>
            <w:hideMark/>
          </w:tcPr>
          <w:p w14:paraId="15A02DAA" w14:textId="77777777" w:rsidR="006A6248" w:rsidRPr="006A6248" w:rsidRDefault="006A6248" w:rsidP="006A6248">
            <w:pPr>
              <w:spacing w:after="0" w:line="240" w:lineRule="auto"/>
              <w:jc w:val="right"/>
              <w:rPr>
                <w:rFonts w:ascii="Times New Roman" w:eastAsia="Times New Roman" w:hAnsi="Times New Roman"/>
                <w:b/>
                <w:bCs/>
                <w:sz w:val="21"/>
                <w:szCs w:val="21"/>
                <w:lang w:val="mk-MK" w:eastAsia="mk-MK"/>
              </w:rPr>
            </w:pPr>
          </w:p>
        </w:tc>
        <w:tc>
          <w:tcPr>
            <w:tcW w:w="1300" w:type="dxa"/>
            <w:tcBorders>
              <w:top w:val="nil"/>
              <w:left w:val="nil"/>
              <w:bottom w:val="double" w:sz="6" w:space="0" w:color="auto"/>
              <w:right w:val="nil"/>
            </w:tcBorders>
            <w:shd w:val="clear" w:color="auto" w:fill="auto"/>
            <w:vAlign w:val="center"/>
            <w:hideMark/>
          </w:tcPr>
          <w:p w14:paraId="3D048689" w14:textId="77777777" w:rsidR="006A6248" w:rsidRPr="006A6248" w:rsidRDefault="006A6248" w:rsidP="006A6248">
            <w:pPr>
              <w:spacing w:after="0" w:line="240" w:lineRule="auto"/>
              <w:jc w:val="right"/>
              <w:rPr>
                <w:rFonts w:ascii="Times New Roman" w:eastAsia="Times New Roman" w:hAnsi="Times New Roman"/>
                <w:b/>
                <w:bCs/>
                <w:sz w:val="21"/>
                <w:szCs w:val="21"/>
                <w:lang w:val="mk-MK" w:eastAsia="mk-MK"/>
              </w:rPr>
            </w:pPr>
            <w:r w:rsidRPr="006A6248">
              <w:rPr>
                <w:rFonts w:ascii="Times New Roman" w:eastAsia="Times New Roman" w:hAnsi="Times New Roman"/>
                <w:b/>
                <w:bCs/>
                <w:sz w:val="21"/>
                <w:szCs w:val="21"/>
                <w:lang w:val="mk-MK" w:eastAsia="mk-MK"/>
              </w:rPr>
              <w:t xml:space="preserve">     2.465.956 </w:t>
            </w:r>
          </w:p>
        </w:tc>
      </w:tr>
    </w:tbl>
    <w:p w14:paraId="09A9AA5C" w14:textId="77777777" w:rsidR="006A6248" w:rsidRDefault="006A6248" w:rsidP="0049181F">
      <w:pPr>
        <w:jc w:val="both"/>
        <w:rPr>
          <w:rFonts w:ascii="Times New Roman" w:hAnsi="Times New Roman"/>
          <w:sz w:val="24"/>
          <w:szCs w:val="24"/>
          <w:lang w:val="mk-MK"/>
        </w:rPr>
      </w:pPr>
    </w:p>
    <w:p w14:paraId="537779E5" w14:textId="77777777" w:rsidR="00FA465E" w:rsidRDefault="00FA465E" w:rsidP="0049181F">
      <w:pPr>
        <w:jc w:val="both"/>
        <w:rPr>
          <w:rFonts w:ascii="Times New Roman" w:hAnsi="Times New Roman"/>
          <w:sz w:val="24"/>
          <w:szCs w:val="24"/>
          <w:lang w:val="mk-MK"/>
        </w:rPr>
      </w:pPr>
    </w:p>
    <w:p w14:paraId="698495BC" w14:textId="77777777" w:rsidR="006C66C2" w:rsidRDefault="006C66C2" w:rsidP="0049181F">
      <w:pPr>
        <w:jc w:val="both"/>
        <w:rPr>
          <w:rFonts w:ascii="Times New Roman" w:hAnsi="Times New Roman"/>
          <w:sz w:val="24"/>
          <w:szCs w:val="24"/>
          <w:lang w:val="mk-MK"/>
        </w:rPr>
      </w:pPr>
    </w:p>
    <w:tbl>
      <w:tblPr>
        <w:tblW w:w="9824" w:type="dxa"/>
        <w:tblLook w:val="04A0" w:firstRow="1" w:lastRow="0" w:firstColumn="1" w:lastColumn="0" w:noHBand="0" w:noVBand="1"/>
      </w:tblPr>
      <w:tblGrid>
        <w:gridCol w:w="5130"/>
        <w:gridCol w:w="1063"/>
        <w:gridCol w:w="222"/>
        <w:gridCol w:w="1380"/>
        <w:gridCol w:w="395"/>
        <w:gridCol w:w="1634"/>
      </w:tblGrid>
      <w:tr w:rsidR="00FA465E" w:rsidRPr="00FA465E" w14:paraId="2B49CC94" w14:textId="77777777" w:rsidTr="001C5B17">
        <w:trPr>
          <w:trHeight w:val="300"/>
        </w:trPr>
        <w:tc>
          <w:tcPr>
            <w:tcW w:w="9824" w:type="dxa"/>
            <w:gridSpan w:val="6"/>
            <w:tcBorders>
              <w:top w:val="nil"/>
              <w:left w:val="nil"/>
              <w:bottom w:val="nil"/>
              <w:right w:val="nil"/>
            </w:tcBorders>
            <w:shd w:val="clear" w:color="auto" w:fill="auto"/>
            <w:noWrap/>
            <w:vAlign w:val="bottom"/>
            <w:hideMark/>
          </w:tcPr>
          <w:p w14:paraId="48882D97" w14:textId="77777777" w:rsidR="00FA465E" w:rsidRPr="00FA465E" w:rsidRDefault="00FA465E" w:rsidP="00FA465E">
            <w:pPr>
              <w:spacing w:after="0" w:line="240" w:lineRule="auto"/>
              <w:rPr>
                <w:rFonts w:ascii="Times New Roman" w:eastAsia="Times New Roman" w:hAnsi="Times New Roman"/>
                <w:b/>
                <w:bCs/>
                <w:sz w:val="21"/>
                <w:szCs w:val="21"/>
                <w:lang w:val="mk-MK" w:eastAsia="mk-MK"/>
              </w:rPr>
            </w:pPr>
            <w:r w:rsidRPr="00FA465E">
              <w:rPr>
                <w:rFonts w:ascii="Times New Roman" w:eastAsia="Times New Roman" w:hAnsi="Times New Roman"/>
                <w:b/>
                <w:bCs/>
                <w:sz w:val="21"/>
                <w:szCs w:val="21"/>
                <w:lang w:val="mk-MK" w:eastAsia="mk-MK"/>
              </w:rPr>
              <w:t>БИЛАНС НА СОСТОЈБА -Консолидиран</w:t>
            </w:r>
          </w:p>
        </w:tc>
      </w:tr>
      <w:tr w:rsidR="00FA465E" w:rsidRPr="00FA465E" w14:paraId="2F814D50" w14:textId="77777777" w:rsidTr="001C5B17">
        <w:trPr>
          <w:trHeight w:val="315"/>
        </w:trPr>
        <w:tc>
          <w:tcPr>
            <w:tcW w:w="5130" w:type="dxa"/>
            <w:tcBorders>
              <w:top w:val="nil"/>
              <w:left w:val="nil"/>
              <w:bottom w:val="nil"/>
              <w:right w:val="nil"/>
            </w:tcBorders>
            <w:shd w:val="clear" w:color="auto" w:fill="auto"/>
            <w:vAlign w:val="bottom"/>
            <w:hideMark/>
          </w:tcPr>
          <w:p w14:paraId="493A119F" w14:textId="77777777" w:rsidR="00FA465E" w:rsidRPr="00FA465E" w:rsidRDefault="00FA465E" w:rsidP="00FA465E">
            <w:pPr>
              <w:spacing w:after="0" w:line="240" w:lineRule="auto"/>
              <w:rPr>
                <w:rFonts w:ascii="Times New Roman" w:eastAsia="Times New Roman" w:hAnsi="Times New Roman"/>
                <w:b/>
                <w:bCs/>
                <w:sz w:val="21"/>
                <w:szCs w:val="21"/>
                <w:lang w:val="mk-MK" w:eastAsia="mk-MK"/>
              </w:rPr>
            </w:pPr>
          </w:p>
        </w:tc>
        <w:tc>
          <w:tcPr>
            <w:tcW w:w="1063" w:type="dxa"/>
            <w:tcBorders>
              <w:top w:val="nil"/>
              <w:left w:val="nil"/>
              <w:bottom w:val="single" w:sz="8" w:space="0" w:color="auto"/>
              <w:right w:val="nil"/>
            </w:tcBorders>
            <w:shd w:val="clear" w:color="auto" w:fill="auto"/>
            <w:vAlign w:val="bottom"/>
            <w:hideMark/>
          </w:tcPr>
          <w:p w14:paraId="53C2E205" w14:textId="77777777" w:rsidR="00FA465E" w:rsidRPr="00FA465E" w:rsidRDefault="00FA465E" w:rsidP="00FA465E">
            <w:pPr>
              <w:spacing w:after="0" w:line="240" w:lineRule="auto"/>
              <w:jc w:val="center"/>
              <w:rPr>
                <w:rFonts w:ascii="Times New Roman" w:eastAsia="Times New Roman" w:hAnsi="Times New Roman"/>
                <w:b/>
                <w:bCs/>
                <w:sz w:val="21"/>
                <w:szCs w:val="21"/>
                <w:lang w:val="mk-MK" w:eastAsia="mk-MK"/>
              </w:rPr>
            </w:pPr>
            <w:r w:rsidRPr="00FA465E">
              <w:rPr>
                <w:rFonts w:ascii="Times New Roman" w:eastAsia="Times New Roman" w:hAnsi="Times New Roman"/>
                <w:b/>
                <w:bCs/>
                <w:sz w:val="21"/>
                <w:szCs w:val="21"/>
                <w:lang w:val="mk-MK" w:eastAsia="mk-MK"/>
              </w:rPr>
              <w:t>Белешка</w:t>
            </w:r>
          </w:p>
        </w:tc>
        <w:tc>
          <w:tcPr>
            <w:tcW w:w="222" w:type="dxa"/>
            <w:tcBorders>
              <w:top w:val="nil"/>
              <w:left w:val="nil"/>
              <w:bottom w:val="nil"/>
              <w:right w:val="nil"/>
            </w:tcBorders>
            <w:shd w:val="clear" w:color="auto" w:fill="auto"/>
            <w:vAlign w:val="bottom"/>
            <w:hideMark/>
          </w:tcPr>
          <w:p w14:paraId="7665AAD0" w14:textId="77777777" w:rsidR="00FA465E" w:rsidRPr="00FA465E" w:rsidRDefault="00FA465E" w:rsidP="00FA465E">
            <w:pPr>
              <w:spacing w:after="0" w:line="240" w:lineRule="auto"/>
              <w:jc w:val="center"/>
              <w:rPr>
                <w:rFonts w:ascii="Times New Roman" w:eastAsia="Times New Roman" w:hAnsi="Times New Roman"/>
                <w:b/>
                <w:bCs/>
                <w:sz w:val="21"/>
                <w:szCs w:val="21"/>
                <w:lang w:val="mk-MK" w:eastAsia="mk-MK"/>
              </w:rPr>
            </w:pPr>
          </w:p>
        </w:tc>
        <w:tc>
          <w:tcPr>
            <w:tcW w:w="1380" w:type="dxa"/>
            <w:tcBorders>
              <w:top w:val="nil"/>
              <w:left w:val="nil"/>
              <w:bottom w:val="single" w:sz="8" w:space="0" w:color="auto"/>
              <w:right w:val="nil"/>
            </w:tcBorders>
            <w:shd w:val="clear" w:color="auto" w:fill="auto"/>
            <w:vAlign w:val="bottom"/>
            <w:hideMark/>
          </w:tcPr>
          <w:p w14:paraId="3556D4F7"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2022</w:t>
            </w:r>
          </w:p>
        </w:tc>
        <w:tc>
          <w:tcPr>
            <w:tcW w:w="395" w:type="dxa"/>
            <w:tcBorders>
              <w:top w:val="nil"/>
              <w:left w:val="nil"/>
              <w:bottom w:val="nil"/>
              <w:right w:val="nil"/>
            </w:tcBorders>
            <w:shd w:val="clear" w:color="auto" w:fill="auto"/>
            <w:vAlign w:val="bottom"/>
            <w:hideMark/>
          </w:tcPr>
          <w:p w14:paraId="5F34D4AE"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p>
        </w:tc>
        <w:tc>
          <w:tcPr>
            <w:tcW w:w="1634" w:type="dxa"/>
            <w:tcBorders>
              <w:top w:val="nil"/>
              <w:left w:val="nil"/>
              <w:bottom w:val="single" w:sz="8" w:space="0" w:color="auto"/>
              <w:right w:val="nil"/>
            </w:tcBorders>
            <w:shd w:val="clear" w:color="auto" w:fill="auto"/>
            <w:vAlign w:val="bottom"/>
            <w:hideMark/>
          </w:tcPr>
          <w:p w14:paraId="08D005F5"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2021</w:t>
            </w:r>
          </w:p>
        </w:tc>
      </w:tr>
      <w:tr w:rsidR="00FA465E" w:rsidRPr="00FA465E" w14:paraId="59F7C731" w14:textId="77777777" w:rsidTr="001C5B17">
        <w:trPr>
          <w:trHeight w:val="300"/>
        </w:trPr>
        <w:tc>
          <w:tcPr>
            <w:tcW w:w="5130" w:type="dxa"/>
            <w:tcBorders>
              <w:top w:val="nil"/>
              <w:left w:val="nil"/>
              <w:bottom w:val="nil"/>
              <w:right w:val="nil"/>
            </w:tcBorders>
            <w:shd w:val="clear" w:color="auto" w:fill="auto"/>
            <w:vAlign w:val="bottom"/>
            <w:hideMark/>
          </w:tcPr>
          <w:p w14:paraId="0E7FD094"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p>
        </w:tc>
        <w:tc>
          <w:tcPr>
            <w:tcW w:w="1063" w:type="dxa"/>
            <w:tcBorders>
              <w:top w:val="nil"/>
              <w:left w:val="nil"/>
              <w:bottom w:val="nil"/>
              <w:right w:val="nil"/>
            </w:tcBorders>
            <w:shd w:val="clear" w:color="auto" w:fill="auto"/>
            <w:noWrap/>
            <w:vAlign w:val="center"/>
            <w:hideMark/>
          </w:tcPr>
          <w:p w14:paraId="5871816D" w14:textId="77777777" w:rsidR="00FA465E" w:rsidRPr="00FA465E" w:rsidRDefault="00FA465E" w:rsidP="00FA465E">
            <w:pPr>
              <w:spacing w:after="0" w:line="240" w:lineRule="auto"/>
              <w:rPr>
                <w:rFonts w:ascii="Times New Roman" w:eastAsia="Times New Roman" w:hAnsi="Times New Roman"/>
                <w:sz w:val="20"/>
                <w:szCs w:val="20"/>
                <w:lang w:val="mk-MK" w:eastAsia="mk-MK"/>
              </w:rPr>
            </w:pPr>
          </w:p>
        </w:tc>
        <w:tc>
          <w:tcPr>
            <w:tcW w:w="222" w:type="dxa"/>
            <w:tcBorders>
              <w:top w:val="nil"/>
              <w:left w:val="nil"/>
              <w:bottom w:val="nil"/>
              <w:right w:val="nil"/>
            </w:tcBorders>
            <w:shd w:val="clear" w:color="auto" w:fill="auto"/>
            <w:vAlign w:val="bottom"/>
            <w:hideMark/>
          </w:tcPr>
          <w:p w14:paraId="157F0D44" w14:textId="77777777" w:rsidR="00FA465E" w:rsidRPr="00FA465E" w:rsidRDefault="00FA465E" w:rsidP="00FA465E">
            <w:pPr>
              <w:spacing w:after="0" w:line="240" w:lineRule="auto"/>
              <w:jc w:val="center"/>
              <w:rPr>
                <w:rFonts w:ascii="Times New Roman" w:eastAsia="Times New Roman" w:hAnsi="Times New Roman"/>
                <w:sz w:val="20"/>
                <w:szCs w:val="20"/>
                <w:lang w:val="mk-MK" w:eastAsia="mk-MK"/>
              </w:rPr>
            </w:pPr>
          </w:p>
        </w:tc>
        <w:tc>
          <w:tcPr>
            <w:tcW w:w="1380" w:type="dxa"/>
            <w:tcBorders>
              <w:top w:val="nil"/>
              <w:left w:val="nil"/>
              <w:bottom w:val="nil"/>
              <w:right w:val="nil"/>
            </w:tcBorders>
            <w:shd w:val="clear" w:color="auto" w:fill="auto"/>
            <w:vAlign w:val="bottom"/>
            <w:hideMark/>
          </w:tcPr>
          <w:p w14:paraId="462C94F0" w14:textId="77777777" w:rsidR="00FA465E" w:rsidRPr="00FA465E" w:rsidRDefault="00FA465E" w:rsidP="00FA465E">
            <w:pPr>
              <w:spacing w:after="0" w:line="240" w:lineRule="auto"/>
              <w:jc w:val="center"/>
              <w:rPr>
                <w:rFonts w:ascii="Times New Roman" w:eastAsia="Times New Roman" w:hAnsi="Times New Roman"/>
                <w:sz w:val="20"/>
                <w:szCs w:val="20"/>
                <w:lang w:val="mk-MK" w:eastAsia="mk-MK"/>
              </w:rPr>
            </w:pPr>
          </w:p>
        </w:tc>
        <w:tc>
          <w:tcPr>
            <w:tcW w:w="395" w:type="dxa"/>
            <w:tcBorders>
              <w:top w:val="nil"/>
              <w:left w:val="nil"/>
              <w:bottom w:val="nil"/>
              <w:right w:val="nil"/>
            </w:tcBorders>
            <w:shd w:val="clear" w:color="auto" w:fill="auto"/>
            <w:vAlign w:val="bottom"/>
            <w:hideMark/>
          </w:tcPr>
          <w:p w14:paraId="375A8D9C" w14:textId="77777777" w:rsidR="00FA465E" w:rsidRPr="00FA465E" w:rsidRDefault="00FA465E" w:rsidP="00FA465E">
            <w:pPr>
              <w:spacing w:after="0" w:line="240" w:lineRule="auto"/>
              <w:jc w:val="center"/>
              <w:rPr>
                <w:rFonts w:ascii="Times New Roman" w:eastAsia="Times New Roman" w:hAnsi="Times New Roman"/>
                <w:sz w:val="20"/>
                <w:szCs w:val="20"/>
                <w:lang w:val="mk-MK" w:eastAsia="mk-MK"/>
              </w:rPr>
            </w:pPr>
          </w:p>
        </w:tc>
        <w:tc>
          <w:tcPr>
            <w:tcW w:w="1634" w:type="dxa"/>
            <w:tcBorders>
              <w:top w:val="nil"/>
              <w:left w:val="nil"/>
              <w:bottom w:val="nil"/>
              <w:right w:val="nil"/>
            </w:tcBorders>
            <w:shd w:val="clear" w:color="auto" w:fill="auto"/>
            <w:vAlign w:val="bottom"/>
            <w:hideMark/>
          </w:tcPr>
          <w:p w14:paraId="27F76C05" w14:textId="77777777" w:rsidR="00FA465E" w:rsidRPr="00FA465E" w:rsidRDefault="00FA465E" w:rsidP="00FA465E">
            <w:pPr>
              <w:spacing w:after="0" w:line="240" w:lineRule="auto"/>
              <w:jc w:val="center"/>
              <w:rPr>
                <w:rFonts w:ascii="Times New Roman" w:eastAsia="Times New Roman" w:hAnsi="Times New Roman"/>
                <w:sz w:val="20"/>
                <w:szCs w:val="20"/>
                <w:lang w:val="mk-MK" w:eastAsia="mk-MK"/>
              </w:rPr>
            </w:pPr>
          </w:p>
        </w:tc>
      </w:tr>
      <w:tr w:rsidR="00FA465E" w:rsidRPr="00FA465E" w14:paraId="5EAE7E4E" w14:textId="77777777" w:rsidTr="001C5B17">
        <w:trPr>
          <w:trHeight w:val="300"/>
        </w:trPr>
        <w:tc>
          <w:tcPr>
            <w:tcW w:w="5130" w:type="dxa"/>
            <w:tcBorders>
              <w:top w:val="nil"/>
              <w:left w:val="nil"/>
              <w:bottom w:val="nil"/>
              <w:right w:val="nil"/>
            </w:tcBorders>
            <w:shd w:val="clear" w:color="auto" w:fill="auto"/>
            <w:vAlign w:val="bottom"/>
            <w:hideMark/>
          </w:tcPr>
          <w:p w14:paraId="11A198AB" w14:textId="77777777" w:rsidR="00FA465E" w:rsidRPr="00FA465E" w:rsidRDefault="00FA465E" w:rsidP="00FA465E">
            <w:pPr>
              <w:spacing w:after="0" w:line="240" w:lineRule="auto"/>
              <w:rPr>
                <w:rFonts w:ascii="Times New Roman" w:eastAsia="Times New Roman" w:hAnsi="Times New Roman"/>
                <w:b/>
                <w:bCs/>
                <w:sz w:val="21"/>
                <w:szCs w:val="21"/>
                <w:lang w:val="mk-MK" w:eastAsia="mk-MK"/>
              </w:rPr>
            </w:pPr>
            <w:r w:rsidRPr="00FA465E">
              <w:rPr>
                <w:rFonts w:ascii="Times New Roman" w:eastAsia="Times New Roman" w:hAnsi="Times New Roman"/>
                <w:b/>
                <w:bCs/>
                <w:sz w:val="21"/>
                <w:szCs w:val="21"/>
                <w:lang w:val="mk-MK" w:eastAsia="mk-MK"/>
              </w:rPr>
              <w:t>СРЕДСТВА</w:t>
            </w:r>
          </w:p>
        </w:tc>
        <w:tc>
          <w:tcPr>
            <w:tcW w:w="1063" w:type="dxa"/>
            <w:tcBorders>
              <w:top w:val="nil"/>
              <w:left w:val="nil"/>
              <w:bottom w:val="nil"/>
              <w:right w:val="nil"/>
            </w:tcBorders>
            <w:shd w:val="clear" w:color="auto" w:fill="auto"/>
            <w:noWrap/>
            <w:vAlign w:val="center"/>
            <w:hideMark/>
          </w:tcPr>
          <w:p w14:paraId="7F6A80E1" w14:textId="77777777" w:rsidR="00FA465E" w:rsidRPr="00FA465E" w:rsidRDefault="00FA465E" w:rsidP="00FA465E">
            <w:pPr>
              <w:spacing w:after="0" w:line="240" w:lineRule="auto"/>
              <w:rPr>
                <w:rFonts w:ascii="Times New Roman" w:eastAsia="Times New Roman" w:hAnsi="Times New Roman"/>
                <w:b/>
                <w:bCs/>
                <w:sz w:val="21"/>
                <w:szCs w:val="21"/>
                <w:lang w:val="mk-MK" w:eastAsia="mk-MK"/>
              </w:rPr>
            </w:pPr>
          </w:p>
        </w:tc>
        <w:tc>
          <w:tcPr>
            <w:tcW w:w="222" w:type="dxa"/>
            <w:tcBorders>
              <w:top w:val="nil"/>
              <w:left w:val="nil"/>
              <w:bottom w:val="nil"/>
              <w:right w:val="nil"/>
            </w:tcBorders>
            <w:shd w:val="clear" w:color="auto" w:fill="auto"/>
            <w:vAlign w:val="bottom"/>
            <w:hideMark/>
          </w:tcPr>
          <w:p w14:paraId="33DF30C0" w14:textId="77777777" w:rsidR="00FA465E" w:rsidRPr="00FA465E" w:rsidRDefault="00FA465E" w:rsidP="00FA465E">
            <w:pPr>
              <w:spacing w:after="0" w:line="240" w:lineRule="auto"/>
              <w:jc w:val="center"/>
              <w:rPr>
                <w:rFonts w:ascii="Times New Roman" w:eastAsia="Times New Roman" w:hAnsi="Times New Roman"/>
                <w:sz w:val="20"/>
                <w:szCs w:val="20"/>
                <w:lang w:val="mk-MK" w:eastAsia="mk-MK"/>
              </w:rPr>
            </w:pPr>
          </w:p>
        </w:tc>
        <w:tc>
          <w:tcPr>
            <w:tcW w:w="1380" w:type="dxa"/>
            <w:tcBorders>
              <w:top w:val="nil"/>
              <w:left w:val="nil"/>
              <w:bottom w:val="nil"/>
              <w:right w:val="nil"/>
            </w:tcBorders>
            <w:shd w:val="clear" w:color="auto" w:fill="auto"/>
            <w:vAlign w:val="bottom"/>
            <w:hideMark/>
          </w:tcPr>
          <w:p w14:paraId="145DF6B7" w14:textId="77777777" w:rsidR="00FA465E" w:rsidRPr="00FA465E" w:rsidRDefault="00FA465E" w:rsidP="00FA465E">
            <w:pPr>
              <w:spacing w:after="0" w:line="240" w:lineRule="auto"/>
              <w:jc w:val="center"/>
              <w:rPr>
                <w:rFonts w:ascii="Times New Roman" w:eastAsia="Times New Roman" w:hAnsi="Times New Roman"/>
                <w:sz w:val="20"/>
                <w:szCs w:val="20"/>
                <w:lang w:val="mk-MK" w:eastAsia="mk-MK"/>
              </w:rPr>
            </w:pPr>
          </w:p>
        </w:tc>
        <w:tc>
          <w:tcPr>
            <w:tcW w:w="395" w:type="dxa"/>
            <w:tcBorders>
              <w:top w:val="nil"/>
              <w:left w:val="nil"/>
              <w:bottom w:val="nil"/>
              <w:right w:val="nil"/>
            </w:tcBorders>
            <w:shd w:val="clear" w:color="auto" w:fill="auto"/>
            <w:vAlign w:val="bottom"/>
            <w:hideMark/>
          </w:tcPr>
          <w:p w14:paraId="73CE9076" w14:textId="77777777" w:rsidR="00FA465E" w:rsidRPr="00FA465E" w:rsidRDefault="00FA465E" w:rsidP="00FA465E">
            <w:pPr>
              <w:spacing w:after="0" w:line="240" w:lineRule="auto"/>
              <w:jc w:val="center"/>
              <w:rPr>
                <w:rFonts w:ascii="Times New Roman" w:eastAsia="Times New Roman" w:hAnsi="Times New Roman"/>
                <w:sz w:val="20"/>
                <w:szCs w:val="20"/>
                <w:lang w:val="mk-MK" w:eastAsia="mk-MK"/>
              </w:rPr>
            </w:pPr>
          </w:p>
        </w:tc>
        <w:tc>
          <w:tcPr>
            <w:tcW w:w="1634" w:type="dxa"/>
            <w:tcBorders>
              <w:top w:val="nil"/>
              <w:left w:val="nil"/>
              <w:bottom w:val="nil"/>
              <w:right w:val="nil"/>
            </w:tcBorders>
            <w:shd w:val="clear" w:color="auto" w:fill="auto"/>
            <w:vAlign w:val="bottom"/>
            <w:hideMark/>
          </w:tcPr>
          <w:p w14:paraId="5688F1BB" w14:textId="77777777" w:rsidR="00FA465E" w:rsidRPr="00FA465E" w:rsidRDefault="00FA465E" w:rsidP="00FA465E">
            <w:pPr>
              <w:spacing w:after="0" w:line="240" w:lineRule="auto"/>
              <w:jc w:val="center"/>
              <w:rPr>
                <w:rFonts w:ascii="Times New Roman" w:eastAsia="Times New Roman" w:hAnsi="Times New Roman"/>
                <w:sz w:val="20"/>
                <w:szCs w:val="20"/>
                <w:lang w:val="mk-MK" w:eastAsia="mk-MK"/>
              </w:rPr>
            </w:pPr>
          </w:p>
        </w:tc>
      </w:tr>
      <w:tr w:rsidR="00FA465E" w:rsidRPr="00FA465E" w14:paraId="272443BB" w14:textId="77777777" w:rsidTr="001C5B17">
        <w:trPr>
          <w:trHeight w:val="300"/>
        </w:trPr>
        <w:tc>
          <w:tcPr>
            <w:tcW w:w="5130" w:type="dxa"/>
            <w:tcBorders>
              <w:top w:val="nil"/>
              <w:left w:val="nil"/>
              <w:bottom w:val="nil"/>
              <w:right w:val="nil"/>
            </w:tcBorders>
            <w:shd w:val="clear" w:color="auto" w:fill="auto"/>
            <w:vAlign w:val="bottom"/>
            <w:hideMark/>
          </w:tcPr>
          <w:p w14:paraId="67305B56" w14:textId="77777777" w:rsidR="00FA465E" w:rsidRPr="00FA465E" w:rsidRDefault="00FA465E" w:rsidP="00FA465E">
            <w:pPr>
              <w:spacing w:after="0" w:line="240" w:lineRule="auto"/>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Парични средства и парични еквиваленти </w:t>
            </w:r>
          </w:p>
        </w:tc>
        <w:tc>
          <w:tcPr>
            <w:tcW w:w="1063" w:type="dxa"/>
            <w:tcBorders>
              <w:top w:val="nil"/>
              <w:left w:val="nil"/>
              <w:bottom w:val="nil"/>
              <w:right w:val="nil"/>
            </w:tcBorders>
            <w:shd w:val="clear" w:color="auto" w:fill="auto"/>
            <w:noWrap/>
            <w:vAlign w:val="center"/>
            <w:hideMark/>
          </w:tcPr>
          <w:p w14:paraId="452CECC0"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18</w:t>
            </w:r>
          </w:p>
        </w:tc>
        <w:tc>
          <w:tcPr>
            <w:tcW w:w="222" w:type="dxa"/>
            <w:tcBorders>
              <w:top w:val="nil"/>
              <w:left w:val="nil"/>
              <w:bottom w:val="nil"/>
              <w:right w:val="nil"/>
            </w:tcBorders>
            <w:shd w:val="clear" w:color="auto" w:fill="auto"/>
            <w:vAlign w:val="bottom"/>
            <w:hideMark/>
          </w:tcPr>
          <w:p w14:paraId="67835AEA"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3543A2B1"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22.469.444 </w:t>
            </w:r>
          </w:p>
        </w:tc>
        <w:tc>
          <w:tcPr>
            <w:tcW w:w="395" w:type="dxa"/>
            <w:tcBorders>
              <w:top w:val="nil"/>
              <w:left w:val="nil"/>
              <w:bottom w:val="nil"/>
              <w:right w:val="nil"/>
            </w:tcBorders>
            <w:shd w:val="clear" w:color="auto" w:fill="auto"/>
            <w:vAlign w:val="bottom"/>
            <w:hideMark/>
          </w:tcPr>
          <w:p w14:paraId="7EC5386A"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p>
        </w:tc>
        <w:tc>
          <w:tcPr>
            <w:tcW w:w="1634" w:type="dxa"/>
            <w:tcBorders>
              <w:top w:val="nil"/>
              <w:left w:val="nil"/>
              <w:bottom w:val="nil"/>
              <w:right w:val="nil"/>
            </w:tcBorders>
            <w:shd w:val="clear" w:color="auto" w:fill="auto"/>
            <w:vAlign w:val="bottom"/>
            <w:hideMark/>
          </w:tcPr>
          <w:p w14:paraId="6F122BB9"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20.867.797 </w:t>
            </w:r>
          </w:p>
        </w:tc>
      </w:tr>
      <w:tr w:rsidR="00FA465E" w:rsidRPr="00FA465E" w14:paraId="5AE22665" w14:textId="77777777" w:rsidTr="001C5B17">
        <w:trPr>
          <w:trHeight w:val="300"/>
        </w:trPr>
        <w:tc>
          <w:tcPr>
            <w:tcW w:w="5130" w:type="dxa"/>
            <w:tcBorders>
              <w:top w:val="nil"/>
              <w:left w:val="nil"/>
              <w:bottom w:val="nil"/>
              <w:right w:val="nil"/>
            </w:tcBorders>
            <w:shd w:val="clear" w:color="auto" w:fill="auto"/>
            <w:vAlign w:val="bottom"/>
            <w:hideMark/>
          </w:tcPr>
          <w:p w14:paraId="35472996" w14:textId="77777777" w:rsidR="00FA465E" w:rsidRPr="00FA465E" w:rsidRDefault="00FA465E" w:rsidP="00FA465E">
            <w:pPr>
              <w:spacing w:after="0" w:line="240" w:lineRule="auto"/>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Средства за тргување</w:t>
            </w:r>
          </w:p>
        </w:tc>
        <w:tc>
          <w:tcPr>
            <w:tcW w:w="1063" w:type="dxa"/>
            <w:tcBorders>
              <w:top w:val="nil"/>
              <w:left w:val="nil"/>
              <w:bottom w:val="nil"/>
              <w:right w:val="nil"/>
            </w:tcBorders>
            <w:shd w:val="clear" w:color="auto" w:fill="auto"/>
            <w:noWrap/>
            <w:vAlign w:val="center"/>
            <w:hideMark/>
          </w:tcPr>
          <w:p w14:paraId="0613325E"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19</w:t>
            </w:r>
          </w:p>
        </w:tc>
        <w:tc>
          <w:tcPr>
            <w:tcW w:w="222" w:type="dxa"/>
            <w:tcBorders>
              <w:top w:val="nil"/>
              <w:left w:val="nil"/>
              <w:bottom w:val="nil"/>
              <w:right w:val="nil"/>
            </w:tcBorders>
            <w:shd w:val="clear" w:color="auto" w:fill="auto"/>
            <w:vAlign w:val="bottom"/>
            <w:hideMark/>
          </w:tcPr>
          <w:p w14:paraId="297FEF94"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2C16D9C8"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2.021 </w:t>
            </w:r>
          </w:p>
        </w:tc>
        <w:tc>
          <w:tcPr>
            <w:tcW w:w="395" w:type="dxa"/>
            <w:tcBorders>
              <w:top w:val="nil"/>
              <w:left w:val="nil"/>
              <w:bottom w:val="nil"/>
              <w:right w:val="nil"/>
            </w:tcBorders>
            <w:shd w:val="clear" w:color="auto" w:fill="auto"/>
            <w:vAlign w:val="bottom"/>
            <w:hideMark/>
          </w:tcPr>
          <w:p w14:paraId="03AD9F68"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p>
        </w:tc>
        <w:tc>
          <w:tcPr>
            <w:tcW w:w="1634" w:type="dxa"/>
            <w:tcBorders>
              <w:top w:val="nil"/>
              <w:left w:val="nil"/>
              <w:bottom w:val="nil"/>
              <w:right w:val="nil"/>
            </w:tcBorders>
            <w:shd w:val="clear" w:color="auto" w:fill="auto"/>
            <w:vAlign w:val="bottom"/>
            <w:hideMark/>
          </w:tcPr>
          <w:p w14:paraId="36C912C7"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1.999 </w:t>
            </w:r>
          </w:p>
        </w:tc>
      </w:tr>
      <w:tr w:rsidR="00FA465E" w:rsidRPr="00FA465E" w14:paraId="0D574259" w14:textId="77777777" w:rsidTr="001C5B17">
        <w:trPr>
          <w:trHeight w:val="555"/>
        </w:trPr>
        <w:tc>
          <w:tcPr>
            <w:tcW w:w="5130" w:type="dxa"/>
            <w:tcBorders>
              <w:top w:val="nil"/>
              <w:left w:val="nil"/>
              <w:bottom w:val="nil"/>
              <w:right w:val="nil"/>
            </w:tcBorders>
            <w:shd w:val="clear" w:color="auto" w:fill="auto"/>
            <w:vAlign w:val="bottom"/>
            <w:hideMark/>
          </w:tcPr>
          <w:p w14:paraId="30E7E32F" w14:textId="77777777" w:rsidR="00FA465E" w:rsidRPr="00FA465E" w:rsidRDefault="00FA465E" w:rsidP="00FA465E">
            <w:pPr>
              <w:spacing w:after="0" w:line="240" w:lineRule="auto"/>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Финансиски средства по објективна вредност преку билансот на успех определени како такви при почетното признавање</w:t>
            </w:r>
          </w:p>
        </w:tc>
        <w:tc>
          <w:tcPr>
            <w:tcW w:w="1063" w:type="dxa"/>
            <w:tcBorders>
              <w:top w:val="nil"/>
              <w:left w:val="nil"/>
              <w:bottom w:val="nil"/>
              <w:right w:val="nil"/>
            </w:tcBorders>
            <w:shd w:val="clear" w:color="auto" w:fill="auto"/>
            <w:noWrap/>
            <w:vAlign w:val="center"/>
            <w:hideMark/>
          </w:tcPr>
          <w:p w14:paraId="4B034A88"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20</w:t>
            </w:r>
          </w:p>
        </w:tc>
        <w:tc>
          <w:tcPr>
            <w:tcW w:w="222" w:type="dxa"/>
            <w:tcBorders>
              <w:top w:val="nil"/>
              <w:left w:val="nil"/>
              <w:bottom w:val="nil"/>
              <w:right w:val="nil"/>
            </w:tcBorders>
            <w:shd w:val="clear" w:color="auto" w:fill="auto"/>
            <w:vAlign w:val="bottom"/>
            <w:hideMark/>
          </w:tcPr>
          <w:p w14:paraId="584F0FAF"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6C1982F7" w14:textId="77777777" w:rsidR="00FA465E" w:rsidRPr="00FA465E" w:rsidRDefault="00FA465E" w:rsidP="00FA465E">
            <w:pPr>
              <w:spacing w:after="0" w:line="240" w:lineRule="auto"/>
              <w:jc w:val="center"/>
              <w:rPr>
                <w:rFonts w:ascii="Times New Roman" w:eastAsia="Times New Roman" w:hAnsi="Times New Roman"/>
                <w:sz w:val="20"/>
                <w:szCs w:val="20"/>
                <w:lang w:val="mk-MK" w:eastAsia="mk-MK"/>
              </w:rPr>
            </w:pPr>
          </w:p>
        </w:tc>
        <w:tc>
          <w:tcPr>
            <w:tcW w:w="395" w:type="dxa"/>
            <w:tcBorders>
              <w:top w:val="nil"/>
              <w:left w:val="nil"/>
              <w:bottom w:val="nil"/>
              <w:right w:val="nil"/>
            </w:tcBorders>
            <w:shd w:val="clear" w:color="auto" w:fill="auto"/>
            <w:vAlign w:val="bottom"/>
            <w:hideMark/>
          </w:tcPr>
          <w:p w14:paraId="29C22821" w14:textId="77777777" w:rsidR="00FA465E" w:rsidRPr="00FA465E" w:rsidRDefault="00FA465E" w:rsidP="00FA465E">
            <w:pPr>
              <w:spacing w:after="0" w:line="240" w:lineRule="auto"/>
              <w:jc w:val="right"/>
              <w:rPr>
                <w:rFonts w:ascii="Times New Roman" w:eastAsia="Times New Roman" w:hAnsi="Times New Roman"/>
                <w:sz w:val="20"/>
                <w:szCs w:val="20"/>
                <w:lang w:val="mk-MK" w:eastAsia="mk-MK"/>
              </w:rPr>
            </w:pPr>
          </w:p>
        </w:tc>
        <w:tc>
          <w:tcPr>
            <w:tcW w:w="1634" w:type="dxa"/>
            <w:tcBorders>
              <w:top w:val="nil"/>
              <w:left w:val="nil"/>
              <w:bottom w:val="nil"/>
              <w:right w:val="nil"/>
            </w:tcBorders>
            <w:shd w:val="clear" w:color="auto" w:fill="auto"/>
            <w:vAlign w:val="bottom"/>
            <w:hideMark/>
          </w:tcPr>
          <w:p w14:paraId="188A5122"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   </w:t>
            </w:r>
          </w:p>
        </w:tc>
      </w:tr>
      <w:tr w:rsidR="00FA465E" w:rsidRPr="00FA465E" w14:paraId="7AB45C3B" w14:textId="77777777" w:rsidTr="001C5B17">
        <w:trPr>
          <w:trHeight w:val="300"/>
        </w:trPr>
        <w:tc>
          <w:tcPr>
            <w:tcW w:w="5130" w:type="dxa"/>
            <w:tcBorders>
              <w:top w:val="nil"/>
              <w:left w:val="nil"/>
              <w:bottom w:val="nil"/>
              <w:right w:val="nil"/>
            </w:tcBorders>
            <w:shd w:val="clear" w:color="auto" w:fill="auto"/>
            <w:vAlign w:val="bottom"/>
            <w:hideMark/>
          </w:tcPr>
          <w:p w14:paraId="6798FE43" w14:textId="77777777" w:rsidR="00FA465E" w:rsidRPr="00FA465E" w:rsidRDefault="00FA465E" w:rsidP="00FA465E">
            <w:pPr>
              <w:spacing w:after="0" w:line="240" w:lineRule="auto"/>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Дериватни средства чувани за управување со ризик</w:t>
            </w:r>
          </w:p>
        </w:tc>
        <w:tc>
          <w:tcPr>
            <w:tcW w:w="1063" w:type="dxa"/>
            <w:tcBorders>
              <w:top w:val="nil"/>
              <w:left w:val="nil"/>
              <w:bottom w:val="nil"/>
              <w:right w:val="nil"/>
            </w:tcBorders>
            <w:shd w:val="clear" w:color="auto" w:fill="auto"/>
            <w:noWrap/>
            <w:vAlign w:val="center"/>
            <w:hideMark/>
          </w:tcPr>
          <w:p w14:paraId="735F3770"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21</w:t>
            </w:r>
          </w:p>
        </w:tc>
        <w:tc>
          <w:tcPr>
            <w:tcW w:w="222" w:type="dxa"/>
            <w:tcBorders>
              <w:top w:val="nil"/>
              <w:left w:val="nil"/>
              <w:bottom w:val="nil"/>
              <w:right w:val="nil"/>
            </w:tcBorders>
            <w:shd w:val="clear" w:color="auto" w:fill="auto"/>
            <w:vAlign w:val="bottom"/>
            <w:hideMark/>
          </w:tcPr>
          <w:p w14:paraId="26DEC17E"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4AB1D7B7" w14:textId="77777777" w:rsidR="00FA465E" w:rsidRPr="00FA465E" w:rsidRDefault="00FA465E" w:rsidP="00FA465E">
            <w:pPr>
              <w:spacing w:after="0" w:line="240" w:lineRule="auto"/>
              <w:jc w:val="center"/>
              <w:rPr>
                <w:rFonts w:ascii="Times New Roman" w:eastAsia="Times New Roman" w:hAnsi="Times New Roman"/>
                <w:sz w:val="20"/>
                <w:szCs w:val="20"/>
                <w:lang w:val="mk-MK" w:eastAsia="mk-MK"/>
              </w:rPr>
            </w:pPr>
          </w:p>
        </w:tc>
        <w:tc>
          <w:tcPr>
            <w:tcW w:w="395" w:type="dxa"/>
            <w:tcBorders>
              <w:top w:val="nil"/>
              <w:left w:val="nil"/>
              <w:bottom w:val="nil"/>
              <w:right w:val="nil"/>
            </w:tcBorders>
            <w:shd w:val="clear" w:color="auto" w:fill="auto"/>
            <w:vAlign w:val="bottom"/>
            <w:hideMark/>
          </w:tcPr>
          <w:p w14:paraId="23AD5243" w14:textId="77777777" w:rsidR="00FA465E" w:rsidRPr="00FA465E" w:rsidRDefault="00FA465E" w:rsidP="00FA465E">
            <w:pPr>
              <w:spacing w:after="0" w:line="240" w:lineRule="auto"/>
              <w:jc w:val="right"/>
              <w:rPr>
                <w:rFonts w:ascii="Times New Roman" w:eastAsia="Times New Roman" w:hAnsi="Times New Roman"/>
                <w:sz w:val="20"/>
                <w:szCs w:val="20"/>
                <w:lang w:val="mk-MK" w:eastAsia="mk-MK"/>
              </w:rPr>
            </w:pPr>
          </w:p>
        </w:tc>
        <w:tc>
          <w:tcPr>
            <w:tcW w:w="1634" w:type="dxa"/>
            <w:tcBorders>
              <w:top w:val="nil"/>
              <w:left w:val="nil"/>
              <w:bottom w:val="nil"/>
              <w:right w:val="nil"/>
            </w:tcBorders>
            <w:shd w:val="clear" w:color="auto" w:fill="auto"/>
            <w:vAlign w:val="bottom"/>
            <w:hideMark/>
          </w:tcPr>
          <w:p w14:paraId="4B399274"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   </w:t>
            </w:r>
          </w:p>
        </w:tc>
      </w:tr>
      <w:tr w:rsidR="00FA465E" w:rsidRPr="00FA465E" w14:paraId="2109186F" w14:textId="77777777" w:rsidTr="001C5B17">
        <w:trPr>
          <w:trHeight w:val="300"/>
        </w:trPr>
        <w:tc>
          <w:tcPr>
            <w:tcW w:w="5130" w:type="dxa"/>
            <w:tcBorders>
              <w:top w:val="nil"/>
              <w:left w:val="nil"/>
              <w:bottom w:val="nil"/>
              <w:right w:val="nil"/>
            </w:tcBorders>
            <w:shd w:val="clear" w:color="auto" w:fill="auto"/>
            <w:vAlign w:val="bottom"/>
            <w:hideMark/>
          </w:tcPr>
          <w:p w14:paraId="74433971" w14:textId="77777777" w:rsidR="00FA465E" w:rsidRPr="00FA465E" w:rsidRDefault="00FA465E" w:rsidP="00FA465E">
            <w:pPr>
              <w:spacing w:after="0" w:line="240" w:lineRule="auto"/>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Кредити на и побарувања од банки</w:t>
            </w:r>
          </w:p>
        </w:tc>
        <w:tc>
          <w:tcPr>
            <w:tcW w:w="1063" w:type="dxa"/>
            <w:tcBorders>
              <w:top w:val="nil"/>
              <w:left w:val="nil"/>
              <w:bottom w:val="nil"/>
              <w:right w:val="nil"/>
            </w:tcBorders>
            <w:shd w:val="clear" w:color="auto" w:fill="auto"/>
            <w:noWrap/>
            <w:vAlign w:val="center"/>
            <w:hideMark/>
          </w:tcPr>
          <w:p w14:paraId="51FFA78D"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22.1</w:t>
            </w:r>
          </w:p>
        </w:tc>
        <w:tc>
          <w:tcPr>
            <w:tcW w:w="222" w:type="dxa"/>
            <w:tcBorders>
              <w:top w:val="nil"/>
              <w:left w:val="nil"/>
              <w:bottom w:val="nil"/>
              <w:right w:val="nil"/>
            </w:tcBorders>
            <w:shd w:val="clear" w:color="auto" w:fill="auto"/>
            <w:vAlign w:val="bottom"/>
            <w:hideMark/>
          </w:tcPr>
          <w:p w14:paraId="57CB9DAB"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396C93F8"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297.437 </w:t>
            </w:r>
          </w:p>
        </w:tc>
        <w:tc>
          <w:tcPr>
            <w:tcW w:w="395" w:type="dxa"/>
            <w:tcBorders>
              <w:top w:val="nil"/>
              <w:left w:val="nil"/>
              <w:bottom w:val="nil"/>
              <w:right w:val="nil"/>
            </w:tcBorders>
            <w:shd w:val="clear" w:color="auto" w:fill="auto"/>
            <w:vAlign w:val="bottom"/>
            <w:hideMark/>
          </w:tcPr>
          <w:p w14:paraId="15756BAF"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p>
        </w:tc>
        <w:tc>
          <w:tcPr>
            <w:tcW w:w="1634" w:type="dxa"/>
            <w:tcBorders>
              <w:top w:val="nil"/>
              <w:left w:val="nil"/>
              <w:bottom w:val="nil"/>
              <w:right w:val="nil"/>
            </w:tcBorders>
            <w:shd w:val="clear" w:color="auto" w:fill="auto"/>
            <w:vAlign w:val="bottom"/>
            <w:hideMark/>
          </w:tcPr>
          <w:p w14:paraId="54B0E334"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278.118 </w:t>
            </w:r>
          </w:p>
        </w:tc>
      </w:tr>
      <w:tr w:rsidR="00FA465E" w:rsidRPr="00FA465E" w14:paraId="4FB02771" w14:textId="77777777" w:rsidTr="001C5B17">
        <w:trPr>
          <w:trHeight w:val="300"/>
        </w:trPr>
        <w:tc>
          <w:tcPr>
            <w:tcW w:w="5130" w:type="dxa"/>
            <w:tcBorders>
              <w:top w:val="nil"/>
              <w:left w:val="nil"/>
              <w:bottom w:val="nil"/>
              <w:right w:val="nil"/>
            </w:tcBorders>
            <w:shd w:val="clear" w:color="auto" w:fill="auto"/>
            <w:vAlign w:val="bottom"/>
            <w:hideMark/>
          </w:tcPr>
          <w:p w14:paraId="74FB2C4B" w14:textId="77777777" w:rsidR="00FA465E" w:rsidRPr="00FA465E" w:rsidRDefault="00FA465E" w:rsidP="00FA465E">
            <w:pPr>
              <w:spacing w:after="0" w:line="240" w:lineRule="auto"/>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Кредити на и побарувања од други комитенти</w:t>
            </w:r>
          </w:p>
        </w:tc>
        <w:tc>
          <w:tcPr>
            <w:tcW w:w="1063" w:type="dxa"/>
            <w:tcBorders>
              <w:top w:val="nil"/>
              <w:left w:val="nil"/>
              <w:bottom w:val="nil"/>
              <w:right w:val="nil"/>
            </w:tcBorders>
            <w:shd w:val="clear" w:color="auto" w:fill="auto"/>
            <w:noWrap/>
            <w:vAlign w:val="center"/>
            <w:hideMark/>
          </w:tcPr>
          <w:p w14:paraId="62DF2E82"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22.2</w:t>
            </w:r>
          </w:p>
        </w:tc>
        <w:tc>
          <w:tcPr>
            <w:tcW w:w="222" w:type="dxa"/>
            <w:tcBorders>
              <w:top w:val="nil"/>
              <w:left w:val="nil"/>
              <w:bottom w:val="nil"/>
              <w:right w:val="nil"/>
            </w:tcBorders>
            <w:shd w:val="clear" w:color="auto" w:fill="auto"/>
            <w:vAlign w:val="bottom"/>
            <w:hideMark/>
          </w:tcPr>
          <w:p w14:paraId="27081568"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7C2A0AFF"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85.916.705 </w:t>
            </w:r>
          </w:p>
        </w:tc>
        <w:tc>
          <w:tcPr>
            <w:tcW w:w="395" w:type="dxa"/>
            <w:tcBorders>
              <w:top w:val="nil"/>
              <w:left w:val="nil"/>
              <w:bottom w:val="nil"/>
              <w:right w:val="nil"/>
            </w:tcBorders>
            <w:shd w:val="clear" w:color="auto" w:fill="auto"/>
            <w:vAlign w:val="bottom"/>
            <w:hideMark/>
          </w:tcPr>
          <w:p w14:paraId="73F4DF21"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p>
        </w:tc>
        <w:tc>
          <w:tcPr>
            <w:tcW w:w="1634" w:type="dxa"/>
            <w:tcBorders>
              <w:top w:val="nil"/>
              <w:left w:val="nil"/>
              <w:bottom w:val="nil"/>
              <w:right w:val="nil"/>
            </w:tcBorders>
            <w:shd w:val="clear" w:color="auto" w:fill="auto"/>
            <w:vAlign w:val="bottom"/>
            <w:hideMark/>
          </w:tcPr>
          <w:p w14:paraId="1420F6FE"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78.037.088 </w:t>
            </w:r>
          </w:p>
        </w:tc>
      </w:tr>
      <w:tr w:rsidR="00FA465E" w:rsidRPr="00FA465E" w14:paraId="26748850" w14:textId="77777777" w:rsidTr="001C5B17">
        <w:trPr>
          <w:trHeight w:val="300"/>
        </w:trPr>
        <w:tc>
          <w:tcPr>
            <w:tcW w:w="5130" w:type="dxa"/>
            <w:tcBorders>
              <w:top w:val="nil"/>
              <w:left w:val="nil"/>
              <w:bottom w:val="nil"/>
              <w:right w:val="nil"/>
            </w:tcBorders>
            <w:shd w:val="clear" w:color="auto" w:fill="auto"/>
            <w:vAlign w:val="bottom"/>
            <w:hideMark/>
          </w:tcPr>
          <w:p w14:paraId="33E60A98" w14:textId="77777777" w:rsidR="00FA465E" w:rsidRPr="00FA465E" w:rsidRDefault="00FA465E" w:rsidP="00FA465E">
            <w:pPr>
              <w:spacing w:after="0" w:line="240" w:lineRule="auto"/>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Вложувања во хартии од вредност</w:t>
            </w:r>
          </w:p>
        </w:tc>
        <w:tc>
          <w:tcPr>
            <w:tcW w:w="1063" w:type="dxa"/>
            <w:tcBorders>
              <w:top w:val="nil"/>
              <w:left w:val="nil"/>
              <w:bottom w:val="nil"/>
              <w:right w:val="nil"/>
            </w:tcBorders>
            <w:shd w:val="clear" w:color="auto" w:fill="auto"/>
            <w:noWrap/>
            <w:vAlign w:val="center"/>
            <w:hideMark/>
          </w:tcPr>
          <w:p w14:paraId="1B313C51"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23</w:t>
            </w:r>
          </w:p>
        </w:tc>
        <w:tc>
          <w:tcPr>
            <w:tcW w:w="222" w:type="dxa"/>
            <w:tcBorders>
              <w:top w:val="nil"/>
              <w:left w:val="nil"/>
              <w:bottom w:val="nil"/>
              <w:right w:val="nil"/>
            </w:tcBorders>
            <w:shd w:val="clear" w:color="auto" w:fill="auto"/>
            <w:vAlign w:val="bottom"/>
            <w:hideMark/>
          </w:tcPr>
          <w:p w14:paraId="4AE3B3C3"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1C740C7E"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10.386.884 </w:t>
            </w:r>
          </w:p>
        </w:tc>
        <w:tc>
          <w:tcPr>
            <w:tcW w:w="395" w:type="dxa"/>
            <w:tcBorders>
              <w:top w:val="nil"/>
              <w:left w:val="nil"/>
              <w:bottom w:val="nil"/>
              <w:right w:val="nil"/>
            </w:tcBorders>
            <w:shd w:val="clear" w:color="auto" w:fill="auto"/>
            <w:vAlign w:val="bottom"/>
            <w:hideMark/>
          </w:tcPr>
          <w:p w14:paraId="2B1010A5"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p>
        </w:tc>
        <w:tc>
          <w:tcPr>
            <w:tcW w:w="1634" w:type="dxa"/>
            <w:tcBorders>
              <w:top w:val="nil"/>
              <w:left w:val="nil"/>
              <w:bottom w:val="nil"/>
              <w:right w:val="nil"/>
            </w:tcBorders>
            <w:shd w:val="clear" w:color="auto" w:fill="auto"/>
            <w:vAlign w:val="bottom"/>
            <w:hideMark/>
          </w:tcPr>
          <w:p w14:paraId="225B5FBD"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12.297.667 </w:t>
            </w:r>
          </w:p>
        </w:tc>
      </w:tr>
      <w:tr w:rsidR="00FA465E" w:rsidRPr="00FA465E" w14:paraId="6AA4CC1F" w14:textId="77777777" w:rsidTr="001C5B17">
        <w:trPr>
          <w:trHeight w:val="300"/>
        </w:trPr>
        <w:tc>
          <w:tcPr>
            <w:tcW w:w="5130" w:type="dxa"/>
            <w:tcBorders>
              <w:top w:val="nil"/>
              <w:left w:val="nil"/>
              <w:bottom w:val="nil"/>
              <w:right w:val="nil"/>
            </w:tcBorders>
            <w:shd w:val="clear" w:color="auto" w:fill="auto"/>
            <w:vAlign w:val="bottom"/>
            <w:hideMark/>
          </w:tcPr>
          <w:p w14:paraId="5F9E36CF" w14:textId="77777777" w:rsidR="00FA465E" w:rsidRPr="00FA465E" w:rsidRDefault="00FA465E" w:rsidP="00FA465E">
            <w:pPr>
              <w:spacing w:after="0" w:line="240" w:lineRule="auto"/>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Вложувања во придружени друштва</w:t>
            </w:r>
          </w:p>
        </w:tc>
        <w:tc>
          <w:tcPr>
            <w:tcW w:w="1063" w:type="dxa"/>
            <w:tcBorders>
              <w:top w:val="nil"/>
              <w:left w:val="nil"/>
              <w:bottom w:val="nil"/>
              <w:right w:val="nil"/>
            </w:tcBorders>
            <w:shd w:val="clear" w:color="auto" w:fill="auto"/>
            <w:noWrap/>
            <w:vAlign w:val="center"/>
            <w:hideMark/>
          </w:tcPr>
          <w:p w14:paraId="53A9838E"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24</w:t>
            </w:r>
          </w:p>
        </w:tc>
        <w:tc>
          <w:tcPr>
            <w:tcW w:w="222" w:type="dxa"/>
            <w:tcBorders>
              <w:top w:val="nil"/>
              <w:left w:val="nil"/>
              <w:bottom w:val="nil"/>
              <w:right w:val="nil"/>
            </w:tcBorders>
            <w:shd w:val="clear" w:color="auto" w:fill="auto"/>
            <w:vAlign w:val="bottom"/>
            <w:hideMark/>
          </w:tcPr>
          <w:p w14:paraId="2928CF0E"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1D9C1837"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   </w:t>
            </w:r>
          </w:p>
        </w:tc>
        <w:tc>
          <w:tcPr>
            <w:tcW w:w="395" w:type="dxa"/>
            <w:tcBorders>
              <w:top w:val="nil"/>
              <w:left w:val="nil"/>
              <w:bottom w:val="nil"/>
              <w:right w:val="nil"/>
            </w:tcBorders>
            <w:shd w:val="clear" w:color="auto" w:fill="auto"/>
            <w:vAlign w:val="bottom"/>
            <w:hideMark/>
          </w:tcPr>
          <w:p w14:paraId="0859BE71"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p>
        </w:tc>
        <w:tc>
          <w:tcPr>
            <w:tcW w:w="1634" w:type="dxa"/>
            <w:tcBorders>
              <w:top w:val="nil"/>
              <w:left w:val="nil"/>
              <w:bottom w:val="nil"/>
              <w:right w:val="nil"/>
            </w:tcBorders>
            <w:shd w:val="clear" w:color="auto" w:fill="auto"/>
            <w:vAlign w:val="bottom"/>
            <w:hideMark/>
          </w:tcPr>
          <w:p w14:paraId="75EB9AF6"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   </w:t>
            </w:r>
          </w:p>
        </w:tc>
      </w:tr>
      <w:tr w:rsidR="00FA465E" w:rsidRPr="00FA465E" w14:paraId="7B53C3DA" w14:textId="77777777" w:rsidTr="001C5B17">
        <w:trPr>
          <w:trHeight w:val="300"/>
        </w:trPr>
        <w:tc>
          <w:tcPr>
            <w:tcW w:w="5130" w:type="dxa"/>
            <w:tcBorders>
              <w:top w:val="nil"/>
              <w:left w:val="nil"/>
              <w:bottom w:val="nil"/>
              <w:right w:val="nil"/>
            </w:tcBorders>
            <w:shd w:val="clear" w:color="auto" w:fill="auto"/>
            <w:vAlign w:val="bottom"/>
            <w:hideMark/>
          </w:tcPr>
          <w:p w14:paraId="4F37ABBC" w14:textId="77777777" w:rsidR="00FA465E" w:rsidRPr="00FA465E" w:rsidRDefault="00FA465E" w:rsidP="00FA465E">
            <w:pPr>
              <w:spacing w:after="0" w:line="240" w:lineRule="auto"/>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Побарувања за данок на добивка (тековен)</w:t>
            </w:r>
          </w:p>
        </w:tc>
        <w:tc>
          <w:tcPr>
            <w:tcW w:w="1063" w:type="dxa"/>
            <w:tcBorders>
              <w:top w:val="nil"/>
              <w:left w:val="nil"/>
              <w:bottom w:val="nil"/>
              <w:right w:val="nil"/>
            </w:tcBorders>
            <w:shd w:val="clear" w:color="auto" w:fill="auto"/>
            <w:noWrap/>
            <w:vAlign w:val="center"/>
            <w:hideMark/>
          </w:tcPr>
          <w:p w14:paraId="25C42969"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30.1</w:t>
            </w:r>
          </w:p>
        </w:tc>
        <w:tc>
          <w:tcPr>
            <w:tcW w:w="222" w:type="dxa"/>
            <w:tcBorders>
              <w:top w:val="nil"/>
              <w:left w:val="nil"/>
              <w:bottom w:val="nil"/>
              <w:right w:val="nil"/>
            </w:tcBorders>
            <w:shd w:val="clear" w:color="auto" w:fill="auto"/>
            <w:vAlign w:val="bottom"/>
            <w:hideMark/>
          </w:tcPr>
          <w:p w14:paraId="71755A03"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3E0B201F" w14:textId="77777777" w:rsidR="00FA465E" w:rsidRPr="00FA465E" w:rsidRDefault="00FA465E" w:rsidP="00FA465E">
            <w:pPr>
              <w:spacing w:after="0" w:line="240" w:lineRule="auto"/>
              <w:jc w:val="center"/>
              <w:rPr>
                <w:rFonts w:ascii="Times New Roman" w:eastAsia="Times New Roman" w:hAnsi="Times New Roman"/>
                <w:sz w:val="20"/>
                <w:szCs w:val="20"/>
                <w:lang w:val="mk-MK" w:eastAsia="mk-MK"/>
              </w:rPr>
            </w:pPr>
          </w:p>
        </w:tc>
        <w:tc>
          <w:tcPr>
            <w:tcW w:w="395" w:type="dxa"/>
            <w:tcBorders>
              <w:top w:val="nil"/>
              <w:left w:val="nil"/>
              <w:bottom w:val="nil"/>
              <w:right w:val="nil"/>
            </w:tcBorders>
            <w:shd w:val="clear" w:color="auto" w:fill="auto"/>
            <w:vAlign w:val="bottom"/>
            <w:hideMark/>
          </w:tcPr>
          <w:p w14:paraId="4BDC28FE" w14:textId="77777777" w:rsidR="00FA465E" w:rsidRPr="00FA465E" w:rsidRDefault="00FA465E" w:rsidP="00FA465E">
            <w:pPr>
              <w:spacing w:after="0" w:line="240" w:lineRule="auto"/>
              <w:jc w:val="right"/>
              <w:rPr>
                <w:rFonts w:ascii="Times New Roman" w:eastAsia="Times New Roman" w:hAnsi="Times New Roman"/>
                <w:sz w:val="20"/>
                <w:szCs w:val="20"/>
                <w:lang w:val="mk-MK" w:eastAsia="mk-MK"/>
              </w:rPr>
            </w:pPr>
          </w:p>
        </w:tc>
        <w:tc>
          <w:tcPr>
            <w:tcW w:w="1634" w:type="dxa"/>
            <w:tcBorders>
              <w:top w:val="nil"/>
              <w:left w:val="nil"/>
              <w:bottom w:val="nil"/>
              <w:right w:val="nil"/>
            </w:tcBorders>
            <w:shd w:val="clear" w:color="auto" w:fill="auto"/>
            <w:vAlign w:val="bottom"/>
            <w:hideMark/>
          </w:tcPr>
          <w:p w14:paraId="581D690C" w14:textId="77777777" w:rsidR="00FA465E" w:rsidRPr="00FA465E" w:rsidRDefault="00FA465E" w:rsidP="00FA465E">
            <w:pPr>
              <w:spacing w:after="0" w:line="240" w:lineRule="auto"/>
              <w:jc w:val="center"/>
              <w:rPr>
                <w:rFonts w:ascii="Times New Roman" w:eastAsia="Times New Roman" w:hAnsi="Times New Roman"/>
                <w:sz w:val="20"/>
                <w:szCs w:val="20"/>
                <w:lang w:val="mk-MK" w:eastAsia="mk-MK"/>
              </w:rPr>
            </w:pPr>
          </w:p>
        </w:tc>
      </w:tr>
      <w:tr w:rsidR="00FA465E" w:rsidRPr="00FA465E" w14:paraId="5C046333" w14:textId="77777777" w:rsidTr="001C5B17">
        <w:trPr>
          <w:trHeight w:val="300"/>
        </w:trPr>
        <w:tc>
          <w:tcPr>
            <w:tcW w:w="5130" w:type="dxa"/>
            <w:tcBorders>
              <w:top w:val="nil"/>
              <w:left w:val="nil"/>
              <w:bottom w:val="nil"/>
              <w:right w:val="nil"/>
            </w:tcBorders>
            <w:shd w:val="clear" w:color="auto" w:fill="auto"/>
            <w:vAlign w:val="bottom"/>
            <w:hideMark/>
          </w:tcPr>
          <w:p w14:paraId="578D81DF" w14:textId="77777777" w:rsidR="00FA465E" w:rsidRPr="00FA465E" w:rsidRDefault="00FA465E" w:rsidP="00FA465E">
            <w:pPr>
              <w:spacing w:after="0" w:line="240" w:lineRule="auto"/>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Останати побарувања</w:t>
            </w:r>
          </w:p>
        </w:tc>
        <w:tc>
          <w:tcPr>
            <w:tcW w:w="1063" w:type="dxa"/>
            <w:tcBorders>
              <w:top w:val="nil"/>
              <w:left w:val="nil"/>
              <w:bottom w:val="nil"/>
              <w:right w:val="nil"/>
            </w:tcBorders>
            <w:shd w:val="clear" w:color="auto" w:fill="auto"/>
            <w:noWrap/>
            <w:vAlign w:val="center"/>
            <w:hideMark/>
          </w:tcPr>
          <w:p w14:paraId="6ABC35A1"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25</w:t>
            </w:r>
          </w:p>
        </w:tc>
        <w:tc>
          <w:tcPr>
            <w:tcW w:w="222" w:type="dxa"/>
            <w:tcBorders>
              <w:top w:val="nil"/>
              <w:left w:val="nil"/>
              <w:bottom w:val="nil"/>
              <w:right w:val="nil"/>
            </w:tcBorders>
            <w:shd w:val="clear" w:color="auto" w:fill="auto"/>
            <w:vAlign w:val="bottom"/>
            <w:hideMark/>
          </w:tcPr>
          <w:p w14:paraId="516257B9"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44CC462C"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2.582.596 </w:t>
            </w:r>
          </w:p>
        </w:tc>
        <w:tc>
          <w:tcPr>
            <w:tcW w:w="395" w:type="dxa"/>
            <w:tcBorders>
              <w:top w:val="nil"/>
              <w:left w:val="nil"/>
              <w:bottom w:val="nil"/>
              <w:right w:val="nil"/>
            </w:tcBorders>
            <w:shd w:val="clear" w:color="auto" w:fill="auto"/>
            <w:vAlign w:val="bottom"/>
            <w:hideMark/>
          </w:tcPr>
          <w:p w14:paraId="6BACEA63"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p>
        </w:tc>
        <w:tc>
          <w:tcPr>
            <w:tcW w:w="1634" w:type="dxa"/>
            <w:tcBorders>
              <w:top w:val="nil"/>
              <w:left w:val="nil"/>
              <w:bottom w:val="nil"/>
              <w:right w:val="nil"/>
            </w:tcBorders>
            <w:shd w:val="clear" w:color="auto" w:fill="auto"/>
            <w:vAlign w:val="bottom"/>
            <w:hideMark/>
          </w:tcPr>
          <w:p w14:paraId="63A8C116"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1.562.418 </w:t>
            </w:r>
          </w:p>
        </w:tc>
      </w:tr>
      <w:tr w:rsidR="00FA465E" w:rsidRPr="00FA465E" w14:paraId="68DD32A8" w14:textId="77777777" w:rsidTr="001C5B17">
        <w:trPr>
          <w:trHeight w:val="300"/>
        </w:trPr>
        <w:tc>
          <w:tcPr>
            <w:tcW w:w="5130" w:type="dxa"/>
            <w:tcBorders>
              <w:top w:val="nil"/>
              <w:left w:val="nil"/>
              <w:bottom w:val="nil"/>
              <w:right w:val="nil"/>
            </w:tcBorders>
            <w:shd w:val="clear" w:color="auto" w:fill="auto"/>
            <w:vAlign w:val="bottom"/>
            <w:hideMark/>
          </w:tcPr>
          <w:p w14:paraId="2F5E7F2F" w14:textId="77777777" w:rsidR="00FA465E" w:rsidRPr="00FA465E" w:rsidRDefault="00FA465E" w:rsidP="00FA465E">
            <w:pPr>
              <w:spacing w:after="0" w:line="240" w:lineRule="auto"/>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Заложени средства</w:t>
            </w:r>
          </w:p>
        </w:tc>
        <w:tc>
          <w:tcPr>
            <w:tcW w:w="1063" w:type="dxa"/>
            <w:tcBorders>
              <w:top w:val="nil"/>
              <w:left w:val="nil"/>
              <w:bottom w:val="nil"/>
              <w:right w:val="nil"/>
            </w:tcBorders>
            <w:shd w:val="clear" w:color="auto" w:fill="auto"/>
            <w:noWrap/>
            <w:vAlign w:val="center"/>
            <w:hideMark/>
          </w:tcPr>
          <w:p w14:paraId="5741F7E1"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26</w:t>
            </w:r>
          </w:p>
        </w:tc>
        <w:tc>
          <w:tcPr>
            <w:tcW w:w="222" w:type="dxa"/>
            <w:tcBorders>
              <w:top w:val="nil"/>
              <w:left w:val="nil"/>
              <w:bottom w:val="nil"/>
              <w:right w:val="nil"/>
            </w:tcBorders>
            <w:shd w:val="clear" w:color="auto" w:fill="auto"/>
            <w:vAlign w:val="bottom"/>
            <w:hideMark/>
          </w:tcPr>
          <w:p w14:paraId="18CF495C"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633E00FF" w14:textId="77777777" w:rsidR="00FA465E" w:rsidRPr="00FA465E" w:rsidRDefault="00FA465E" w:rsidP="00FA465E">
            <w:pPr>
              <w:spacing w:after="0" w:line="240" w:lineRule="auto"/>
              <w:jc w:val="center"/>
              <w:rPr>
                <w:rFonts w:ascii="Times New Roman" w:eastAsia="Times New Roman" w:hAnsi="Times New Roman"/>
                <w:sz w:val="20"/>
                <w:szCs w:val="20"/>
                <w:lang w:val="mk-MK" w:eastAsia="mk-MK"/>
              </w:rPr>
            </w:pPr>
          </w:p>
        </w:tc>
        <w:tc>
          <w:tcPr>
            <w:tcW w:w="395" w:type="dxa"/>
            <w:tcBorders>
              <w:top w:val="nil"/>
              <w:left w:val="nil"/>
              <w:bottom w:val="nil"/>
              <w:right w:val="nil"/>
            </w:tcBorders>
            <w:shd w:val="clear" w:color="auto" w:fill="auto"/>
            <w:vAlign w:val="bottom"/>
            <w:hideMark/>
          </w:tcPr>
          <w:p w14:paraId="5CB927C7" w14:textId="77777777" w:rsidR="00FA465E" w:rsidRPr="00FA465E" w:rsidRDefault="00FA465E" w:rsidP="00FA465E">
            <w:pPr>
              <w:spacing w:after="0" w:line="240" w:lineRule="auto"/>
              <w:jc w:val="right"/>
              <w:rPr>
                <w:rFonts w:ascii="Times New Roman" w:eastAsia="Times New Roman" w:hAnsi="Times New Roman"/>
                <w:sz w:val="20"/>
                <w:szCs w:val="20"/>
                <w:lang w:val="mk-MK" w:eastAsia="mk-MK"/>
              </w:rPr>
            </w:pPr>
          </w:p>
        </w:tc>
        <w:tc>
          <w:tcPr>
            <w:tcW w:w="1634" w:type="dxa"/>
            <w:tcBorders>
              <w:top w:val="nil"/>
              <w:left w:val="nil"/>
              <w:bottom w:val="nil"/>
              <w:right w:val="nil"/>
            </w:tcBorders>
            <w:shd w:val="clear" w:color="auto" w:fill="auto"/>
            <w:vAlign w:val="bottom"/>
            <w:hideMark/>
          </w:tcPr>
          <w:p w14:paraId="4637E1C6"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   </w:t>
            </w:r>
          </w:p>
        </w:tc>
      </w:tr>
      <w:tr w:rsidR="00FA465E" w:rsidRPr="00FA465E" w14:paraId="2107381A" w14:textId="77777777" w:rsidTr="001C5B17">
        <w:trPr>
          <w:trHeight w:val="300"/>
        </w:trPr>
        <w:tc>
          <w:tcPr>
            <w:tcW w:w="5130" w:type="dxa"/>
            <w:tcBorders>
              <w:top w:val="nil"/>
              <w:left w:val="nil"/>
              <w:bottom w:val="nil"/>
              <w:right w:val="nil"/>
            </w:tcBorders>
            <w:shd w:val="clear" w:color="auto" w:fill="auto"/>
            <w:vAlign w:val="bottom"/>
            <w:hideMark/>
          </w:tcPr>
          <w:p w14:paraId="08ED4D0C" w14:textId="77777777" w:rsidR="00FA465E" w:rsidRPr="00FA465E" w:rsidRDefault="00FA465E" w:rsidP="00FA465E">
            <w:pPr>
              <w:spacing w:after="0" w:line="240" w:lineRule="auto"/>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Преземени средства врз основа на ненаплатени  побарувања</w:t>
            </w:r>
          </w:p>
        </w:tc>
        <w:tc>
          <w:tcPr>
            <w:tcW w:w="1063" w:type="dxa"/>
            <w:tcBorders>
              <w:top w:val="nil"/>
              <w:left w:val="nil"/>
              <w:bottom w:val="nil"/>
              <w:right w:val="nil"/>
            </w:tcBorders>
            <w:shd w:val="clear" w:color="auto" w:fill="auto"/>
            <w:noWrap/>
            <w:vAlign w:val="center"/>
            <w:hideMark/>
          </w:tcPr>
          <w:p w14:paraId="12B17C0F"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27</w:t>
            </w:r>
          </w:p>
        </w:tc>
        <w:tc>
          <w:tcPr>
            <w:tcW w:w="222" w:type="dxa"/>
            <w:tcBorders>
              <w:top w:val="nil"/>
              <w:left w:val="nil"/>
              <w:bottom w:val="nil"/>
              <w:right w:val="nil"/>
            </w:tcBorders>
            <w:shd w:val="clear" w:color="auto" w:fill="auto"/>
            <w:vAlign w:val="bottom"/>
            <w:hideMark/>
          </w:tcPr>
          <w:p w14:paraId="3DF115DA"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64E03432"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93.408 </w:t>
            </w:r>
          </w:p>
        </w:tc>
        <w:tc>
          <w:tcPr>
            <w:tcW w:w="395" w:type="dxa"/>
            <w:tcBorders>
              <w:top w:val="nil"/>
              <w:left w:val="nil"/>
              <w:bottom w:val="nil"/>
              <w:right w:val="nil"/>
            </w:tcBorders>
            <w:shd w:val="clear" w:color="auto" w:fill="auto"/>
            <w:vAlign w:val="bottom"/>
            <w:hideMark/>
          </w:tcPr>
          <w:p w14:paraId="083F4081"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p>
        </w:tc>
        <w:tc>
          <w:tcPr>
            <w:tcW w:w="1634" w:type="dxa"/>
            <w:tcBorders>
              <w:top w:val="nil"/>
              <w:left w:val="nil"/>
              <w:bottom w:val="nil"/>
              <w:right w:val="nil"/>
            </w:tcBorders>
            <w:shd w:val="clear" w:color="auto" w:fill="auto"/>
            <w:vAlign w:val="bottom"/>
            <w:hideMark/>
          </w:tcPr>
          <w:p w14:paraId="7D9A3C46"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127.048 </w:t>
            </w:r>
          </w:p>
        </w:tc>
      </w:tr>
      <w:tr w:rsidR="00FA465E" w:rsidRPr="00FA465E" w14:paraId="744F360B" w14:textId="77777777" w:rsidTr="001C5B17">
        <w:trPr>
          <w:trHeight w:val="300"/>
        </w:trPr>
        <w:tc>
          <w:tcPr>
            <w:tcW w:w="5130" w:type="dxa"/>
            <w:tcBorders>
              <w:top w:val="nil"/>
              <w:left w:val="nil"/>
              <w:bottom w:val="nil"/>
              <w:right w:val="nil"/>
            </w:tcBorders>
            <w:shd w:val="clear" w:color="auto" w:fill="auto"/>
            <w:vAlign w:val="bottom"/>
            <w:hideMark/>
          </w:tcPr>
          <w:p w14:paraId="2CFFFBDD" w14:textId="77777777" w:rsidR="00FA465E" w:rsidRPr="00FA465E" w:rsidRDefault="00FA465E" w:rsidP="00FA465E">
            <w:pPr>
              <w:spacing w:after="0" w:line="240" w:lineRule="auto"/>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Нематеријални средства </w:t>
            </w:r>
          </w:p>
        </w:tc>
        <w:tc>
          <w:tcPr>
            <w:tcW w:w="1063" w:type="dxa"/>
            <w:tcBorders>
              <w:top w:val="nil"/>
              <w:left w:val="nil"/>
              <w:bottom w:val="nil"/>
              <w:right w:val="nil"/>
            </w:tcBorders>
            <w:shd w:val="clear" w:color="auto" w:fill="auto"/>
            <w:noWrap/>
            <w:vAlign w:val="center"/>
            <w:hideMark/>
          </w:tcPr>
          <w:p w14:paraId="736E0C86"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28</w:t>
            </w:r>
          </w:p>
        </w:tc>
        <w:tc>
          <w:tcPr>
            <w:tcW w:w="222" w:type="dxa"/>
            <w:tcBorders>
              <w:top w:val="nil"/>
              <w:left w:val="nil"/>
              <w:bottom w:val="nil"/>
              <w:right w:val="nil"/>
            </w:tcBorders>
            <w:shd w:val="clear" w:color="auto" w:fill="auto"/>
            <w:vAlign w:val="bottom"/>
            <w:hideMark/>
          </w:tcPr>
          <w:p w14:paraId="5FE35635"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2F6F0DE4"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136.870 </w:t>
            </w:r>
          </w:p>
        </w:tc>
        <w:tc>
          <w:tcPr>
            <w:tcW w:w="395" w:type="dxa"/>
            <w:tcBorders>
              <w:top w:val="nil"/>
              <w:left w:val="nil"/>
              <w:bottom w:val="nil"/>
              <w:right w:val="nil"/>
            </w:tcBorders>
            <w:shd w:val="clear" w:color="auto" w:fill="auto"/>
            <w:vAlign w:val="bottom"/>
            <w:hideMark/>
          </w:tcPr>
          <w:p w14:paraId="5274A71D"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p>
        </w:tc>
        <w:tc>
          <w:tcPr>
            <w:tcW w:w="1634" w:type="dxa"/>
            <w:tcBorders>
              <w:top w:val="nil"/>
              <w:left w:val="nil"/>
              <w:bottom w:val="nil"/>
              <w:right w:val="nil"/>
            </w:tcBorders>
            <w:shd w:val="clear" w:color="auto" w:fill="auto"/>
            <w:vAlign w:val="bottom"/>
            <w:hideMark/>
          </w:tcPr>
          <w:p w14:paraId="603BE1B8"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111.435 </w:t>
            </w:r>
          </w:p>
        </w:tc>
      </w:tr>
      <w:tr w:rsidR="00FA465E" w:rsidRPr="00FA465E" w14:paraId="5A4C50FA" w14:textId="77777777" w:rsidTr="001C5B17">
        <w:trPr>
          <w:trHeight w:val="300"/>
        </w:trPr>
        <w:tc>
          <w:tcPr>
            <w:tcW w:w="5130" w:type="dxa"/>
            <w:tcBorders>
              <w:top w:val="nil"/>
              <w:left w:val="nil"/>
              <w:bottom w:val="nil"/>
              <w:right w:val="nil"/>
            </w:tcBorders>
            <w:shd w:val="clear" w:color="auto" w:fill="auto"/>
            <w:vAlign w:val="bottom"/>
            <w:hideMark/>
          </w:tcPr>
          <w:p w14:paraId="1DD93AE9" w14:textId="77777777" w:rsidR="00FA465E" w:rsidRPr="00FA465E" w:rsidRDefault="00FA465E" w:rsidP="00FA465E">
            <w:pPr>
              <w:spacing w:after="0" w:line="240" w:lineRule="auto"/>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Недвижности и опрема</w:t>
            </w:r>
          </w:p>
        </w:tc>
        <w:tc>
          <w:tcPr>
            <w:tcW w:w="1063" w:type="dxa"/>
            <w:tcBorders>
              <w:top w:val="nil"/>
              <w:left w:val="nil"/>
              <w:bottom w:val="nil"/>
              <w:right w:val="nil"/>
            </w:tcBorders>
            <w:shd w:val="clear" w:color="auto" w:fill="auto"/>
            <w:noWrap/>
            <w:vAlign w:val="center"/>
            <w:hideMark/>
          </w:tcPr>
          <w:p w14:paraId="31B5BA50"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29</w:t>
            </w:r>
          </w:p>
        </w:tc>
        <w:tc>
          <w:tcPr>
            <w:tcW w:w="222" w:type="dxa"/>
            <w:tcBorders>
              <w:top w:val="nil"/>
              <w:left w:val="nil"/>
              <w:bottom w:val="nil"/>
              <w:right w:val="nil"/>
            </w:tcBorders>
            <w:shd w:val="clear" w:color="auto" w:fill="auto"/>
            <w:vAlign w:val="bottom"/>
            <w:hideMark/>
          </w:tcPr>
          <w:p w14:paraId="23B95559"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180BF959"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907.733 </w:t>
            </w:r>
          </w:p>
        </w:tc>
        <w:tc>
          <w:tcPr>
            <w:tcW w:w="395" w:type="dxa"/>
            <w:tcBorders>
              <w:top w:val="nil"/>
              <w:left w:val="nil"/>
              <w:bottom w:val="nil"/>
              <w:right w:val="nil"/>
            </w:tcBorders>
            <w:shd w:val="clear" w:color="auto" w:fill="auto"/>
            <w:vAlign w:val="bottom"/>
            <w:hideMark/>
          </w:tcPr>
          <w:p w14:paraId="1E697FC9"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p>
        </w:tc>
        <w:tc>
          <w:tcPr>
            <w:tcW w:w="1634" w:type="dxa"/>
            <w:tcBorders>
              <w:top w:val="nil"/>
              <w:left w:val="nil"/>
              <w:bottom w:val="nil"/>
              <w:right w:val="nil"/>
            </w:tcBorders>
            <w:shd w:val="clear" w:color="auto" w:fill="auto"/>
            <w:vAlign w:val="bottom"/>
            <w:hideMark/>
          </w:tcPr>
          <w:p w14:paraId="5057FB30"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819.129 </w:t>
            </w:r>
          </w:p>
        </w:tc>
      </w:tr>
      <w:tr w:rsidR="00FA465E" w:rsidRPr="00FA465E" w14:paraId="7ECA3D94" w14:textId="77777777" w:rsidTr="001C5B17">
        <w:trPr>
          <w:trHeight w:val="300"/>
        </w:trPr>
        <w:tc>
          <w:tcPr>
            <w:tcW w:w="5130" w:type="dxa"/>
            <w:tcBorders>
              <w:top w:val="nil"/>
              <w:left w:val="nil"/>
              <w:bottom w:val="nil"/>
              <w:right w:val="nil"/>
            </w:tcBorders>
            <w:shd w:val="clear" w:color="auto" w:fill="auto"/>
            <w:vAlign w:val="bottom"/>
            <w:hideMark/>
          </w:tcPr>
          <w:p w14:paraId="3CCB8048" w14:textId="77777777" w:rsidR="00FA465E" w:rsidRPr="00FA465E" w:rsidRDefault="00FA465E" w:rsidP="00FA465E">
            <w:pPr>
              <w:spacing w:after="0" w:line="240" w:lineRule="auto"/>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Одложени даночни средства</w:t>
            </w:r>
          </w:p>
        </w:tc>
        <w:tc>
          <w:tcPr>
            <w:tcW w:w="1063" w:type="dxa"/>
            <w:tcBorders>
              <w:top w:val="nil"/>
              <w:left w:val="nil"/>
              <w:bottom w:val="nil"/>
              <w:right w:val="nil"/>
            </w:tcBorders>
            <w:shd w:val="clear" w:color="auto" w:fill="auto"/>
            <w:noWrap/>
            <w:vAlign w:val="center"/>
            <w:hideMark/>
          </w:tcPr>
          <w:p w14:paraId="66050E7D"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30.2</w:t>
            </w:r>
          </w:p>
        </w:tc>
        <w:tc>
          <w:tcPr>
            <w:tcW w:w="222" w:type="dxa"/>
            <w:tcBorders>
              <w:top w:val="nil"/>
              <w:left w:val="nil"/>
              <w:bottom w:val="nil"/>
              <w:right w:val="nil"/>
            </w:tcBorders>
            <w:shd w:val="clear" w:color="auto" w:fill="auto"/>
            <w:vAlign w:val="bottom"/>
            <w:hideMark/>
          </w:tcPr>
          <w:p w14:paraId="6B09C46C"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70C15C77" w14:textId="77777777" w:rsidR="00FA465E" w:rsidRPr="00FA465E" w:rsidRDefault="00FA465E" w:rsidP="00FA465E">
            <w:pPr>
              <w:spacing w:after="0" w:line="240" w:lineRule="auto"/>
              <w:jc w:val="center"/>
              <w:rPr>
                <w:rFonts w:ascii="Times New Roman" w:eastAsia="Times New Roman" w:hAnsi="Times New Roman"/>
                <w:sz w:val="20"/>
                <w:szCs w:val="20"/>
                <w:lang w:val="mk-MK" w:eastAsia="mk-MK"/>
              </w:rPr>
            </w:pPr>
          </w:p>
        </w:tc>
        <w:tc>
          <w:tcPr>
            <w:tcW w:w="395" w:type="dxa"/>
            <w:tcBorders>
              <w:top w:val="nil"/>
              <w:left w:val="nil"/>
              <w:bottom w:val="nil"/>
              <w:right w:val="nil"/>
            </w:tcBorders>
            <w:shd w:val="clear" w:color="auto" w:fill="auto"/>
            <w:vAlign w:val="bottom"/>
            <w:hideMark/>
          </w:tcPr>
          <w:p w14:paraId="45053D89" w14:textId="77777777" w:rsidR="00FA465E" w:rsidRPr="00FA465E" w:rsidRDefault="00FA465E" w:rsidP="00FA465E">
            <w:pPr>
              <w:spacing w:after="0" w:line="240" w:lineRule="auto"/>
              <w:jc w:val="right"/>
              <w:rPr>
                <w:rFonts w:ascii="Times New Roman" w:eastAsia="Times New Roman" w:hAnsi="Times New Roman"/>
                <w:sz w:val="20"/>
                <w:szCs w:val="20"/>
                <w:lang w:val="mk-MK" w:eastAsia="mk-MK"/>
              </w:rPr>
            </w:pPr>
          </w:p>
        </w:tc>
        <w:tc>
          <w:tcPr>
            <w:tcW w:w="1634" w:type="dxa"/>
            <w:tcBorders>
              <w:top w:val="nil"/>
              <w:left w:val="nil"/>
              <w:bottom w:val="nil"/>
              <w:right w:val="nil"/>
            </w:tcBorders>
            <w:shd w:val="clear" w:color="auto" w:fill="auto"/>
            <w:vAlign w:val="bottom"/>
            <w:hideMark/>
          </w:tcPr>
          <w:p w14:paraId="751697CB"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   </w:t>
            </w:r>
          </w:p>
        </w:tc>
      </w:tr>
      <w:tr w:rsidR="00FA465E" w:rsidRPr="00FA465E" w14:paraId="171BBA0F" w14:textId="77777777" w:rsidTr="001C5B17">
        <w:trPr>
          <w:trHeight w:val="300"/>
        </w:trPr>
        <w:tc>
          <w:tcPr>
            <w:tcW w:w="5130" w:type="dxa"/>
            <w:tcBorders>
              <w:top w:val="nil"/>
              <w:left w:val="nil"/>
              <w:bottom w:val="nil"/>
              <w:right w:val="nil"/>
            </w:tcBorders>
            <w:shd w:val="clear" w:color="auto" w:fill="auto"/>
            <w:vAlign w:val="bottom"/>
            <w:hideMark/>
          </w:tcPr>
          <w:p w14:paraId="2FA95A44" w14:textId="77777777" w:rsidR="00FA465E" w:rsidRPr="00FA465E" w:rsidRDefault="00FA465E" w:rsidP="00FA465E">
            <w:pPr>
              <w:spacing w:after="0" w:line="240" w:lineRule="auto"/>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lastRenderedPageBreak/>
              <w:t>Нетековни средства кои се чуваат за продажба и група за отуѓување</w:t>
            </w:r>
          </w:p>
        </w:tc>
        <w:tc>
          <w:tcPr>
            <w:tcW w:w="1063" w:type="dxa"/>
            <w:tcBorders>
              <w:top w:val="nil"/>
              <w:left w:val="nil"/>
              <w:bottom w:val="nil"/>
              <w:right w:val="nil"/>
            </w:tcBorders>
            <w:shd w:val="clear" w:color="auto" w:fill="auto"/>
            <w:noWrap/>
            <w:vAlign w:val="center"/>
            <w:hideMark/>
          </w:tcPr>
          <w:p w14:paraId="0EF8B427"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31</w:t>
            </w:r>
          </w:p>
        </w:tc>
        <w:tc>
          <w:tcPr>
            <w:tcW w:w="222" w:type="dxa"/>
            <w:tcBorders>
              <w:top w:val="nil"/>
              <w:left w:val="nil"/>
              <w:bottom w:val="nil"/>
              <w:right w:val="nil"/>
            </w:tcBorders>
            <w:shd w:val="clear" w:color="auto" w:fill="auto"/>
            <w:vAlign w:val="bottom"/>
            <w:hideMark/>
          </w:tcPr>
          <w:p w14:paraId="762400A6"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5E39E141" w14:textId="77777777" w:rsidR="00FA465E" w:rsidRPr="00FA465E" w:rsidRDefault="00FA465E" w:rsidP="00FA465E">
            <w:pPr>
              <w:spacing w:after="0" w:line="240" w:lineRule="auto"/>
              <w:jc w:val="center"/>
              <w:rPr>
                <w:rFonts w:ascii="Times New Roman" w:eastAsia="Times New Roman" w:hAnsi="Times New Roman"/>
                <w:sz w:val="20"/>
                <w:szCs w:val="20"/>
                <w:lang w:val="mk-MK" w:eastAsia="mk-MK"/>
              </w:rPr>
            </w:pPr>
          </w:p>
        </w:tc>
        <w:tc>
          <w:tcPr>
            <w:tcW w:w="395" w:type="dxa"/>
            <w:tcBorders>
              <w:top w:val="nil"/>
              <w:left w:val="nil"/>
              <w:bottom w:val="nil"/>
              <w:right w:val="nil"/>
            </w:tcBorders>
            <w:shd w:val="clear" w:color="auto" w:fill="auto"/>
            <w:vAlign w:val="bottom"/>
            <w:hideMark/>
          </w:tcPr>
          <w:p w14:paraId="6D836BAD" w14:textId="77777777" w:rsidR="00FA465E" w:rsidRPr="00FA465E" w:rsidRDefault="00FA465E" w:rsidP="00FA465E">
            <w:pPr>
              <w:spacing w:after="0" w:line="240" w:lineRule="auto"/>
              <w:jc w:val="right"/>
              <w:rPr>
                <w:rFonts w:ascii="Times New Roman" w:eastAsia="Times New Roman" w:hAnsi="Times New Roman"/>
                <w:sz w:val="20"/>
                <w:szCs w:val="20"/>
                <w:lang w:val="mk-MK" w:eastAsia="mk-MK"/>
              </w:rPr>
            </w:pPr>
          </w:p>
        </w:tc>
        <w:tc>
          <w:tcPr>
            <w:tcW w:w="1634" w:type="dxa"/>
            <w:tcBorders>
              <w:top w:val="nil"/>
              <w:left w:val="nil"/>
              <w:bottom w:val="nil"/>
              <w:right w:val="nil"/>
            </w:tcBorders>
            <w:shd w:val="clear" w:color="auto" w:fill="auto"/>
            <w:vAlign w:val="bottom"/>
            <w:hideMark/>
          </w:tcPr>
          <w:p w14:paraId="65C6CFB8"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   </w:t>
            </w:r>
          </w:p>
        </w:tc>
      </w:tr>
      <w:tr w:rsidR="00FA465E" w:rsidRPr="00FA465E" w14:paraId="598ECC6F" w14:textId="77777777" w:rsidTr="001C5B17">
        <w:trPr>
          <w:trHeight w:val="315"/>
        </w:trPr>
        <w:tc>
          <w:tcPr>
            <w:tcW w:w="5130" w:type="dxa"/>
            <w:tcBorders>
              <w:top w:val="nil"/>
              <w:left w:val="nil"/>
              <w:bottom w:val="nil"/>
              <w:right w:val="nil"/>
            </w:tcBorders>
            <w:shd w:val="clear" w:color="auto" w:fill="auto"/>
            <w:vAlign w:val="bottom"/>
            <w:hideMark/>
          </w:tcPr>
          <w:p w14:paraId="1DBDA0BA" w14:textId="77777777" w:rsidR="00FA465E" w:rsidRPr="00FA465E" w:rsidRDefault="00FA465E" w:rsidP="00FA465E">
            <w:pPr>
              <w:spacing w:after="0" w:line="240" w:lineRule="auto"/>
              <w:rPr>
                <w:rFonts w:ascii="Times New Roman" w:eastAsia="Times New Roman" w:hAnsi="Times New Roman"/>
                <w:b/>
                <w:bCs/>
                <w:sz w:val="21"/>
                <w:szCs w:val="21"/>
                <w:lang w:val="mk-MK" w:eastAsia="mk-MK"/>
              </w:rPr>
            </w:pPr>
            <w:r w:rsidRPr="00FA465E">
              <w:rPr>
                <w:rFonts w:ascii="Times New Roman" w:eastAsia="Times New Roman" w:hAnsi="Times New Roman"/>
                <w:b/>
                <w:bCs/>
                <w:sz w:val="21"/>
                <w:szCs w:val="21"/>
                <w:lang w:val="mk-MK" w:eastAsia="mk-MK"/>
              </w:rPr>
              <w:t>Вкупно средства</w:t>
            </w:r>
          </w:p>
        </w:tc>
        <w:tc>
          <w:tcPr>
            <w:tcW w:w="1063" w:type="dxa"/>
            <w:tcBorders>
              <w:top w:val="nil"/>
              <w:left w:val="nil"/>
              <w:bottom w:val="nil"/>
              <w:right w:val="nil"/>
            </w:tcBorders>
            <w:shd w:val="clear" w:color="auto" w:fill="auto"/>
            <w:noWrap/>
            <w:vAlign w:val="center"/>
            <w:hideMark/>
          </w:tcPr>
          <w:p w14:paraId="0ECBB9CB" w14:textId="77777777" w:rsidR="00FA465E" w:rsidRPr="00FA465E" w:rsidRDefault="00FA465E" w:rsidP="00FA465E">
            <w:pPr>
              <w:spacing w:after="0" w:line="240" w:lineRule="auto"/>
              <w:rPr>
                <w:rFonts w:ascii="Times New Roman" w:eastAsia="Times New Roman" w:hAnsi="Times New Roman"/>
                <w:b/>
                <w:bCs/>
                <w:sz w:val="21"/>
                <w:szCs w:val="21"/>
                <w:lang w:val="mk-MK" w:eastAsia="mk-MK"/>
              </w:rPr>
            </w:pPr>
          </w:p>
        </w:tc>
        <w:tc>
          <w:tcPr>
            <w:tcW w:w="222" w:type="dxa"/>
            <w:tcBorders>
              <w:top w:val="nil"/>
              <w:left w:val="nil"/>
              <w:bottom w:val="nil"/>
              <w:right w:val="nil"/>
            </w:tcBorders>
            <w:shd w:val="clear" w:color="auto" w:fill="auto"/>
            <w:vAlign w:val="bottom"/>
            <w:hideMark/>
          </w:tcPr>
          <w:p w14:paraId="38A35965" w14:textId="77777777" w:rsidR="00FA465E" w:rsidRPr="00FA465E" w:rsidRDefault="00FA465E" w:rsidP="00FA465E">
            <w:pPr>
              <w:spacing w:after="0" w:line="240" w:lineRule="auto"/>
              <w:jc w:val="center"/>
              <w:rPr>
                <w:rFonts w:ascii="Times New Roman" w:eastAsia="Times New Roman" w:hAnsi="Times New Roman"/>
                <w:sz w:val="20"/>
                <w:szCs w:val="20"/>
                <w:lang w:val="mk-MK" w:eastAsia="mk-MK"/>
              </w:rPr>
            </w:pPr>
          </w:p>
        </w:tc>
        <w:tc>
          <w:tcPr>
            <w:tcW w:w="1380" w:type="dxa"/>
            <w:tcBorders>
              <w:top w:val="single" w:sz="4" w:space="0" w:color="auto"/>
              <w:left w:val="nil"/>
              <w:bottom w:val="double" w:sz="6" w:space="0" w:color="auto"/>
              <w:right w:val="nil"/>
            </w:tcBorders>
            <w:shd w:val="clear" w:color="auto" w:fill="auto"/>
            <w:vAlign w:val="bottom"/>
            <w:hideMark/>
          </w:tcPr>
          <w:p w14:paraId="6DA93774" w14:textId="77777777" w:rsidR="00FA465E" w:rsidRPr="00FA465E" w:rsidRDefault="00FA465E" w:rsidP="00FA465E">
            <w:pPr>
              <w:spacing w:after="0" w:line="240" w:lineRule="auto"/>
              <w:jc w:val="right"/>
              <w:rPr>
                <w:rFonts w:ascii="Times New Roman" w:eastAsia="Times New Roman" w:hAnsi="Times New Roman"/>
                <w:b/>
                <w:bCs/>
                <w:sz w:val="21"/>
                <w:szCs w:val="21"/>
                <w:lang w:val="mk-MK" w:eastAsia="mk-MK"/>
              </w:rPr>
            </w:pPr>
            <w:r w:rsidRPr="00FA465E">
              <w:rPr>
                <w:rFonts w:ascii="Times New Roman" w:eastAsia="Times New Roman" w:hAnsi="Times New Roman"/>
                <w:b/>
                <w:bCs/>
                <w:sz w:val="21"/>
                <w:szCs w:val="21"/>
                <w:lang w:val="mk-MK" w:eastAsia="mk-MK"/>
              </w:rPr>
              <w:t xml:space="preserve">   122.793.098 </w:t>
            </w:r>
          </w:p>
        </w:tc>
        <w:tc>
          <w:tcPr>
            <w:tcW w:w="395" w:type="dxa"/>
            <w:tcBorders>
              <w:top w:val="nil"/>
              <w:left w:val="nil"/>
              <w:bottom w:val="nil"/>
              <w:right w:val="nil"/>
            </w:tcBorders>
            <w:shd w:val="clear" w:color="auto" w:fill="auto"/>
            <w:vAlign w:val="bottom"/>
            <w:hideMark/>
          </w:tcPr>
          <w:p w14:paraId="0FC14D16" w14:textId="77777777" w:rsidR="00FA465E" w:rsidRPr="00FA465E" w:rsidRDefault="00FA465E" w:rsidP="00FA465E">
            <w:pPr>
              <w:spacing w:after="0" w:line="240" w:lineRule="auto"/>
              <w:jc w:val="right"/>
              <w:rPr>
                <w:rFonts w:ascii="Times New Roman" w:eastAsia="Times New Roman" w:hAnsi="Times New Roman"/>
                <w:b/>
                <w:bCs/>
                <w:sz w:val="21"/>
                <w:szCs w:val="21"/>
                <w:lang w:val="mk-MK" w:eastAsia="mk-MK"/>
              </w:rPr>
            </w:pPr>
          </w:p>
        </w:tc>
        <w:tc>
          <w:tcPr>
            <w:tcW w:w="1634" w:type="dxa"/>
            <w:tcBorders>
              <w:top w:val="single" w:sz="4" w:space="0" w:color="auto"/>
              <w:left w:val="nil"/>
              <w:bottom w:val="double" w:sz="6" w:space="0" w:color="auto"/>
              <w:right w:val="nil"/>
            </w:tcBorders>
            <w:shd w:val="clear" w:color="auto" w:fill="auto"/>
            <w:vAlign w:val="bottom"/>
            <w:hideMark/>
          </w:tcPr>
          <w:p w14:paraId="05B706DC" w14:textId="77777777" w:rsidR="00FA465E" w:rsidRPr="00FA465E" w:rsidRDefault="00FA465E" w:rsidP="00FA465E">
            <w:pPr>
              <w:spacing w:after="0" w:line="240" w:lineRule="auto"/>
              <w:jc w:val="right"/>
              <w:rPr>
                <w:rFonts w:ascii="Times New Roman" w:eastAsia="Times New Roman" w:hAnsi="Times New Roman"/>
                <w:b/>
                <w:bCs/>
                <w:sz w:val="21"/>
                <w:szCs w:val="21"/>
                <w:lang w:val="mk-MK" w:eastAsia="mk-MK"/>
              </w:rPr>
            </w:pPr>
            <w:r w:rsidRPr="00FA465E">
              <w:rPr>
                <w:rFonts w:ascii="Times New Roman" w:eastAsia="Times New Roman" w:hAnsi="Times New Roman"/>
                <w:b/>
                <w:bCs/>
                <w:sz w:val="21"/>
                <w:szCs w:val="21"/>
                <w:lang w:val="mk-MK" w:eastAsia="mk-MK"/>
              </w:rPr>
              <w:t xml:space="preserve">         114.102.699 </w:t>
            </w:r>
          </w:p>
        </w:tc>
      </w:tr>
      <w:tr w:rsidR="00FA465E" w:rsidRPr="00FA465E" w14:paraId="73B374DB" w14:textId="77777777" w:rsidTr="001C5B17">
        <w:trPr>
          <w:trHeight w:val="315"/>
        </w:trPr>
        <w:tc>
          <w:tcPr>
            <w:tcW w:w="5130" w:type="dxa"/>
            <w:tcBorders>
              <w:top w:val="nil"/>
              <w:left w:val="nil"/>
              <w:bottom w:val="nil"/>
              <w:right w:val="nil"/>
            </w:tcBorders>
            <w:shd w:val="clear" w:color="auto" w:fill="auto"/>
            <w:vAlign w:val="bottom"/>
            <w:hideMark/>
          </w:tcPr>
          <w:p w14:paraId="5645A619" w14:textId="77777777" w:rsidR="00FA465E" w:rsidRPr="00FA465E" w:rsidRDefault="00FA465E" w:rsidP="00FA465E">
            <w:pPr>
              <w:spacing w:after="0" w:line="240" w:lineRule="auto"/>
              <w:jc w:val="right"/>
              <w:rPr>
                <w:rFonts w:ascii="Times New Roman" w:eastAsia="Times New Roman" w:hAnsi="Times New Roman"/>
                <w:b/>
                <w:bCs/>
                <w:sz w:val="21"/>
                <w:szCs w:val="21"/>
                <w:lang w:val="mk-MK" w:eastAsia="mk-MK"/>
              </w:rPr>
            </w:pPr>
          </w:p>
        </w:tc>
        <w:tc>
          <w:tcPr>
            <w:tcW w:w="1063" w:type="dxa"/>
            <w:tcBorders>
              <w:top w:val="nil"/>
              <w:left w:val="nil"/>
              <w:bottom w:val="nil"/>
              <w:right w:val="nil"/>
            </w:tcBorders>
            <w:shd w:val="clear" w:color="auto" w:fill="auto"/>
            <w:noWrap/>
            <w:vAlign w:val="center"/>
            <w:hideMark/>
          </w:tcPr>
          <w:p w14:paraId="4901FCE0" w14:textId="77777777" w:rsidR="00FA465E" w:rsidRPr="00FA465E" w:rsidRDefault="00FA465E" w:rsidP="00FA465E">
            <w:pPr>
              <w:spacing w:after="0" w:line="240" w:lineRule="auto"/>
              <w:rPr>
                <w:rFonts w:ascii="Times New Roman" w:eastAsia="Times New Roman" w:hAnsi="Times New Roman"/>
                <w:sz w:val="20"/>
                <w:szCs w:val="20"/>
                <w:lang w:val="mk-MK" w:eastAsia="mk-MK"/>
              </w:rPr>
            </w:pPr>
          </w:p>
        </w:tc>
        <w:tc>
          <w:tcPr>
            <w:tcW w:w="222" w:type="dxa"/>
            <w:tcBorders>
              <w:top w:val="nil"/>
              <w:left w:val="nil"/>
              <w:bottom w:val="nil"/>
              <w:right w:val="nil"/>
            </w:tcBorders>
            <w:shd w:val="clear" w:color="auto" w:fill="auto"/>
            <w:vAlign w:val="bottom"/>
            <w:hideMark/>
          </w:tcPr>
          <w:p w14:paraId="6C4EF783" w14:textId="77777777" w:rsidR="00FA465E" w:rsidRPr="00FA465E" w:rsidRDefault="00FA465E" w:rsidP="00FA465E">
            <w:pPr>
              <w:spacing w:after="0" w:line="240" w:lineRule="auto"/>
              <w:jc w:val="center"/>
              <w:rPr>
                <w:rFonts w:ascii="Times New Roman" w:eastAsia="Times New Roman" w:hAnsi="Times New Roman"/>
                <w:sz w:val="20"/>
                <w:szCs w:val="20"/>
                <w:lang w:val="mk-MK" w:eastAsia="mk-MK"/>
              </w:rPr>
            </w:pPr>
          </w:p>
        </w:tc>
        <w:tc>
          <w:tcPr>
            <w:tcW w:w="1380" w:type="dxa"/>
            <w:tcBorders>
              <w:top w:val="nil"/>
              <w:left w:val="nil"/>
              <w:bottom w:val="nil"/>
              <w:right w:val="nil"/>
            </w:tcBorders>
            <w:shd w:val="clear" w:color="auto" w:fill="auto"/>
            <w:vAlign w:val="center"/>
            <w:hideMark/>
          </w:tcPr>
          <w:p w14:paraId="2C7A4A23" w14:textId="77777777" w:rsidR="00FA465E" w:rsidRPr="00FA465E" w:rsidRDefault="00FA465E" w:rsidP="00FA465E">
            <w:pPr>
              <w:spacing w:after="0" w:line="240" w:lineRule="auto"/>
              <w:jc w:val="center"/>
              <w:rPr>
                <w:rFonts w:ascii="Times New Roman" w:eastAsia="Times New Roman" w:hAnsi="Times New Roman"/>
                <w:sz w:val="20"/>
                <w:szCs w:val="20"/>
                <w:lang w:val="mk-MK" w:eastAsia="mk-MK"/>
              </w:rPr>
            </w:pPr>
          </w:p>
        </w:tc>
        <w:tc>
          <w:tcPr>
            <w:tcW w:w="395" w:type="dxa"/>
            <w:tcBorders>
              <w:top w:val="nil"/>
              <w:left w:val="nil"/>
              <w:bottom w:val="nil"/>
              <w:right w:val="nil"/>
            </w:tcBorders>
            <w:shd w:val="clear" w:color="auto" w:fill="auto"/>
            <w:vAlign w:val="bottom"/>
            <w:hideMark/>
          </w:tcPr>
          <w:p w14:paraId="6A7AE9C5" w14:textId="77777777" w:rsidR="00FA465E" w:rsidRPr="00FA465E" w:rsidRDefault="00FA465E" w:rsidP="00FA465E">
            <w:pPr>
              <w:spacing w:after="0" w:line="240" w:lineRule="auto"/>
              <w:jc w:val="right"/>
              <w:rPr>
                <w:rFonts w:ascii="Times New Roman" w:eastAsia="Times New Roman" w:hAnsi="Times New Roman"/>
                <w:sz w:val="20"/>
                <w:szCs w:val="20"/>
                <w:lang w:val="mk-MK" w:eastAsia="mk-MK"/>
              </w:rPr>
            </w:pPr>
          </w:p>
        </w:tc>
        <w:tc>
          <w:tcPr>
            <w:tcW w:w="1634" w:type="dxa"/>
            <w:tcBorders>
              <w:top w:val="nil"/>
              <w:left w:val="nil"/>
              <w:bottom w:val="nil"/>
              <w:right w:val="nil"/>
            </w:tcBorders>
            <w:shd w:val="clear" w:color="auto" w:fill="auto"/>
            <w:vAlign w:val="center"/>
            <w:hideMark/>
          </w:tcPr>
          <w:p w14:paraId="0867083B" w14:textId="77777777" w:rsidR="00FA465E" w:rsidRPr="00FA465E" w:rsidRDefault="00FA465E" w:rsidP="00FA465E">
            <w:pPr>
              <w:spacing w:after="0" w:line="240" w:lineRule="auto"/>
              <w:jc w:val="center"/>
              <w:rPr>
                <w:rFonts w:ascii="Times New Roman" w:eastAsia="Times New Roman" w:hAnsi="Times New Roman"/>
                <w:sz w:val="20"/>
                <w:szCs w:val="20"/>
                <w:lang w:val="mk-MK" w:eastAsia="mk-MK"/>
              </w:rPr>
            </w:pPr>
          </w:p>
        </w:tc>
      </w:tr>
      <w:tr w:rsidR="00FA465E" w:rsidRPr="00FA465E" w14:paraId="1D361186" w14:textId="77777777" w:rsidTr="001C5B17">
        <w:trPr>
          <w:trHeight w:val="300"/>
        </w:trPr>
        <w:tc>
          <w:tcPr>
            <w:tcW w:w="5130" w:type="dxa"/>
            <w:tcBorders>
              <w:top w:val="nil"/>
              <w:left w:val="nil"/>
              <w:bottom w:val="nil"/>
              <w:right w:val="nil"/>
            </w:tcBorders>
            <w:shd w:val="clear" w:color="auto" w:fill="auto"/>
            <w:vAlign w:val="bottom"/>
            <w:hideMark/>
          </w:tcPr>
          <w:p w14:paraId="4696E2F4" w14:textId="77777777" w:rsidR="00FA465E" w:rsidRPr="00FA465E" w:rsidRDefault="00FA465E" w:rsidP="00FA465E">
            <w:pPr>
              <w:spacing w:after="0" w:line="240" w:lineRule="auto"/>
              <w:rPr>
                <w:rFonts w:ascii="Times New Roman" w:eastAsia="Times New Roman" w:hAnsi="Times New Roman"/>
                <w:b/>
                <w:bCs/>
                <w:sz w:val="21"/>
                <w:szCs w:val="21"/>
                <w:lang w:val="mk-MK" w:eastAsia="mk-MK"/>
              </w:rPr>
            </w:pPr>
            <w:r w:rsidRPr="00FA465E">
              <w:rPr>
                <w:rFonts w:ascii="Times New Roman" w:eastAsia="Times New Roman" w:hAnsi="Times New Roman"/>
                <w:b/>
                <w:bCs/>
                <w:sz w:val="21"/>
                <w:szCs w:val="21"/>
                <w:lang w:val="mk-MK" w:eastAsia="mk-MK"/>
              </w:rPr>
              <w:t>ОБВРСКИ</w:t>
            </w:r>
          </w:p>
        </w:tc>
        <w:tc>
          <w:tcPr>
            <w:tcW w:w="1063" w:type="dxa"/>
            <w:tcBorders>
              <w:top w:val="nil"/>
              <w:left w:val="nil"/>
              <w:bottom w:val="nil"/>
              <w:right w:val="nil"/>
            </w:tcBorders>
            <w:shd w:val="clear" w:color="auto" w:fill="auto"/>
            <w:noWrap/>
            <w:vAlign w:val="center"/>
            <w:hideMark/>
          </w:tcPr>
          <w:p w14:paraId="258D8BF9" w14:textId="77777777" w:rsidR="00FA465E" w:rsidRPr="00FA465E" w:rsidRDefault="00FA465E" w:rsidP="00FA465E">
            <w:pPr>
              <w:spacing w:after="0" w:line="240" w:lineRule="auto"/>
              <w:rPr>
                <w:rFonts w:ascii="Times New Roman" w:eastAsia="Times New Roman" w:hAnsi="Times New Roman"/>
                <w:b/>
                <w:bCs/>
                <w:sz w:val="21"/>
                <w:szCs w:val="21"/>
                <w:lang w:val="mk-MK" w:eastAsia="mk-MK"/>
              </w:rPr>
            </w:pPr>
          </w:p>
        </w:tc>
        <w:tc>
          <w:tcPr>
            <w:tcW w:w="222" w:type="dxa"/>
            <w:tcBorders>
              <w:top w:val="nil"/>
              <w:left w:val="nil"/>
              <w:bottom w:val="nil"/>
              <w:right w:val="nil"/>
            </w:tcBorders>
            <w:shd w:val="clear" w:color="auto" w:fill="auto"/>
            <w:vAlign w:val="bottom"/>
            <w:hideMark/>
          </w:tcPr>
          <w:p w14:paraId="423FA76C" w14:textId="77777777" w:rsidR="00FA465E" w:rsidRPr="00FA465E" w:rsidRDefault="00FA465E" w:rsidP="00FA465E">
            <w:pPr>
              <w:spacing w:after="0" w:line="240" w:lineRule="auto"/>
              <w:jc w:val="center"/>
              <w:rPr>
                <w:rFonts w:ascii="Times New Roman" w:eastAsia="Times New Roman" w:hAnsi="Times New Roman"/>
                <w:sz w:val="20"/>
                <w:szCs w:val="20"/>
                <w:lang w:val="mk-MK" w:eastAsia="mk-MK"/>
              </w:rPr>
            </w:pPr>
          </w:p>
        </w:tc>
        <w:tc>
          <w:tcPr>
            <w:tcW w:w="1380" w:type="dxa"/>
            <w:tcBorders>
              <w:top w:val="nil"/>
              <w:left w:val="nil"/>
              <w:bottom w:val="nil"/>
              <w:right w:val="nil"/>
            </w:tcBorders>
            <w:shd w:val="clear" w:color="auto" w:fill="auto"/>
            <w:vAlign w:val="center"/>
            <w:hideMark/>
          </w:tcPr>
          <w:p w14:paraId="1F06BD84" w14:textId="77777777" w:rsidR="00FA465E" w:rsidRPr="00FA465E" w:rsidRDefault="00FA465E" w:rsidP="00FA465E">
            <w:pPr>
              <w:spacing w:after="0" w:line="240" w:lineRule="auto"/>
              <w:jc w:val="center"/>
              <w:rPr>
                <w:rFonts w:ascii="Times New Roman" w:eastAsia="Times New Roman" w:hAnsi="Times New Roman"/>
                <w:sz w:val="20"/>
                <w:szCs w:val="20"/>
                <w:lang w:val="mk-MK" w:eastAsia="mk-MK"/>
              </w:rPr>
            </w:pPr>
          </w:p>
        </w:tc>
        <w:tc>
          <w:tcPr>
            <w:tcW w:w="395" w:type="dxa"/>
            <w:tcBorders>
              <w:top w:val="nil"/>
              <w:left w:val="nil"/>
              <w:bottom w:val="nil"/>
              <w:right w:val="nil"/>
            </w:tcBorders>
            <w:shd w:val="clear" w:color="auto" w:fill="auto"/>
            <w:vAlign w:val="bottom"/>
            <w:hideMark/>
          </w:tcPr>
          <w:p w14:paraId="60A13E47" w14:textId="77777777" w:rsidR="00FA465E" w:rsidRPr="00FA465E" w:rsidRDefault="00FA465E" w:rsidP="00FA465E">
            <w:pPr>
              <w:spacing w:after="0" w:line="240" w:lineRule="auto"/>
              <w:jc w:val="right"/>
              <w:rPr>
                <w:rFonts w:ascii="Times New Roman" w:eastAsia="Times New Roman" w:hAnsi="Times New Roman"/>
                <w:sz w:val="20"/>
                <w:szCs w:val="20"/>
                <w:lang w:val="mk-MK" w:eastAsia="mk-MK"/>
              </w:rPr>
            </w:pPr>
          </w:p>
        </w:tc>
        <w:tc>
          <w:tcPr>
            <w:tcW w:w="1634" w:type="dxa"/>
            <w:tcBorders>
              <w:top w:val="nil"/>
              <w:left w:val="nil"/>
              <w:bottom w:val="nil"/>
              <w:right w:val="nil"/>
            </w:tcBorders>
            <w:shd w:val="clear" w:color="auto" w:fill="auto"/>
            <w:vAlign w:val="center"/>
            <w:hideMark/>
          </w:tcPr>
          <w:p w14:paraId="24DF1504" w14:textId="77777777" w:rsidR="00FA465E" w:rsidRPr="00FA465E" w:rsidRDefault="00FA465E" w:rsidP="00FA465E">
            <w:pPr>
              <w:spacing w:after="0" w:line="240" w:lineRule="auto"/>
              <w:jc w:val="center"/>
              <w:rPr>
                <w:rFonts w:ascii="Times New Roman" w:eastAsia="Times New Roman" w:hAnsi="Times New Roman"/>
                <w:sz w:val="20"/>
                <w:szCs w:val="20"/>
                <w:lang w:val="mk-MK" w:eastAsia="mk-MK"/>
              </w:rPr>
            </w:pPr>
          </w:p>
        </w:tc>
      </w:tr>
      <w:tr w:rsidR="00FA465E" w:rsidRPr="00FA465E" w14:paraId="1B6EB222" w14:textId="77777777" w:rsidTr="001C5B17">
        <w:trPr>
          <w:trHeight w:val="300"/>
        </w:trPr>
        <w:tc>
          <w:tcPr>
            <w:tcW w:w="5130" w:type="dxa"/>
            <w:tcBorders>
              <w:top w:val="nil"/>
              <w:left w:val="nil"/>
              <w:bottom w:val="nil"/>
              <w:right w:val="nil"/>
            </w:tcBorders>
            <w:shd w:val="clear" w:color="auto" w:fill="auto"/>
            <w:vAlign w:val="bottom"/>
            <w:hideMark/>
          </w:tcPr>
          <w:p w14:paraId="3E4AF7B4" w14:textId="77777777" w:rsidR="00FA465E" w:rsidRPr="00FA465E" w:rsidRDefault="00FA465E" w:rsidP="00FA465E">
            <w:pPr>
              <w:spacing w:after="0" w:line="240" w:lineRule="auto"/>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Обврски за тргување</w:t>
            </w:r>
          </w:p>
        </w:tc>
        <w:tc>
          <w:tcPr>
            <w:tcW w:w="1063" w:type="dxa"/>
            <w:tcBorders>
              <w:top w:val="nil"/>
              <w:left w:val="nil"/>
              <w:bottom w:val="nil"/>
              <w:right w:val="nil"/>
            </w:tcBorders>
            <w:shd w:val="clear" w:color="auto" w:fill="auto"/>
            <w:noWrap/>
            <w:vAlign w:val="center"/>
            <w:hideMark/>
          </w:tcPr>
          <w:p w14:paraId="5D0D8CCE"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32</w:t>
            </w:r>
          </w:p>
        </w:tc>
        <w:tc>
          <w:tcPr>
            <w:tcW w:w="222" w:type="dxa"/>
            <w:tcBorders>
              <w:top w:val="nil"/>
              <w:left w:val="nil"/>
              <w:bottom w:val="nil"/>
              <w:right w:val="nil"/>
            </w:tcBorders>
            <w:shd w:val="clear" w:color="auto" w:fill="auto"/>
            <w:vAlign w:val="bottom"/>
            <w:hideMark/>
          </w:tcPr>
          <w:p w14:paraId="6BDFA18F"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7D45EC46" w14:textId="77777777" w:rsidR="00FA465E" w:rsidRPr="00FA465E" w:rsidRDefault="00FA465E" w:rsidP="00FA465E">
            <w:pPr>
              <w:spacing w:after="0" w:line="240" w:lineRule="auto"/>
              <w:jc w:val="center"/>
              <w:rPr>
                <w:rFonts w:ascii="Times New Roman" w:eastAsia="Times New Roman" w:hAnsi="Times New Roman"/>
                <w:sz w:val="20"/>
                <w:szCs w:val="20"/>
                <w:lang w:val="mk-MK" w:eastAsia="mk-MK"/>
              </w:rPr>
            </w:pPr>
          </w:p>
        </w:tc>
        <w:tc>
          <w:tcPr>
            <w:tcW w:w="395" w:type="dxa"/>
            <w:tcBorders>
              <w:top w:val="nil"/>
              <w:left w:val="nil"/>
              <w:bottom w:val="nil"/>
              <w:right w:val="nil"/>
            </w:tcBorders>
            <w:shd w:val="clear" w:color="auto" w:fill="auto"/>
            <w:vAlign w:val="bottom"/>
            <w:hideMark/>
          </w:tcPr>
          <w:p w14:paraId="7E86270C" w14:textId="77777777" w:rsidR="00FA465E" w:rsidRPr="00FA465E" w:rsidRDefault="00FA465E" w:rsidP="00FA465E">
            <w:pPr>
              <w:spacing w:after="0" w:line="240" w:lineRule="auto"/>
              <w:jc w:val="right"/>
              <w:rPr>
                <w:rFonts w:ascii="Times New Roman" w:eastAsia="Times New Roman" w:hAnsi="Times New Roman"/>
                <w:sz w:val="20"/>
                <w:szCs w:val="20"/>
                <w:lang w:val="mk-MK" w:eastAsia="mk-MK"/>
              </w:rPr>
            </w:pPr>
          </w:p>
        </w:tc>
        <w:tc>
          <w:tcPr>
            <w:tcW w:w="1634" w:type="dxa"/>
            <w:tcBorders>
              <w:top w:val="nil"/>
              <w:left w:val="nil"/>
              <w:bottom w:val="nil"/>
              <w:right w:val="nil"/>
            </w:tcBorders>
            <w:shd w:val="clear" w:color="auto" w:fill="auto"/>
            <w:vAlign w:val="bottom"/>
            <w:hideMark/>
          </w:tcPr>
          <w:p w14:paraId="7B94EDAB"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   </w:t>
            </w:r>
          </w:p>
        </w:tc>
      </w:tr>
      <w:tr w:rsidR="00FA465E" w:rsidRPr="00FA465E" w14:paraId="492BFCEA" w14:textId="77777777" w:rsidTr="001C5B17">
        <w:trPr>
          <w:trHeight w:val="570"/>
        </w:trPr>
        <w:tc>
          <w:tcPr>
            <w:tcW w:w="5130" w:type="dxa"/>
            <w:tcBorders>
              <w:top w:val="nil"/>
              <w:left w:val="nil"/>
              <w:bottom w:val="nil"/>
              <w:right w:val="nil"/>
            </w:tcBorders>
            <w:shd w:val="clear" w:color="auto" w:fill="auto"/>
            <w:vAlign w:val="bottom"/>
            <w:hideMark/>
          </w:tcPr>
          <w:p w14:paraId="00B48352" w14:textId="77777777" w:rsidR="00FA465E" w:rsidRPr="00FA465E" w:rsidRDefault="00FA465E" w:rsidP="00FA465E">
            <w:pPr>
              <w:spacing w:after="0" w:line="240" w:lineRule="auto"/>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Финансиски обврски по објективна вредност преку билансот на успех определени како такви при почетното признавање</w:t>
            </w:r>
          </w:p>
        </w:tc>
        <w:tc>
          <w:tcPr>
            <w:tcW w:w="1063" w:type="dxa"/>
            <w:tcBorders>
              <w:top w:val="nil"/>
              <w:left w:val="nil"/>
              <w:bottom w:val="nil"/>
              <w:right w:val="nil"/>
            </w:tcBorders>
            <w:shd w:val="clear" w:color="auto" w:fill="auto"/>
            <w:noWrap/>
            <w:vAlign w:val="center"/>
            <w:hideMark/>
          </w:tcPr>
          <w:p w14:paraId="281E8069"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33</w:t>
            </w:r>
          </w:p>
        </w:tc>
        <w:tc>
          <w:tcPr>
            <w:tcW w:w="222" w:type="dxa"/>
            <w:tcBorders>
              <w:top w:val="nil"/>
              <w:left w:val="nil"/>
              <w:bottom w:val="nil"/>
              <w:right w:val="nil"/>
            </w:tcBorders>
            <w:shd w:val="clear" w:color="auto" w:fill="auto"/>
            <w:vAlign w:val="bottom"/>
            <w:hideMark/>
          </w:tcPr>
          <w:p w14:paraId="353108A6"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352598BE" w14:textId="77777777" w:rsidR="00FA465E" w:rsidRPr="00FA465E" w:rsidRDefault="00FA465E" w:rsidP="00FA465E">
            <w:pPr>
              <w:spacing w:after="0" w:line="240" w:lineRule="auto"/>
              <w:jc w:val="center"/>
              <w:rPr>
                <w:rFonts w:ascii="Times New Roman" w:eastAsia="Times New Roman" w:hAnsi="Times New Roman"/>
                <w:sz w:val="20"/>
                <w:szCs w:val="20"/>
                <w:lang w:val="mk-MK" w:eastAsia="mk-MK"/>
              </w:rPr>
            </w:pPr>
          </w:p>
        </w:tc>
        <w:tc>
          <w:tcPr>
            <w:tcW w:w="395" w:type="dxa"/>
            <w:tcBorders>
              <w:top w:val="nil"/>
              <w:left w:val="nil"/>
              <w:bottom w:val="nil"/>
              <w:right w:val="nil"/>
            </w:tcBorders>
            <w:shd w:val="clear" w:color="auto" w:fill="auto"/>
            <w:vAlign w:val="bottom"/>
            <w:hideMark/>
          </w:tcPr>
          <w:p w14:paraId="7E617757" w14:textId="77777777" w:rsidR="00FA465E" w:rsidRPr="00FA465E" w:rsidRDefault="00FA465E" w:rsidP="00FA465E">
            <w:pPr>
              <w:spacing w:after="0" w:line="240" w:lineRule="auto"/>
              <w:jc w:val="right"/>
              <w:rPr>
                <w:rFonts w:ascii="Times New Roman" w:eastAsia="Times New Roman" w:hAnsi="Times New Roman"/>
                <w:sz w:val="20"/>
                <w:szCs w:val="20"/>
                <w:lang w:val="mk-MK" w:eastAsia="mk-MK"/>
              </w:rPr>
            </w:pPr>
          </w:p>
        </w:tc>
        <w:tc>
          <w:tcPr>
            <w:tcW w:w="1634" w:type="dxa"/>
            <w:tcBorders>
              <w:top w:val="nil"/>
              <w:left w:val="nil"/>
              <w:bottom w:val="nil"/>
              <w:right w:val="nil"/>
            </w:tcBorders>
            <w:shd w:val="clear" w:color="auto" w:fill="auto"/>
            <w:vAlign w:val="bottom"/>
            <w:hideMark/>
          </w:tcPr>
          <w:p w14:paraId="7C2C43A5"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   </w:t>
            </w:r>
          </w:p>
        </w:tc>
      </w:tr>
      <w:tr w:rsidR="00FA465E" w:rsidRPr="00FA465E" w14:paraId="4756D7A8" w14:textId="77777777" w:rsidTr="001C5B17">
        <w:trPr>
          <w:trHeight w:val="300"/>
        </w:trPr>
        <w:tc>
          <w:tcPr>
            <w:tcW w:w="5130" w:type="dxa"/>
            <w:tcBorders>
              <w:top w:val="nil"/>
              <w:left w:val="nil"/>
              <w:bottom w:val="nil"/>
              <w:right w:val="nil"/>
            </w:tcBorders>
            <w:shd w:val="clear" w:color="auto" w:fill="auto"/>
            <w:vAlign w:val="bottom"/>
            <w:hideMark/>
          </w:tcPr>
          <w:p w14:paraId="37926D1B" w14:textId="77777777" w:rsidR="00FA465E" w:rsidRPr="00FA465E" w:rsidRDefault="00FA465E" w:rsidP="00FA465E">
            <w:pPr>
              <w:spacing w:after="0" w:line="240" w:lineRule="auto"/>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Дериватни обврски чувани за управување со ризик</w:t>
            </w:r>
          </w:p>
        </w:tc>
        <w:tc>
          <w:tcPr>
            <w:tcW w:w="1063" w:type="dxa"/>
            <w:tcBorders>
              <w:top w:val="nil"/>
              <w:left w:val="nil"/>
              <w:bottom w:val="nil"/>
              <w:right w:val="nil"/>
            </w:tcBorders>
            <w:shd w:val="clear" w:color="auto" w:fill="auto"/>
            <w:noWrap/>
            <w:vAlign w:val="center"/>
            <w:hideMark/>
          </w:tcPr>
          <w:p w14:paraId="07708552"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21</w:t>
            </w:r>
          </w:p>
        </w:tc>
        <w:tc>
          <w:tcPr>
            <w:tcW w:w="222" w:type="dxa"/>
            <w:tcBorders>
              <w:top w:val="nil"/>
              <w:left w:val="nil"/>
              <w:bottom w:val="nil"/>
              <w:right w:val="nil"/>
            </w:tcBorders>
            <w:shd w:val="clear" w:color="auto" w:fill="auto"/>
            <w:vAlign w:val="bottom"/>
            <w:hideMark/>
          </w:tcPr>
          <w:p w14:paraId="02B74C78"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4CFD5B7A" w14:textId="77777777" w:rsidR="00FA465E" w:rsidRPr="00FA465E" w:rsidRDefault="00FA465E" w:rsidP="00FA465E">
            <w:pPr>
              <w:spacing w:after="0" w:line="240" w:lineRule="auto"/>
              <w:jc w:val="center"/>
              <w:rPr>
                <w:rFonts w:ascii="Times New Roman" w:eastAsia="Times New Roman" w:hAnsi="Times New Roman"/>
                <w:sz w:val="20"/>
                <w:szCs w:val="20"/>
                <w:lang w:val="mk-MK" w:eastAsia="mk-MK"/>
              </w:rPr>
            </w:pPr>
          </w:p>
        </w:tc>
        <w:tc>
          <w:tcPr>
            <w:tcW w:w="395" w:type="dxa"/>
            <w:tcBorders>
              <w:top w:val="nil"/>
              <w:left w:val="nil"/>
              <w:bottom w:val="nil"/>
              <w:right w:val="nil"/>
            </w:tcBorders>
            <w:shd w:val="clear" w:color="auto" w:fill="auto"/>
            <w:vAlign w:val="bottom"/>
            <w:hideMark/>
          </w:tcPr>
          <w:p w14:paraId="2EAB46E4" w14:textId="77777777" w:rsidR="00FA465E" w:rsidRPr="00FA465E" w:rsidRDefault="00FA465E" w:rsidP="00FA465E">
            <w:pPr>
              <w:spacing w:after="0" w:line="240" w:lineRule="auto"/>
              <w:jc w:val="right"/>
              <w:rPr>
                <w:rFonts w:ascii="Times New Roman" w:eastAsia="Times New Roman" w:hAnsi="Times New Roman"/>
                <w:sz w:val="20"/>
                <w:szCs w:val="20"/>
                <w:lang w:val="mk-MK" w:eastAsia="mk-MK"/>
              </w:rPr>
            </w:pPr>
          </w:p>
        </w:tc>
        <w:tc>
          <w:tcPr>
            <w:tcW w:w="1634" w:type="dxa"/>
            <w:tcBorders>
              <w:top w:val="nil"/>
              <w:left w:val="nil"/>
              <w:bottom w:val="nil"/>
              <w:right w:val="nil"/>
            </w:tcBorders>
            <w:shd w:val="clear" w:color="auto" w:fill="auto"/>
            <w:vAlign w:val="bottom"/>
            <w:hideMark/>
          </w:tcPr>
          <w:p w14:paraId="7BCB7510"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   </w:t>
            </w:r>
          </w:p>
        </w:tc>
      </w:tr>
      <w:tr w:rsidR="00FA465E" w:rsidRPr="00FA465E" w14:paraId="05F763D0" w14:textId="77777777" w:rsidTr="001C5B17">
        <w:trPr>
          <w:trHeight w:val="300"/>
        </w:trPr>
        <w:tc>
          <w:tcPr>
            <w:tcW w:w="5130" w:type="dxa"/>
            <w:tcBorders>
              <w:top w:val="nil"/>
              <w:left w:val="nil"/>
              <w:bottom w:val="nil"/>
              <w:right w:val="nil"/>
            </w:tcBorders>
            <w:shd w:val="clear" w:color="auto" w:fill="auto"/>
            <w:vAlign w:val="bottom"/>
            <w:hideMark/>
          </w:tcPr>
          <w:p w14:paraId="699C10C9" w14:textId="77777777" w:rsidR="00FA465E" w:rsidRPr="00FA465E" w:rsidRDefault="00FA465E" w:rsidP="00FA465E">
            <w:pPr>
              <w:spacing w:after="0" w:line="240" w:lineRule="auto"/>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Депозити на банките</w:t>
            </w:r>
          </w:p>
        </w:tc>
        <w:tc>
          <w:tcPr>
            <w:tcW w:w="1063" w:type="dxa"/>
            <w:tcBorders>
              <w:top w:val="nil"/>
              <w:left w:val="nil"/>
              <w:bottom w:val="nil"/>
              <w:right w:val="nil"/>
            </w:tcBorders>
            <w:shd w:val="clear" w:color="auto" w:fill="auto"/>
            <w:noWrap/>
            <w:vAlign w:val="center"/>
            <w:hideMark/>
          </w:tcPr>
          <w:p w14:paraId="233CD72C"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34.1</w:t>
            </w:r>
          </w:p>
        </w:tc>
        <w:tc>
          <w:tcPr>
            <w:tcW w:w="222" w:type="dxa"/>
            <w:tcBorders>
              <w:top w:val="nil"/>
              <w:left w:val="nil"/>
              <w:bottom w:val="nil"/>
              <w:right w:val="nil"/>
            </w:tcBorders>
            <w:shd w:val="clear" w:color="auto" w:fill="auto"/>
            <w:vAlign w:val="bottom"/>
            <w:hideMark/>
          </w:tcPr>
          <w:p w14:paraId="701778E4"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4F85AEB9"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2.902.315 </w:t>
            </w:r>
          </w:p>
        </w:tc>
        <w:tc>
          <w:tcPr>
            <w:tcW w:w="395" w:type="dxa"/>
            <w:tcBorders>
              <w:top w:val="nil"/>
              <w:left w:val="nil"/>
              <w:bottom w:val="nil"/>
              <w:right w:val="nil"/>
            </w:tcBorders>
            <w:shd w:val="clear" w:color="auto" w:fill="auto"/>
            <w:vAlign w:val="bottom"/>
            <w:hideMark/>
          </w:tcPr>
          <w:p w14:paraId="568CDEA0"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p>
        </w:tc>
        <w:tc>
          <w:tcPr>
            <w:tcW w:w="1634" w:type="dxa"/>
            <w:tcBorders>
              <w:top w:val="nil"/>
              <w:left w:val="nil"/>
              <w:bottom w:val="nil"/>
              <w:right w:val="nil"/>
            </w:tcBorders>
            <w:shd w:val="clear" w:color="auto" w:fill="auto"/>
            <w:vAlign w:val="bottom"/>
            <w:hideMark/>
          </w:tcPr>
          <w:p w14:paraId="75457DC8"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1.425.335 </w:t>
            </w:r>
          </w:p>
        </w:tc>
      </w:tr>
      <w:tr w:rsidR="00FA465E" w:rsidRPr="00FA465E" w14:paraId="4FA747DA" w14:textId="77777777" w:rsidTr="001C5B17">
        <w:trPr>
          <w:trHeight w:val="300"/>
        </w:trPr>
        <w:tc>
          <w:tcPr>
            <w:tcW w:w="5130" w:type="dxa"/>
            <w:tcBorders>
              <w:top w:val="nil"/>
              <w:left w:val="nil"/>
              <w:bottom w:val="nil"/>
              <w:right w:val="nil"/>
            </w:tcBorders>
            <w:shd w:val="clear" w:color="auto" w:fill="auto"/>
            <w:vAlign w:val="bottom"/>
            <w:hideMark/>
          </w:tcPr>
          <w:p w14:paraId="7EBCC34D" w14:textId="77777777" w:rsidR="00FA465E" w:rsidRPr="00FA465E" w:rsidRDefault="00FA465E" w:rsidP="00FA465E">
            <w:pPr>
              <w:spacing w:after="0" w:line="240" w:lineRule="auto"/>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Депозити на други комитенти</w:t>
            </w:r>
          </w:p>
        </w:tc>
        <w:tc>
          <w:tcPr>
            <w:tcW w:w="1063" w:type="dxa"/>
            <w:tcBorders>
              <w:top w:val="nil"/>
              <w:left w:val="nil"/>
              <w:bottom w:val="nil"/>
              <w:right w:val="nil"/>
            </w:tcBorders>
            <w:shd w:val="clear" w:color="auto" w:fill="auto"/>
            <w:noWrap/>
            <w:vAlign w:val="center"/>
            <w:hideMark/>
          </w:tcPr>
          <w:p w14:paraId="2A9D6FA3"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34.2</w:t>
            </w:r>
          </w:p>
        </w:tc>
        <w:tc>
          <w:tcPr>
            <w:tcW w:w="222" w:type="dxa"/>
            <w:tcBorders>
              <w:top w:val="nil"/>
              <w:left w:val="nil"/>
              <w:bottom w:val="nil"/>
              <w:right w:val="nil"/>
            </w:tcBorders>
            <w:shd w:val="clear" w:color="auto" w:fill="auto"/>
            <w:vAlign w:val="bottom"/>
            <w:hideMark/>
          </w:tcPr>
          <w:p w14:paraId="74D0940F"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00CCE71C"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94.379.647 </w:t>
            </w:r>
          </w:p>
        </w:tc>
        <w:tc>
          <w:tcPr>
            <w:tcW w:w="395" w:type="dxa"/>
            <w:tcBorders>
              <w:top w:val="nil"/>
              <w:left w:val="nil"/>
              <w:bottom w:val="nil"/>
              <w:right w:val="nil"/>
            </w:tcBorders>
            <w:shd w:val="clear" w:color="auto" w:fill="auto"/>
            <w:vAlign w:val="bottom"/>
            <w:hideMark/>
          </w:tcPr>
          <w:p w14:paraId="4FCAC0C3"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p>
        </w:tc>
        <w:tc>
          <w:tcPr>
            <w:tcW w:w="1634" w:type="dxa"/>
            <w:tcBorders>
              <w:top w:val="nil"/>
              <w:left w:val="nil"/>
              <w:bottom w:val="nil"/>
              <w:right w:val="nil"/>
            </w:tcBorders>
            <w:shd w:val="clear" w:color="auto" w:fill="auto"/>
            <w:vAlign w:val="bottom"/>
            <w:hideMark/>
          </w:tcPr>
          <w:p w14:paraId="3051DD65"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89.673.439 </w:t>
            </w:r>
          </w:p>
        </w:tc>
      </w:tr>
      <w:tr w:rsidR="00FA465E" w:rsidRPr="00FA465E" w14:paraId="2406AA0D" w14:textId="77777777" w:rsidTr="001C5B17">
        <w:trPr>
          <w:trHeight w:val="300"/>
        </w:trPr>
        <w:tc>
          <w:tcPr>
            <w:tcW w:w="5130" w:type="dxa"/>
            <w:tcBorders>
              <w:top w:val="nil"/>
              <w:left w:val="nil"/>
              <w:bottom w:val="nil"/>
              <w:right w:val="nil"/>
            </w:tcBorders>
            <w:shd w:val="clear" w:color="auto" w:fill="auto"/>
            <w:vAlign w:val="bottom"/>
            <w:hideMark/>
          </w:tcPr>
          <w:p w14:paraId="5F7C6011" w14:textId="77777777" w:rsidR="00FA465E" w:rsidRPr="00FA465E" w:rsidRDefault="00FA465E" w:rsidP="00FA465E">
            <w:pPr>
              <w:spacing w:after="0" w:line="240" w:lineRule="auto"/>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Издадени должнички хартии од вредност</w:t>
            </w:r>
          </w:p>
        </w:tc>
        <w:tc>
          <w:tcPr>
            <w:tcW w:w="1063" w:type="dxa"/>
            <w:tcBorders>
              <w:top w:val="nil"/>
              <w:left w:val="nil"/>
              <w:bottom w:val="nil"/>
              <w:right w:val="nil"/>
            </w:tcBorders>
            <w:shd w:val="clear" w:color="auto" w:fill="auto"/>
            <w:noWrap/>
            <w:vAlign w:val="center"/>
            <w:hideMark/>
          </w:tcPr>
          <w:p w14:paraId="417E5F44"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35</w:t>
            </w:r>
          </w:p>
        </w:tc>
        <w:tc>
          <w:tcPr>
            <w:tcW w:w="222" w:type="dxa"/>
            <w:tcBorders>
              <w:top w:val="nil"/>
              <w:left w:val="nil"/>
              <w:bottom w:val="nil"/>
              <w:right w:val="nil"/>
            </w:tcBorders>
            <w:shd w:val="clear" w:color="auto" w:fill="auto"/>
            <w:vAlign w:val="bottom"/>
            <w:hideMark/>
          </w:tcPr>
          <w:p w14:paraId="28198D8B"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7757DF2A" w14:textId="77777777" w:rsidR="00FA465E" w:rsidRPr="00FA465E" w:rsidRDefault="00FA465E" w:rsidP="00FA465E">
            <w:pPr>
              <w:spacing w:after="0" w:line="240" w:lineRule="auto"/>
              <w:jc w:val="center"/>
              <w:rPr>
                <w:rFonts w:ascii="Times New Roman" w:eastAsia="Times New Roman" w:hAnsi="Times New Roman"/>
                <w:sz w:val="20"/>
                <w:szCs w:val="20"/>
                <w:lang w:val="mk-MK" w:eastAsia="mk-MK"/>
              </w:rPr>
            </w:pPr>
          </w:p>
        </w:tc>
        <w:tc>
          <w:tcPr>
            <w:tcW w:w="395" w:type="dxa"/>
            <w:tcBorders>
              <w:top w:val="nil"/>
              <w:left w:val="nil"/>
              <w:bottom w:val="nil"/>
              <w:right w:val="nil"/>
            </w:tcBorders>
            <w:shd w:val="clear" w:color="auto" w:fill="auto"/>
            <w:vAlign w:val="bottom"/>
            <w:hideMark/>
          </w:tcPr>
          <w:p w14:paraId="01194E04" w14:textId="77777777" w:rsidR="00FA465E" w:rsidRPr="00FA465E" w:rsidRDefault="00FA465E" w:rsidP="00FA465E">
            <w:pPr>
              <w:spacing w:after="0" w:line="240" w:lineRule="auto"/>
              <w:jc w:val="right"/>
              <w:rPr>
                <w:rFonts w:ascii="Times New Roman" w:eastAsia="Times New Roman" w:hAnsi="Times New Roman"/>
                <w:sz w:val="20"/>
                <w:szCs w:val="20"/>
                <w:lang w:val="mk-MK" w:eastAsia="mk-MK"/>
              </w:rPr>
            </w:pPr>
          </w:p>
        </w:tc>
        <w:tc>
          <w:tcPr>
            <w:tcW w:w="1634" w:type="dxa"/>
            <w:tcBorders>
              <w:top w:val="nil"/>
              <w:left w:val="nil"/>
              <w:bottom w:val="nil"/>
              <w:right w:val="nil"/>
            </w:tcBorders>
            <w:shd w:val="clear" w:color="auto" w:fill="auto"/>
            <w:vAlign w:val="bottom"/>
            <w:hideMark/>
          </w:tcPr>
          <w:p w14:paraId="42D29764"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   </w:t>
            </w:r>
          </w:p>
        </w:tc>
      </w:tr>
      <w:tr w:rsidR="00FA465E" w:rsidRPr="00FA465E" w14:paraId="7A851C42" w14:textId="77777777" w:rsidTr="001C5B17">
        <w:trPr>
          <w:trHeight w:val="300"/>
        </w:trPr>
        <w:tc>
          <w:tcPr>
            <w:tcW w:w="5130" w:type="dxa"/>
            <w:tcBorders>
              <w:top w:val="nil"/>
              <w:left w:val="nil"/>
              <w:bottom w:val="nil"/>
              <w:right w:val="nil"/>
            </w:tcBorders>
            <w:shd w:val="clear" w:color="auto" w:fill="auto"/>
            <w:vAlign w:val="bottom"/>
            <w:hideMark/>
          </w:tcPr>
          <w:p w14:paraId="2EB6880B" w14:textId="77777777" w:rsidR="00FA465E" w:rsidRPr="00FA465E" w:rsidRDefault="00FA465E" w:rsidP="00FA465E">
            <w:pPr>
              <w:spacing w:after="0" w:line="240" w:lineRule="auto"/>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Обврски по кредити</w:t>
            </w:r>
          </w:p>
        </w:tc>
        <w:tc>
          <w:tcPr>
            <w:tcW w:w="1063" w:type="dxa"/>
            <w:tcBorders>
              <w:top w:val="nil"/>
              <w:left w:val="nil"/>
              <w:bottom w:val="nil"/>
              <w:right w:val="nil"/>
            </w:tcBorders>
            <w:shd w:val="clear" w:color="auto" w:fill="auto"/>
            <w:noWrap/>
            <w:vAlign w:val="center"/>
            <w:hideMark/>
          </w:tcPr>
          <w:p w14:paraId="2B8DE73D"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36</w:t>
            </w:r>
          </w:p>
        </w:tc>
        <w:tc>
          <w:tcPr>
            <w:tcW w:w="222" w:type="dxa"/>
            <w:tcBorders>
              <w:top w:val="nil"/>
              <w:left w:val="nil"/>
              <w:bottom w:val="nil"/>
              <w:right w:val="nil"/>
            </w:tcBorders>
            <w:shd w:val="clear" w:color="auto" w:fill="auto"/>
            <w:vAlign w:val="bottom"/>
            <w:hideMark/>
          </w:tcPr>
          <w:p w14:paraId="7DECCF72"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00DF42C7"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1.930.696 </w:t>
            </w:r>
          </w:p>
        </w:tc>
        <w:tc>
          <w:tcPr>
            <w:tcW w:w="395" w:type="dxa"/>
            <w:tcBorders>
              <w:top w:val="nil"/>
              <w:left w:val="nil"/>
              <w:bottom w:val="nil"/>
              <w:right w:val="nil"/>
            </w:tcBorders>
            <w:shd w:val="clear" w:color="auto" w:fill="auto"/>
            <w:vAlign w:val="bottom"/>
            <w:hideMark/>
          </w:tcPr>
          <w:p w14:paraId="1011713C"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p>
        </w:tc>
        <w:tc>
          <w:tcPr>
            <w:tcW w:w="1634" w:type="dxa"/>
            <w:tcBorders>
              <w:top w:val="nil"/>
              <w:left w:val="nil"/>
              <w:bottom w:val="nil"/>
              <w:right w:val="nil"/>
            </w:tcBorders>
            <w:shd w:val="clear" w:color="auto" w:fill="auto"/>
            <w:vAlign w:val="bottom"/>
            <w:hideMark/>
          </w:tcPr>
          <w:p w14:paraId="0831D355"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1.686.298 </w:t>
            </w:r>
          </w:p>
        </w:tc>
      </w:tr>
      <w:tr w:rsidR="00FA465E" w:rsidRPr="00FA465E" w14:paraId="52460CC9" w14:textId="77777777" w:rsidTr="001C5B17">
        <w:trPr>
          <w:trHeight w:val="300"/>
        </w:trPr>
        <w:tc>
          <w:tcPr>
            <w:tcW w:w="5130" w:type="dxa"/>
            <w:tcBorders>
              <w:top w:val="nil"/>
              <w:left w:val="nil"/>
              <w:bottom w:val="nil"/>
              <w:right w:val="nil"/>
            </w:tcBorders>
            <w:shd w:val="clear" w:color="auto" w:fill="auto"/>
            <w:vAlign w:val="bottom"/>
            <w:hideMark/>
          </w:tcPr>
          <w:p w14:paraId="5F9A1742" w14:textId="77777777" w:rsidR="00FA465E" w:rsidRPr="00FA465E" w:rsidRDefault="00FA465E" w:rsidP="00FA465E">
            <w:pPr>
              <w:spacing w:after="0" w:line="240" w:lineRule="auto"/>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Субординирани обврски</w:t>
            </w:r>
          </w:p>
        </w:tc>
        <w:tc>
          <w:tcPr>
            <w:tcW w:w="1063" w:type="dxa"/>
            <w:tcBorders>
              <w:top w:val="nil"/>
              <w:left w:val="nil"/>
              <w:bottom w:val="nil"/>
              <w:right w:val="nil"/>
            </w:tcBorders>
            <w:shd w:val="clear" w:color="auto" w:fill="auto"/>
            <w:noWrap/>
            <w:vAlign w:val="center"/>
            <w:hideMark/>
          </w:tcPr>
          <w:p w14:paraId="357B2A33"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37</w:t>
            </w:r>
          </w:p>
        </w:tc>
        <w:tc>
          <w:tcPr>
            <w:tcW w:w="222" w:type="dxa"/>
            <w:tcBorders>
              <w:top w:val="nil"/>
              <w:left w:val="nil"/>
              <w:bottom w:val="nil"/>
              <w:right w:val="nil"/>
            </w:tcBorders>
            <w:shd w:val="clear" w:color="auto" w:fill="auto"/>
            <w:vAlign w:val="bottom"/>
            <w:hideMark/>
          </w:tcPr>
          <w:p w14:paraId="510EBD98"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3D8C4C9B" w14:textId="77777777" w:rsidR="00FA465E" w:rsidRPr="00FA465E" w:rsidRDefault="00FA465E" w:rsidP="00FA465E">
            <w:pPr>
              <w:spacing w:after="0" w:line="240" w:lineRule="auto"/>
              <w:jc w:val="center"/>
              <w:rPr>
                <w:rFonts w:ascii="Times New Roman" w:eastAsia="Times New Roman" w:hAnsi="Times New Roman"/>
                <w:sz w:val="20"/>
                <w:szCs w:val="20"/>
                <w:lang w:val="mk-MK" w:eastAsia="mk-MK"/>
              </w:rPr>
            </w:pPr>
          </w:p>
        </w:tc>
        <w:tc>
          <w:tcPr>
            <w:tcW w:w="395" w:type="dxa"/>
            <w:tcBorders>
              <w:top w:val="nil"/>
              <w:left w:val="nil"/>
              <w:bottom w:val="nil"/>
              <w:right w:val="nil"/>
            </w:tcBorders>
            <w:shd w:val="clear" w:color="auto" w:fill="auto"/>
            <w:vAlign w:val="bottom"/>
            <w:hideMark/>
          </w:tcPr>
          <w:p w14:paraId="4A63AEB9" w14:textId="77777777" w:rsidR="00FA465E" w:rsidRPr="00FA465E" w:rsidRDefault="00FA465E" w:rsidP="00FA465E">
            <w:pPr>
              <w:spacing w:after="0" w:line="240" w:lineRule="auto"/>
              <w:jc w:val="right"/>
              <w:rPr>
                <w:rFonts w:ascii="Times New Roman" w:eastAsia="Times New Roman" w:hAnsi="Times New Roman"/>
                <w:sz w:val="20"/>
                <w:szCs w:val="20"/>
                <w:lang w:val="mk-MK" w:eastAsia="mk-MK"/>
              </w:rPr>
            </w:pPr>
          </w:p>
        </w:tc>
        <w:tc>
          <w:tcPr>
            <w:tcW w:w="1634" w:type="dxa"/>
            <w:tcBorders>
              <w:top w:val="nil"/>
              <w:left w:val="nil"/>
              <w:bottom w:val="nil"/>
              <w:right w:val="nil"/>
            </w:tcBorders>
            <w:shd w:val="clear" w:color="auto" w:fill="auto"/>
            <w:vAlign w:val="bottom"/>
            <w:hideMark/>
          </w:tcPr>
          <w:p w14:paraId="6D32D5EE"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   </w:t>
            </w:r>
          </w:p>
        </w:tc>
      </w:tr>
      <w:tr w:rsidR="00FA465E" w:rsidRPr="00FA465E" w14:paraId="225D3A82" w14:textId="77777777" w:rsidTr="001C5B17">
        <w:trPr>
          <w:trHeight w:val="300"/>
        </w:trPr>
        <w:tc>
          <w:tcPr>
            <w:tcW w:w="5130" w:type="dxa"/>
            <w:tcBorders>
              <w:top w:val="nil"/>
              <w:left w:val="nil"/>
              <w:bottom w:val="nil"/>
              <w:right w:val="nil"/>
            </w:tcBorders>
            <w:shd w:val="clear" w:color="auto" w:fill="auto"/>
            <w:vAlign w:val="bottom"/>
            <w:hideMark/>
          </w:tcPr>
          <w:p w14:paraId="646568A3" w14:textId="77777777" w:rsidR="00FA465E" w:rsidRPr="00FA465E" w:rsidRDefault="00FA465E" w:rsidP="00FA465E">
            <w:pPr>
              <w:spacing w:after="0" w:line="240" w:lineRule="auto"/>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Посебна резерва и резервирања</w:t>
            </w:r>
          </w:p>
        </w:tc>
        <w:tc>
          <w:tcPr>
            <w:tcW w:w="1063" w:type="dxa"/>
            <w:tcBorders>
              <w:top w:val="nil"/>
              <w:left w:val="nil"/>
              <w:bottom w:val="nil"/>
              <w:right w:val="nil"/>
            </w:tcBorders>
            <w:shd w:val="clear" w:color="auto" w:fill="auto"/>
            <w:noWrap/>
            <w:vAlign w:val="center"/>
            <w:hideMark/>
          </w:tcPr>
          <w:p w14:paraId="216C2B74"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38</w:t>
            </w:r>
          </w:p>
        </w:tc>
        <w:tc>
          <w:tcPr>
            <w:tcW w:w="222" w:type="dxa"/>
            <w:tcBorders>
              <w:top w:val="nil"/>
              <w:left w:val="nil"/>
              <w:bottom w:val="nil"/>
              <w:right w:val="nil"/>
            </w:tcBorders>
            <w:shd w:val="clear" w:color="auto" w:fill="auto"/>
            <w:vAlign w:val="bottom"/>
            <w:hideMark/>
          </w:tcPr>
          <w:p w14:paraId="4DCBCCBE"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1E7A796E"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111.922 </w:t>
            </w:r>
          </w:p>
        </w:tc>
        <w:tc>
          <w:tcPr>
            <w:tcW w:w="395" w:type="dxa"/>
            <w:tcBorders>
              <w:top w:val="nil"/>
              <w:left w:val="nil"/>
              <w:bottom w:val="nil"/>
              <w:right w:val="nil"/>
            </w:tcBorders>
            <w:shd w:val="clear" w:color="auto" w:fill="auto"/>
            <w:vAlign w:val="bottom"/>
            <w:hideMark/>
          </w:tcPr>
          <w:p w14:paraId="5B9133B8"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p>
        </w:tc>
        <w:tc>
          <w:tcPr>
            <w:tcW w:w="1634" w:type="dxa"/>
            <w:tcBorders>
              <w:top w:val="nil"/>
              <w:left w:val="nil"/>
              <w:bottom w:val="nil"/>
              <w:right w:val="nil"/>
            </w:tcBorders>
            <w:shd w:val="clear" w:color="auto" w:fill="auto"/>
            <w:vAlign w:val="bottom"/>
            <w:hideMark/>
          </w:tcPr>
          <w:p w14:paraId="6C7A13F9"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107.431 </w:t>
            </w:r>
          </w:p>
        </w:tc>
      </w:tr>
      <w:tr w:rsidR="00FA465E" w:rsidRPr="00FA465E" w14:paraId="74AB5080" w14:textId="77777777" w:rsidTr="001C5B17">
        <w:trPr>
          <w:trHeight w:val="300"/>
        </w:trPr>
        <w:tc>
          <w:tcPr>
            <w:tcW w:w="5130" w:type="dxa"/>
            <w:tcBorders>
              <w:top w:val="nil"/>
              <w:left w:val="nil"/>
              <w:bottom w:val="nil"/>
              <w:right w:val="nil"/>
            </w:tcBorders>
            <w:shd w:val="clear" w:color="auto" w:fill="auto"/>
            <w:vAlign w:val="bottom"/>
            <w:hideMark/>
          </w:tcPr>
          <w:p w14:paraId="6D9A5B39" w14:textId="77777777" w:rsidR="00FA465E" w:rsidRPr="00FA465E" w:rsidRDefault="00FA465E" w:rsidP="00FA465E">
            <w:pPr>
              <w:spacing w:after="0" w:line="240" w:lineRule="auto"/>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Обврски за данок на добивка (тековен) </w:t>
            </w:r>
          </w:p>
        </w:tc>
        <w:tc>
          <w:tcPr>
            <w:tcW w:w="1063" w:type="dxa"/>
            <w:tcBorders>
              <w:top w:val="nil"/>
              <w:left w:val="nil"/>
              <w:bottom w:val="nil"/>
              <w:right w:val="nil"/>
            </w:tcBorders>
            <w:shd w:val="clear" w:color="auto" w:fill="auto"/>
            <w:noWrap/>
            <w:vAlign w:val="center"/>
            <w:hideMark/>
          </w:tcPr>
          <w:p w14:paraId="55AA9D48"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30.1</w:t>
            </w:r>
          </w:p>
        </w:tc>
        <w:tc>
          <w:tcPr>
            <w:tcW w:w="222" w:type="dxa"/>
            <w:tcBorders>
              <w:top w:val="nil"/>
              <w:left w:val="nil"/>
              <w:bottom w:val="nil"/>
              <w:right w:val="nil"/>
            </w:tcBorders>
            <w:shd w:val="clear" w:color="auto" w:fill="auto"/>
            <w:vAlign w:val="bottom"/>
            <w:hideMark/>
          </w:tcPr>
          <w:p w14:paraId="0D60AB80"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50A006E5"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892 </w:t>
            </w:r>
          </w:p>
        </w:tc>
        <w:tc>
          <w:tcPr>
            <w:tcW w:w="395" w:type="dxa"/>
            <w:tcBorders>
              <w:top w:val="nil"/>
              <w:left w:val="nil"/>
              <w:bottom w:val="nil"/>
              <w:right w:val="nil"/>
            </w:tcBorders>
            <w:shd w:val="clear" w:color="auto" w:fill="auto"/>
            <w:vAlign w:val="bottom"/>
            <w:hideMark/>
          </w:tcPr>
          <w:p w14:paraId="26355E47"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p>
        </w:tc>
        <w:tc>
          <w:tcPr>
            <w:tcW w:w="1634" w:type="dxa"/>
            <w:tcBorders>
              <w:top w:val="nil"/>
              <w:left w:val="nil"/>
              <w:bottom w:val="nil"/>
              <w:right w:val="nil"/>
            </w:tcBorders>
            <w:shd w:val="clear" w:color="auto" w:fill="auto"/>
            <w:vAlign w:val="bottom"/>
            <w:hideMark/>
          </w:tcPr>
          <w:p w14:paraId="686E9086"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72.595 </w:t>
            </w:r>
          </w:p>
        </w:tc>
      </w:tr>
      <w:tr w:rsidR="00FA465E" w:rsidRPr="00FA465E" w14:paraId="4D33243F" w14:textId="77777777" w:rsidTr="001C5B17">
        <w:trPr>
          <w:trHeight w:val="300"/>
        </w:trPr>
        <w:tc>
          <w:tcPr>
            <w:tcW w:w="5130" w:type="dxa"/>
            <w:tcBorders>
              <w:top w:val="nil"/>
              <w:left w:val="nil"/>
              <w:bottom w:val="nil"/>
              <w:right w:val="nil"/>
            </w:tcBorders>
            <w:shd w:val="clear" w:color="auto" w:fill="auto"/>
            <w:vAlign w:val="bottom"/>
            <w:hideMark/>
          </w:tcPr>
          <w:p w14:paraId="6B3C26F3" w14:textId="77777777" w:rsidR="00FA465E" w:rsidRPr="00FA465E" w:rsidRDefault="00FA465E" w:rsidP="00FA465E">
            <w:pPr>
              <w:spacing w:after="0" w:line="240" w:lineRule="auto"/>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Одложени даночни обврски</w:t>
            </w:r>
          </w:p>
        </w:tc>
        <w:tc>
          <w:tcPr>
            <w:tcW w:w="1063" w:type="dxa"/>
            <w:tcBorders>
              <w:top w:val="nil"/>
              <w:left w:val="nil"/>
              <w:bottom w:val="nil"/>
              <w:right w:val="nil"/>
            </w:tcBorders>
            <w:shd w:val="clear" w:color="auto" w:fill="auto"/>
            <w:noWrap/>
            <w:vAlign w:val="center"/>
            <w:hideMark/>
          </w:tcPr>
          <w:p w14:paraId="7DAF1A35"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30.2</w:t>
            </w:r>
          </w:p>
        </w:tc>
        <w:tc>
          <w:tcPr>
            <w:tcW w:w="222" w:type="dxa"/>
            <w:tcBorders>
              <w:top w:val="nil"/>
              <w:left w:val="nil"/>
              <w:bottom w:val="nil"/>
              <w:right w:val="nil"/>
            </w:tcBorders>
            <w:shd w:val="clear" w:color="auto" w:fill="auto"/>
            <w:vAlign w:val="bottom"/>
            <w:hideMark/>
          </w:tcPr>
          <w:p w14:paraId="418D4CAE"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64C37890" w14:textId="77777777" w:rsidR="00FA465E" w:rsidRPr="00FA465E" w:rsidRDefault="00FA465E" w:rsidP="00FA465E">
            <w:pPr>
              <w:spacing w:after="0" w:line="240" w:lineRule="auto"/>
              <w:jc w:val="center"/>
              <w:rPr>
                <w:rFonts w:ascii="Times New Roman" w:eastAsia="Times New Roman" w:hAnsi="Times New Roman"/>
                <w:sz w:val="20"/>
                <w:szCs w:val="20"/>
                <w:lang w:val="mk-MK" w:eastAsia="mk-MK"/>
              </w:rPr>
            </w:pPr>
          </w:p>
        </w:tc>
        <w:tc>
          <w:tcPr>
            <w:tcW w:w="395" w:type="dxa"/>
            <w:tcBorders>
              <w:top w:val="nil"/>
              <w:left w:val="nil"/>
              <w:bottom w:val="nil"/>
              <w:right w:val="nil"/>
            </w:tcBorders>
            <w:shd w:val="clear" w:color="auto" w:fill="auto"/>
            <w:vAlign w:val="bottom"/>
            <w:hideMark/>
          </w:tcPr>
          <w:p w14:paraId="39F525D9" w14:textId="77777777" w:rsidR="00FA465E" w:rsidRPr="00FA465E" w:rsidRDefault="00FA465E" w:rsidP="00FA465E">
            <w:pPr>
              <w:spacing w:after="0" w:line="240" w:lineRule="auto"/>
              <w:jc w:val="right"/>
              <w:rPr>
                <w:rFonts w:ascii="Times New Roman" w:eastAsia="Times New Roman" w:hAnsi="Times New Roman"/>
                <w:sz w:val="20"/>
                <w:szCs w:val="20"/>
                <w:lang w:val="mk-MK" w:eastAsia="mk-MK"/>
              </w:rPr>
            </w:pPr>
          </w:p>
        </w:tc>
        <w:tc>
          <w:tcPr>
            <w:tcW w:w="1634" w:type="dxa"/>
            <w:tcBorders>
              <w:top w:val="nil"/>
              <w:left w:val="nil"/>
              <w:bottom w:val="nil"/>
              <w:right w:val="nil"/>
            </w:tcBorders>
            <w:shd w:val="clear" w:color="auto" w:fill="auto"/>
            <w:vAlign w:val="bottom"/>
            <w:hideMark/>
          </w:tcPr>
          <w:p w14:paraId="0CB9C123"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   </w:t>
            </w:r>
          </w:p>
        </w:tc>
      </w:tr>
      <w:tr w:rsidR="00FA465E" w:rsidRPr="00FA465E" w14:paraId="49D1AB05" w14:textId="77777777" w:rsidTr="001C5B17">
        <w:trPr>
          <w:trHeight w:val="300"/>
        </w:trPr>
        <w:tc>
          <w:tcPr>
            <w:tcW w:w="5130" w:type="dxa"/>
            <w:tcBorders>
              <w:top w:val="nil"/>
              <w:left w:val="nil"/>
              <w:bottom w:val="nil"/>
              <w:right w:val="nil"/>
            </w:tcBorders>
            <w:shd w:val="clear" w:color="auto" w:fill="auto"/>
            <w:vAlign w:val="bottom"/>
            <w:hideMark/>
          </w:tcPr>
          <w:p w14:paraId="3E025822" w14:textId="77777777" w:rsidR="00FA465E" w:rsidRPr="00FA465E" w:rsidRDefault="00FA465E" w:rsidP="00FA465E">
            <w:pPr>
              <w:spacing w:after="0" w:line="240" w:lineRule="auto"/>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Останати обврски </w:t>
            </w:r>
          </w:p>
        </w:tc>
        <w:tc>
          <w:tcPr>
            <w:tcW w:w="1063" w:type="dxa"/>
            <w:tcBorders>
              <w:top w:val="nil"/>
              <w:left w:val="nil"/>
              <w:bottom w:val="nil"/>
              <w:right w:val="nil"/>
            </w:tcBorders>
            <w:shd w:val="clear" w:color="auto" w:fill="auto"/>
            <w:noWrap/>
            <w:vAlign w:val="center"/>
            <w:hideMark/>
          </w:tcPr>
          <w:p w14:paraId="7AFBE29F"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39</w:t>
            </w:r>
          </w:p>
        </w:tc>
        <w:tc>
          <w:tcPr>
            <w:tcW w:w="222" w:type="dxa"/>
            <w:tcBorders>
              <w:top w:val="nil"/>
              <w:left w:val="nil"/>
              <w:bottom w:val="nil"/>
              <w:right w:val="nil"/>
            </w:tcBorders>
            <w:shd w:val="clear" w:color="auto" w:fill="auto"/>
            <w:vAlign w:val="bottom"/>
            <w:hideMark/>
          </w:tcPr>
          <w:p w14:paraId="2C31D889"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0F4CD378"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1.269.287 </w:t>
            </w:r>
          </w:p>
        </w:tc>
        <w:tc>
          <w:tcPr>
            <w:tcW w:w="395" w:type="dxa"/>
            <w:tcBorders>
              <w:top w:val="nil"/>
              <w:left w:val="nil"/>
              <w:bottom w:val="nil"/>
              <w:right w:val="nil"/>
            </w:tcBorders>
            <w:shd w:val="clear" w:color="auto" w:fill="auto"/>
            <w:vAlign w:val="bottom"/>
            <w:hideMark/>
          </w:tcPr>
          <w:p w14:paraId="115951F4"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p>
        </w:tc>
        <w:tc>
          <w:tcPr>
            <w:tcW w:w="1634" w:type="dxa"/>
            <w:tcBorders>
              <w:top w:val="nil"/>
              <w:left w:val="nil"/>
              <w:bottom w:val="nil"/>
              <w:right w:val="nil"/>
            </w:tcBorders>
            <w:shd w:val="clear" w:color="auto" w:fill="auto"/>
            <w:vAlign w:val="bottom"/>
            <w:hideMark/>
          </w:tcPr>
          <w:p w14:paraId="2AA9A953"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1.345.262 </w:t>
            </w:r>
          </w:p>
        </w:tc>
      </w:tr>
      <w:tr w:rsidR="00FA465E" w:rsidRPr="00FA465E" w14:paraId="3FE51D51" w14:textId="77777777" w:rsidTr="001C5B17">
        <w:trPr>
          <w:trHeight w:val="300"/>
        </w:trPr>
        <w:tc>
          <w:tcPr>
            <w:tcW w:w="5130" w:type="dxa"/>
            <w:tcBorders>
              <w:top w:val="nil"/>
              <w:left w:val="nil"/>
              <w:bottom w:val="nil"/>
              <w:right w:val="nil"/>
            </w:tcBorders>
            <w:shd w:val="clear" w:color="auto" w:fill="auto"/>
            <w:vAlign w:val="bottom"/>
            <w:hideMark/>
          </w:tcPr>
          <w:p w14:paraId="0B9ABECE" w14:textId="77777777" w:rsidR="00FA465E" w:rsidRPr="00FA465E" w:rsidRDefault="00FA465E" w:rsidP="00FA465E">
            <w:pPr>
              <w:spacing w:after="0" w:line="240" w:lineRule="auto"/>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Обврски директно поврзани со група на средства за отуѓување</w:t>
            </w:r>
          </w:p>
        </w:tc>
        <w:tc>
          <w:tcPr>
            <w:tcW w:w="1063" w:type="dxa"/>
            <w:tcBorders>
              <w:top w:val="nil"/>
              <w:left w:val="nil"/>
              <w:bottom w:val="nil"/>
              <w:right w:val="nil"/>
            </w:tcBorders>
            <w:shd w:val="clear" w:color="auto" w:fill="auto"/>
            <w:noWrap/>
            <w:vAlign w:val="center"/>
            <w:hideMark/>
          </w:tcPr>
          <w:p w14:paraId="4A968C19"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31</w:t>
            </w:r>
          </w:p>
        </w:tc>
        <w:tc>
          <w:tcPr>
            <w:tcW w:w="222" w:type="dxa"/>
            <w:tcBorders>
              <w:top w:val="nil"/>
              <w:left w:val="nil"/>
              <w:bottom w:val="nil"/>
              <w:right w:val="nil"/>
            </w:tcBorders>
            <w:shd w:val="clear" w:color="auto" w:fill="auto"/>
            <w:vAlign w:val="bottom"/>
            <w:hideMark/>
          </w:tcPr>
          <w:p w14:paraId="0C897BD1"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115FC783" w14:textId="77777777" w:rsidR="00FA465E" w:rsidRPr="00FA465E" w:rsidRDefault="00FA465E" w:rsidP="00FA465E">
            <w:pPr>
              <w:spacing w:after="0" w:line="240" w:lineRule="auto"/>
              <w:jc w:val="center"/>
              <w:rPr>
                <w:rFonts w:ascii="Times New Roman" w:eastAsia="Times New Roman" w:hAnsi="Times New Roman"/>
                <w:sz w:val="20"/>
                <w:szCs w:val="20"/>
                <w:lang w:val="mk-MK" w:eastAsia="mk-MK"/>
              </w:rPr>
            </w:pPr>
          </w:p>
        </w:tc>
        <w:tc>
          <w:tcPr>
            <w:tcW w:w="395" w:type="dxa"/>
            <w:tcBorders>
              <w:top w:val="nil"/>
              <w:left w:val="nil"/>
              <w:bottom w:val="nil"/>
              <w:right w:val="nil"/>
            </w:tcBorders>
            <w:shd w:val="clear" w:color="auto" w:fill="auto"/>
            <w:vAlign w:val="bottom"/>
            <w:hideMark/>
          </w:tcPr>
          <w:p w14:paraId="2275A41D" w14:textId="77777777" w:rsidR="00FA465E" w:rsidRPr="00FA465E" w:rsidRDefault="00FA465E" w:rsidP="00FA465E">
            <w:pPr>
              <w:spacing w:after="0" w:line="240" w:lineRule="auto"/>
              <w:jc w:val="right"/>
              <w:rPr>
                <w:rFonts w:ascii="Times New Roman" w:eastAsia="Times New Roman" w:hAnsi="Times New Roman"/>
                <w:sz w:val="20"/>
                <w:szCs w:val="20"/>
                <w:lang w:val="mk-MK" w:eastAsia="mk-MK"/>
              </w:rPr>
            </w:pPr>
          </w:p>
        </w:tc>
        <w:tc>
          <w:tcPr>
            <w:tcW w:w="1634" w:type="dxa"/>
            <w:tcBorders>
              <w:top w:val="nil"/>
              <w:left w:val="nil"/>
              <w:bottom w:val="nil"/>
              <w:right w:val="nil"/>
            </w:tcBorders>
            <w:shd w:val="clear" w:color="auto" w:fill="auto"/>
            <w:vAlign w:val="bottom"/>
            <w:hideMark/>
          </w:tcPr>
          <w:p w14:paraId="1625B6DE"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   </w:t>
            </w:r>
          </w:p>
        </w:tc>
      </w:tr>
      <w:tr w:rsidR="00FA465E" w:rsidRPr="00FA465E" w14:paraId="1F6FB6A7" w14:textId="77777777" w:rsidTr="001C5B17">
        <w:trPr>
          <w:trHeight w:val="300"/>
        </w:trPr>
        <w:tc>
          <w:tcPr>
            <w:tcW w:w="5130" w:type="dxa"/>
            <w:tcBorders>
              <w:top w:val="nil"/>
              <w:left w:val="nil"/>
              <w:bottom w:val="nil"/>
              <w:right w:val="nil"/>
            </w:tcBorders>
            <w:shd w:val="clear" w:color="auto" w:fill="auto"/>
            <w:vAlign w:val="bottom"/>
            <w:hideMark/>
          </w:tcPr>
          <w:p w14:paraId="53A28EE1" w14:textId="77777777" w:rsidR="00FA465E" w:rsidRPr="00FA465E" w:rsidRDefault="00FA465E" w:rsidP="00FA465E">
            <w:pPr>
              <w:spacing w:after="0" w:line="240" w:lineRule="auto"/>
              <w:rPr>
                <w:rFonts w:ascii="Times New Roman" w:eastAsia="Times New Roman" w:hAnsi="Times New Roman"/>
                <w:b/>
                <w:bCs/>
                <w:sz w:val="21"/>
                <w:szCs w:val="21"/>
                <w:lang w:val="mk-MK" w:eastAsia="mk-MK"/>
              </w:rPr>
            </w:pPr>
            <w:r w:rsidRPr="00FA465E">
              <w:rPr>
                <w:rFonts w:ascii="Times New Roman" w:eastAsia="Times New Roman" w:hAnsi="Times New Roman"/>
                <w:b/>
                <w:bCs/>
                <w:sz w:val="21"/>
                <w:szCs w:val="21"/>
                <w:lang w:val="mk-MK" w:eastAsia="mk-MK"/>
              </w:rPr>
              <w:t>Вкупно обврски</w:t>
            </w:r>
          </w:p>
        </w:tc>
        <w:tc>
          <w:tcPr>
            <w:tcW w:w="1063" w:type="dxa"/>
            <w:tcBorders>
              <w:top w:val="nil"/>
              <w:left w:val="nil"/>
              <w:bottom w:val="nil"/>
              <w:right w:val="nil"/>
            </w:tcBorders>
            <w:shd w:val="clear" w:color="auto" w:fill="auto"/>
            <w:noWrap/>
            <w:vAlign w:val="center"/>
            <w:hideMark/>
          </w:tcPr>
          <w:p w14:paraId="1E504181" w14:textId="77777777" w:rsidR="00FA465E" w:rsidRPr="00FA465E" w:rsidRDefault="00FA465E" w:rsidP="00FA465E">
            <w:pPr>
              <w:spacing w:after="0" w:line="240" w:lineRule="auto"/>
              <w:rPr>
                <w:rFonts w:ascii="Times New Roman" w:eastAsia="Times New Roman" w:hAnsi="Times New Roman"/>
                <w:b/>
                <w:bCs/>
                <w:sz w:val="21"/>
                <w:szCs w:val="21"/>
                <w:lang w:val="mk-MK" w:eastAsia="mk-MK"/>
              </w:rPr>
            </w:pPr>
          </w:p>
        </w:tc>
        <w:tc>
          <w:tcPr>
            <w:tcW w:w="222" w:type="dxa"/>
            <w:tcBorders>
              <w:top w:val="nil"/>
              <w:left w:val="nil"/>
              <w:bottom w:val="nil"/>
              <w:right w:val="nil"/>
            </w:tcBorders>
            <w:shd w:val="clear" w:color="auto" w:fill="auto"/>
            <w:vAlign w:val="bottom"/>
            <w:hideMark/>
          </w:tcPr>
          <w:p w14:paraId="07EDBDB2" w14:textId="77777777" w:rsidR="00FA465E" w:rsidRPr="00FA465E" w:rsidRDefault="00FA465E" w:rsidP="00FA465E">
            <w:pPr>
              <w:spacing w:after="0" w:line="240" w:lineRule="auto"/>
              <w:jc w:val="center"/>
              <w:rPr>
                <w:rFonts w:ascii="Times New Roman" w:eastAsia="Times New Roman" w:hAnsi="Times New Roman"/>
                <w:sz w:val="20"/>
                <w:szCs w:val="20"/>
                <w:lang w:val="mk-MK" w:eastAsia="mk-MK"/>
              </w:rPr>
            </w:pPr>
          </w:p>
        </w:tc>
        <w:tc>
          <w:tcPr>
            <w:tcW w:w="1380" w:type="dxa"/>
            <w:tcBorders>
              <w:top w:val="single" w:sz="4" w:space="0" w:color="auto"/>
              <w:left w:val="nil"/>
              <w:bottom w:val="single" w:sz="4" w:space="0" w:color="auto"/>
              <w:right w:val="nil"/>
            </w:tcBorders>
            <w:shd w:val="clear" w:color="auto" w:fill="auto"/>
            <w:vAlign w:val="bottom"/>
            <w:hideMark/>
          </w:tcPr>
          <w:p w14:paraId="4693023F" w14:textId="77777777" w:rsidR="00FA465E" w:rsidRPr="00FA465E" w:rsidRDefault="00FA465E" w:rsidP="00FA465E">
            <w:pPr>
              <w:spacing w:after="0" w:line="240" w:lineRule="auto"/>
              <w:jc w:val="right"/>
              <w:rPr>
                <w:rFonts w:ascii="Times New Roman" w:eastAsia="Times New Roman" w:hAnsi="Times New Roman"/>
                <w:b/>
                <w:bCs/>
                <w:sz w:val="21"/>
                <w:szCs w:val="21"/>
                <w:lang w:val="mk-MK" w:eastAsia="mk-MK"/>
              </w:rPr>
            </w:pPr>
            <w:r w:rsidRPr="00FA465E">
              <w:rPr>
                <w:rFonts w:ascii="Times New Roman" w:eastAsia="Times New Roman" w:hAnsi="Times New Roman"/>
                <w:b/>
                <w:bCs/>
                <w:sz w:val="21"/>
                <w:szCs w:val="21"/>
                <w:lang w:val="mk-MK" w:eastAsia="mk-MK"/>
              </w:rPr>
              <w:t xml:space="preserve">   100.594.759 </w:t>
            </w:r>
          </w:p>
        </w:tc>
        <w:tc>
          <w:tcPr>
            <w:tcW w:w="395" w:type="dxa"/>
            <w:tcBorders>
              <w:top w:val="nil"/>
              <w:left w:val="nil"/>
              <w:bottom w:val="nil"/>
              <w:right w:val="nil"/>
            </w:tcBorders>
            <w:shd w:val="clear" w:color="auto" w:fill="auto"/>
            <w:vAlign w:val="bottom"/>
            <w:hideMark/>
          </w:tcPr>
          <w:p w14:paraId="10CA07A7" w14:textId="77777777" w:rsidR="00FA465E" w:rsidRPr="00FA465E" w:rsidRDefault="00FA465E" w:rsidP="00FA465E">
            <w:pPr>
              <w:spacing w:after="0" w:line="240" w:lineRule="auto"/>
              <w:jc w:val="right"/>
              <w:rPr>
                <w:rFonts w:ascii="Times New Roman" w:eastAsia="Times New Roman" w:hAnsi="Times New Roman"/>
                <w:b/>
                <w:bCs/>
                <w:sz w:val="21"/>
                <w:szCs w:val="21"/>
                <w:lang w:val="mk-MK" w:eastAsia="mk-MK"/>
              </w:rPr>
            </w:pPr>
          </w:p>
        </w:tc>
        <w:tc>
          <w:tcPr>
            <w:tcW w:w="1634" w:type="dxa"/>
            <w:tcBorders>
              <w:top w:val="single" w:sz="4" w:space="0" w:color="auto"/>
              <w:left w:val="nil"/>
              <w:bottom w:val="single" w:sz="4" w:space="0" w:color="auto"/>
              <w:right w:val="nil"/>
            </w:tcBorders>
            <w:shd w:val="clear" w:color="auto" w:fill="auto"/>
            <w:vAlign w:val="bottom"/>
            <w:hideMark/>
          </w:tcPr>
          <w:p w14:paraId="31944033" w14:textId="77777777" w:rsidR="00FA465E" w:rsidRPr="00FA465E" w:rsidRDefault="00FA465E" w:rsidP="00FA465E">
            <w:pPr>
              <w:spacing w:after="0" w:line="240" w:lineRule="auto"/>
              <w:jc w:val="right"/>
              <w:rPr>
                <w:rFonts w:ascii="Times New Roman" w:eastAsia="Times New Roman" w:hAnsi="Times New Roman"/>
                <w:b/>
                <w:bCs/>
                <w:sz w:val="21"/>
                <w:szCs w:val="21"/>
                <w:lang w:val="mk-MK" w:eastAsia="mk-MK"/>
              </w:rPr>
            </w:pPr>
            <w:r w:rsidRPr="00FA465E">
              <w:rPr>
                <w:rFonts w:ascii="Times New Roman" w:eastAsia="Times New Roman" w:hAnsi="Times New Roman"/>
                <w:b/>
                <w:bCs/>
                <w:sz w:val="21"/>
                <w:szCs w:val="21"/>
                <w:lang w:val="mk-MK" w:eastAsia="mk-MK"/>
              </w:rPr>
              <w:t xml:space="preserve">           94.310.360 </w:t>
            </w:r>
          </w:p>
        </w:tc>
      </w:tr>
      <w:tr w:rsidR="00FA465E" w:rsidRPr="00FA465E" w14:paraId="738B3A09" w14:textId="77777777" w:rsidTr="001C5B17">
        <w:trPr>
          <w:trHeight w:val="300"/>
        </w:trPr>
        <w:tc>
          <w:tcPr>
            <w:tcW w:w="5130" w:type="dxa"/>
            <w:tcBorders>
              <w:top w:val="nil"/>
              <w:left w:val="nil"/>
              <w:bottom w:val="nil"/>
              <w:right w:val="nil"/>
            </w:tcBorders>
            <w:shd w:val="clear" w:color="auto" w:fill="auto"/>
            <w:noWrap/>
            <w:vAlign w:val="bottom"/>
            <w:hideMark/>
          </w:tcPr>
          <w:p w14:paraId="1BBEDB25" w14:textId="77777777" w:rsidR="00FA465E" w:rsidRPr="00FA465E" w:rsidRDefault="00FA465E" w:rsidP="00FA465E">
            <w:pPr>
              <w:spacing w:after="0" w:line="240" w:lineRule="auto"/>
              <w:jc w:val="right"/>
              <w:rPr>
                <w:rFonts w:ascii="Times New Roman" w:eastAsia="Times New Roman" w:hAnsi="Times New Roman"/>
                <w:b/>
                <w:bCs/>
                <w:sz w:val="21"/>
                <w:szCs w:val="21"/>
                <w:lang w:val="mk-MK" w:eastAsia="mk-MK"/>
              </w:rPr>
            </w:pPr>
          </w:p>
        </w:tc>
        <w:tc>
          <w:tcPr>
            <w:tcW w:w="1063" w:type="dxa"/>
            <w:tcBorders>
              <w:top w:val="nil"/>
              <w:left w:val="nil"/>
              <w:bottom w:val="nil"/>
              <w:right w:val="nil"/>
            </w:tcBorders>
            <w:shd w:val="clear" w:color="auto" w:fill="auto"/>
            <w:noWrap/>
            <w:vAlign w:val="bottom"/>
            <w:hideMark/>
          </w:tcPr>
          <w:p w14:paraId="03E9CFF2" w14:textId="77777777" w:rsidR="00FA465E" w:rsidRPr="00FA465E" w:rsidRDefault="00FA465E" w:rsidP="00FA465E">
            <w:pPr>
              <w:spacing w:after="0" w:line="240" w:lineRule="auto"/>
              <w:rPr>
                <w:rFonts w:ascii="Times New Roman" w:eastAsia="Times New Roman" w:hAnsi="Times New Roman"/>
                <w:sz w:val="20"/>
                <w:szCs w:val="20"/>
                <w:lang w:val="mk-MK" w:eastAsia="mk-MK"/>
              </w:rPr>
            </w:pPr>
          </w:p>
        </w:tc>
        <w:tc>
          <w:tcPr>
            <w:tcW w:w="222" w:type="dxa"/>
            <w:tcBorders>
              <w:top w:val="nil"/>
              <w:left w:val="nil"/>
              <w:bottom w:val="nil"/>
              <w:right w:val="nil"/>
            </w:tcBorders>
            <w:shd w:val="clear" w:color="auto" w:fill="auto"/>
            <w:vAlign w:val="bottom"/>
            <w:hideMark/>
          </w:tcPr>
          <w:p w14:paraId="3BDB1E8D" w14:textId="77777777" w:rsidR="00FA465E" w:rsidRPr="00FA465E" w:rsidRDefault="00FA465E" w:rsidP="00FA465E">
            <w:pPr>
              <w:spacing w:after="0" w:line="240" w:lineRule="auto"/>
              <w:rPr>
                <w:rFonts w:ascii="Times New Roman" w:eastAsia="Times New Roman" w:hAnsi="Times New Roman"/>
                <w:sz w:val="20"/>
                <w:szCs w:val="20"/>
                <w:lang w:val="mk-MK" w:eastAsia="mk-MK"/>
              </w:rPr>
            </w:pPr>
          </w:p>
        </w:tc>
        <w:tc>
          <w:tcPr>
            <w:tcW w:w="1380" w:type="dxa"/>
            <w:tcBorders>
              <w:top w:val="nil"/>
              <w:left w:val="nil"/>
              <w:bottom w:val="nil"/>
              <w:right w:val="nil"/>
            </w:tcBorders>
            <w:shd w:val="clear" w:color="auto" w:fill="auto"/>
            <w:vAlign w:val="center"/>
            <w:hideMark/>
          </w:tcPr>
          <w:p w14:paraId="602FE46F" w14:textId="77777777" w:rsidR="00FA465E" w:rsidRPr="00FA465E" w:rsidRDefault="00FA465E" w:rsidP="00FA465E">
            <w:pPr>
              <w:spacing w:after="0" w:line="240" w:lineRule="auto"/>
              <w:jc w:val="center"/>
              <w:rPr>
                <w:rFonts w:ascii="Times New Roman" w:eastAsia="Times New Roman" w:hAnsi="Times New Roman"/>
                <w:sz w:val="20"/>
                <w:szCs w:val="20"/>
                <w:lang w:val="mk-MK" w:eastAsia="mk-MK"/>
              </w:rPr>
            </w:pPr>
          </w:p>
        </w:tc>
        <w:tc>
          <w:tcPr>
            <w:tcW w:w="395" w:type="dxa"/>
            <w:tcBorders>
              <w:top w:val="nil"/>
              <w:left w:val="nil"/>
              <w:bottom w:val="nil"/>
              <w:right w:val="nil"/>
            </w:tcBorders>
            <w:shd w:val="clear" w:color="auto" w:fill="auto"/>
            <w:vAlign w:val="bottom"/>
            <w:hideMark/>
          </w:tcPr>
          <w:p w14:paraId="285B4EAB" w14:textId="77777777" w:rsidR="00FA465E" w:rsidRPr="00FA465E" w:rsidRDefault="00FA465E" w:rsidP="00FA465E">
            <w:pPr>
              <w:spacing w:after="0" w:line="240" w:lineRule="auto"/>
              <w:jc w:val="right"/>
              <w:rPr>
                <w:rFonts w:ascii="Times New Roman" w:eastAsia="Times New Roman" w:hAnsi="Times New Roman"/>
                <w:sz w:val="20"/>
                <w:szCs w:val="20"/>
                <w:lang w:val="mk-MK" w:eastAsia="mk-MK"/>
              </w:rPr>
            </w:pPr>
          </w:p>
        </w:tc>
        <w:tc>
          <w:tcPr>
            <w:tcW w:w="1634" w:type="dxa"/>
            <w:tcBorders>
              <w:top w:val="nil"/>
              <w:left w:val="nil"/>
              <w:bottom w:val="nil"/>
              <w:right w:val="nil"/>
            </w:tcBorders>
            <w:shd w:val="clear" w:color="auto" w:fill="auto"/>
            <w:vAlign w:val="center"/>
            <w:hideMark/>
          </w:tcPr>
          <w:p w14:paraId="51E5AF84" w14:textId="77777777" w:rsidR="00FA465E" w:rsidRPr="00FA465E" w:rsidRDefault="00FA465E" w:rsidP="00FA465E">
            <w:pPr>
              <w:spacing w:after="0" w:line="240" w:lineRule="auto"/>
              <w:jc w:val="center"/>
              <w:rPr>
                <w:rFonts w:ascii="Times New Roman" w:eastAsia="Times New Roman" w:hAnsi="Times New Roman"/>
                <w:sz w:val="20"/>
                <w:szCs w:val="20"/>
                <w:lang w:val="mk-MK" w:eastAsia="mk-MK"/>
              </w:rPr>
            </w:pPr>
          </w:p>
        </w:tc>
      </w:tr>
      <w:tr w:rsidR="00FA465E" w:rsidRPr="00FA465E" w14:paraId="386F6FAD" w14:textId="77777777" w:rsidTr="001C5B17">
        <w:trPr>
          <w:trHeight w:val="300"/>
        </w:trPr>
        <w:tc>
          <w:tcPr>
            <w:tcW w:w="5130" w:type="dxa"/>
            <w:tcBorders>
              <w:top w:val="nil"/>
              <w:left w:val="nil"/>
              <w:bottom w:val="nil"/>
              <w:right w:val="nil"/>
            </w:tcBorders>
            <w:shd w:val="clear" w:color="auto" w:fill="auto"/>
            <w:noWrap/>
            <w:vAlign w:val="bottom"/>
            <w:hideMark/>
          </w:tcPr>
          <w:p w14:paraId="3F3E585E" w14:textId="77777777" w:rsidR="00FA465E" w:rsidRPr="00FA465E" w:rsidRDefault="00FA465E" w:rsidP="00FA465E">
            <w:pPr>
              <w:spacing w:after="0" w:line="240" w:lineRule="auto"/>
              <w:jc w:val="right"/>
              <w:rPr>
                <w:rFonts w:ascii="Times New Roman" w:eastAsia="Times New Roman" w:hAnsi="Times New Roman"/>
                <w:sz w:val="20"/>
                <w:szCs w:val="20"/>
                <w:lang w:val="mk-MK" w:eastAsia="mk-MK"/>
              </w:rPr>
            </w:pPr>
          </w:p>
        </w:tc>
        <w:tc>
          <w:tcPr>
            <w:tcW w:w="1063" w:type="dxa"/>
            <w:tcBorders>
              <w:top w:val="nil"/>
              <w:left w:val="nil"/>
              <w:bottom w:val="nil"/>
              <w:right w:val="nil"/>
            </w:tcBorders>
            <w:shd w:val="clear" w:color="auto" w:fill="auto"/>
            <w:noWrap/>
            <w:vAlign w:val="bottom"/>
            <w:hideMark/>
          </w:tcPr>
          <w:p w14:paraId="55D0D39B" w14:textId="77777777" w:rsidR="00FA465E" w:rsidRPr="00FA465E" w:rsidRDefault="00FA465E" w:rsidP="00FA465E">
            <w:pPr>
              <w:spacing w:after="0" w:line="240" w:lineRule="auto"/>
              <w:rPr>
                <w:rFonts w:ascii="Times New Roman" w:eastAsia="Times New Roman" w:hAnsi="Times New Roman"/>
                <w:sz w:val="20"/>
                <w:szCs w:val="20"/>
                <w:lang w:val="mk-MK" w:eastAsia="mk-MK"/>
              </w:rPr>
            </w:pPr>
          </w:p>
        </w:tc>
        <w:tc>
          <w:tcPr>
            <w:tcW w:w="222" w:type="dxa"/>
            <w:tcBorders>
              <w:top w:val="nil"/>
              <w:left w:val="nil"/>
              <w:bottom w:val="nil"/>
              <w:right w:val="nil"/>
            </w:tcBorders>
            <w:shd w:val="clear" w:color="auto" w:fill="auto"/>
            <w:noWrap/>
            <w:vAlign w:val="bottom"/>
            <w:hideMark/>
          </w:tcPr>
          <w:p w14:paraId="4752C9C2" w14:textId="77777777" w:rsidR="00FA465E" w:rsidRPr="00FA465E" w:rsidRDefault="00FA465E" w:rsidP="00FA465E">
            <w:pPr>
              <w:spacing w:after="0" w:line="240" w:lineRule="auto"/>
              <w:rPr>
                <w:rFonts w:ascii="Times New Roman" w:eastAsia="Times New Roman" w:hAnsi="Times New Roman"/>
                <w:sz w:val="20"/>
                <w:szCs w:val="20"/>
                <w:lang w:val="mk-MK" w:eastAsia="mk-MK"/>
              </w:rPr>
            </w:pPr>
          </w:p>
        </w:tc>
        <w:tc>
          <w:tcPr>
            <w:tcW w:w="1380" w:type="dxa"/>
            <w:tcBorders>
              <w:top w:val="nil"/>
              <w:left w:val="nil"/>
              <w:bottom w:val="nil"/>
              <w:right w:val="nil"/>
            </w:tcBorders>
            <w:shd w:val="clear" w:color="auto" w:fill="auto"/>
            <w:vAlign w:val="center"/>
            <w:hideMark/>
          </w:tcPr>
          <w:p w14:paraId="4E12F942" w14:textId="77777777" w:rsidR="00FA465E" w:rsidRPr="00FA465E" w:rsidRDefault="00FA465E" w:rsidP="00FA465E">
            <w:pPr>
              <w:spacing w:after="0" w:line="240" w:lineRule="auto"/>
              <w:rPr>
                <w:rFonts w:ascii="Times New Roman" w:eastAsia="Times New Roman" w:hAnsi="Times New Roman"/>
                <w:sz w:val="20"/>
                <w:szCs w:val="20"/>
                <w:lang w:val="mk-MK" w:eastAsia="mk-MK"/>
              </w:rPr>
            </w:pPr>
          </w:p>
        </w:tc>
        <w:tc>
          <w:tcPr>
            <w:tcW w:w="395" w:type="dxa"/>
            <w:tcBorders>
              <w:top w:val="nil"/>
              <w:left w:val="nil"/>
              <w:bottom w:val="nil"/>
              <w:right w:val="nil"/>
            </w:tcBorders>
            <w:shd w:val="clear" w:color="auto" w:fill="auto"/>
            <w:vAlign w:val="bottom"/>
            <w:hideMark/>
          </w:tcPr>
          <w:p w14:paraId="48F13464" w14:textId="77777777" w:rsidR="00FA465E" w:rsidRPr="00FA465E" w:rsidRDefault="00FA465E" w:rsidP="00FA465E">
            <w:pPr>
              <w:spacing w:after="0" w:line="240" w:lineRule="auto"/>
              <w:jc w:val="right"/>
              <w:rPr>
                <w:rFonts w:ascii="Times New Roman" w:eastAsia="Times New Roman" w:hAnsi="Times New Roman"/>
                <w:sz w:val="20"/>
                <w:szCs w:val="20"/>
                <w:lang w:val="mk-MK" w:eastAsia="mk-MK"/>
              </w:rPr>
            </w:pPr>
          </w:p>
        </w:tc>
        <w:tc>
          <w:tcPr>
            <w:tcW w:w="1634" w:type="dxa"/>
            <w:tcBorders>
              <w:top w:val="nil"/>
              <w:left w:val="nil"/>
              <w:bottom w:val="nil"/>
              <w:right w:val="nil"/>
            </w:tcBorders>
            <w:shd w:val="clear" w:color="auto" w:fill="auto"/>
            <w:vAlign w:val="center"/>
            <w:hideMark/>
          </w:tcPr>
          <w:p w14:paraId="6873AAE1" w14:textId="77777777" w:rsidR="00FA465E" w:rsidRPr="00FA465E" w:rsidRDefault="00FA465E" w:rsidP="00FA465E">
            <w:pPr>
              <w:spacing w:after="0" w:line="240" w:lineRule="auto"/>
              <w:jc w:val="center"/>
              <w:rPr>
                <w:rFonts w:ascii="Times New Roman" w:eastAsia="Times New Roman" w:hAnsi="Times New Roman"/>
                <w:sz w:val="20"/>
                <w:szCs w:val="20"/>
                <w:lang w:val="mk-MK" w:eastAsia="mk-MK"/>
              </w:rPr>
            </w:pPr>
          </w:p>
        </w:tc>
      </w:tr>
      <w:tr w:rsidR="00FA465E" w:rsidRPr="00FA465E" w14:paraId="47D302B6" w14:textId="77777777" w:rsidTr="001C5B17">
        <w:trPr>
          <w:trHeight w:val="300"/>
        </w:trPr>
        <w:tc>
          <w:tcPr>
            <w:tcW w:w="5130" w:type="dxa"/>
            <w:tcBorders>
              <w:top w:val="nil"/>
              <w:left w:val="nil"/>
              <w:bottom w:val="nil"/>
              <w:right w:val="nil"/>
            </w:tcBorders>
            <w:shd w:val="clear" w:color="auto" w:fill="auto"/>
            <w:vAlign w:val="bottom"/>
            <w:hideMark/>
          </w:tcPr>
          <w:p w14:paraId="261C15F1" w14:textId="77777777" w:rsidR="00FA465E" w:rsidRPr="00FA465E" w:rsidRDefault="00FA465E" w:rsidP="00FA465E">
            <w:pPr>
              <w:spacing w:after="0" w:line="240" w:lineRule="auto"/>
              <w:rPr>
                <w:rFonts w:ascii="Times New Roman" w:eastAsia="Times New Roman" w:hAnsi="Times New Roman"/>
                <w:b/>
                <w:bCs/>
                <w:sz w:val="21"/>
                <w:szCs w:val="21"/>
                <w:lang w:val="mk-MK" w:eastAsia="mk-MK"/>
              </w:rPr>
            </w:pPr>
            <w:r w:rsidRPr="00FA465E">
              <w:rPr>
                <w:rFonts w:ascii="Times New Roman" w:eastAsia="Times New Roman" w:hAnsi="Times New Roman"/>
                <w:b/>
                <w:bCs/>
                <w:sz w:val="21"/>
                <w:szCs w:val="21"/>
                <w:lang w:val="mk-MK" w:eastAsia="mk-MK"/>
              </w:rPr>
              <w:t xml:space="preserve">КАПИТАЛ И РЕЗЕРВИ </w:t>
            </w:r>
          </w:p>
        </w:tc>
        <w:tc>
          <w:tcPr>
            <w:tcW w:w="1063" w:type="dxa"/>
            <w:tcBorders>
              <w:top w:val="nil"/>
              <w:left w:val="nil"/>
              <w:bottom w:val="nil"/>
              <w:right w:val="nil"/>
            </w:tcBorders>
            <w:shd w:val="clear" w:color="auto" w:fill="auto"/>
            <w:noWrap/>
            <w:vAlign w:val="center"/>
            <w:hideMark/>
          </w:tcPr>
          <w:p w14:paraId="1E828D14" w14:textId="77777777" w:rsidR="00FA465E" w:rsidRPr="00FA465E" w:rsidRDefault="00FA465E" w:rsidP="00FA465E">
            <w:pPr>
              <w:spacing w:after="0" w:line="240" w:lineRule="auto"/>
              <w:rPr>
                <w:rFonts w:ascii="Times New Roman" w:eastAsia="Times New Roman" w:hAnsi="Times New Roman"/>
                <w:b/>
                <w:bCs/>
                <w:sz w:val="21"/>
                <w:szCs w:val="21"/>
                <w:lang w:val="mk-MK" w:eastAsia="mk-MK"/>
              </w:rPr>
            </w:pPr>
          </w:p>
        </w:tc>
        <w:tc>
          <w:tcPr>
            <w:tcW w:w="222" w:type="dxa"/>
            <w:tcBorders>
              <w:top w:val="nil"/>
              <w:left w:val="nil"/>
              <w:bottom w:val="nil"/>
              <w:right w:val="nil"/>
            </w:tcBorders>
            <w:shd w:val="clear" w:color="auto" w:fill="auto"/>
            <w:vAlign w:val="bottom"/>
            <w:hideMark/>
          </w:tcPr>
          <w:p w14:paraId="116AF988" w14:textId="77777777" w:rsidR="00FA465E" w:rsidRPr="00FA465E" w:rsidRDefault="00FA465E" w:rsidP="00FA465E">
            <w:pPr>
              <w:spacing w:after="0" w:line="240" w:lineRule="auto"/>
              <w:jc w:val="center"/>
              <w:rPr>
                <w:rFonts w:ascii="Times New Roman" w:eastAsia="Times New Roman" w:hAnsi="Times New Roman"/>
                <w:sz w:val="20"/>
                <w:szCs w:val="20"/>
                <w:lang w:val="mk-MK" w:eastAsia="mk-MK"/>
              </w:rPr>
            </w:pPr>
          </w:p>
        </w:tc>
        <w:tc>
          <w:tcPr>
            <w:tcW w:w="1380" w:type="dxa"/>
            <w:tcBorders>
              <w:top w:val="nil"/>
              <w:left w:val="nil"/>
              <w:bottom w:val="nil"/>
              <w:right w:val="nil"/>
            </w:tcBorders>
            <w:shd w:val="clear" w:color="auto" w:fill="auto"/>
            <w:vAlign w:val="center"/>
            <w:hideMark/>
          </w:tcPr>
          <w:p w14:paraId="4FF391E6" w14:textId="77777777" w:rsidR="00FA465E" w:rsidRPr="00FA465E" w:rsidRDefault="00FA465E" w:rsidP="00FA465E">
            <w:pPr>
              <w:spacing w:after="0" w:line="240" w:lineRule="auto"/>
              <w:rPr>
                <w:rFonts w:ascii="Times New Roman" w:eastAsia="Times New Roman" w:hAnsi="Times New Roman"/>
                <w:sz w:val="20"/>
                <w:szCs w:val="20"/>
                <w:lang w:val="mk-MK" w:eastAsia="mk-MK"/>
              </w:rPr>
            </w:pPr>
          </w:p>
        </w:tc>
        <w:tc>
          <w:tcPr>
            <w:tcW w:w="395" w:type="dxa"/>
            <w:tcBorders>
              <w:top w:val="nil"/>
              <w:left w:val="nil"/>
              <w:bottom w:val="nil"/>
              <w:right w:val="nil"/>
            </w:tcBorders>
            <w:shd w:val="clear" w:color="auto" w:fill="auto"/>
            <w:vAlign w:val="bottom"/>
            <w:hideMark/>
          </w:tcPr>
          <w:p w14:paraId="4E3106EF" w14:textId="77777777" w:rsidR="00FA465E" w:rsidRPr="00FA465E" w:rsidRDefault="00FA465E" w:rsidP="00FA465E">
            <w:pPr>
              <w:spacing w:after="0" w:line="240" w:lineRule="auto"/>
              <w:jc w:val="right"/>
              <w:rPr>
                <w:rFonts w:ascii="Times New Roman" w:eastAsia="Times New Roman" w:hAnsi="Times New Roman"/>
                <w:sz w:val="20"/>
                <w:szCs w:val="20"/>
                <w:lang w:val="mk-MK" w:eastAsia="mk-MK"/>
              </w:rPr>
            </w:pPr>
          </w:p>
        </w:tc>
        <w:tc>
          <w:tcPr>
            <w:tcW w:w="1634" w:type="dxa"/>
            <w:tcBorders>
              <w:top w:val="nil"/>
              <w:left w:val="nil"/>
              <w:bottom w:val="nil"/>
              <w:right w:val="nil"/>
            </w:tcBorders>
            <w:shd w:val="clear" w:color="auto" w:fill="auto"/>
            <w:vAlign w:val="center"/>
            <w:hideMark/>
          </w:tcPr>
          <w:p w14:paraId="49E3EB9F" w14:textId="77777777" w:rsidR="00FA465E" w:rsidRPr="00FA465E" w:rsidRDefault="00FA465E" w:rsidP="00FA465E">
            <w:pPr>
              <w:spacing w:after="0" w:line="240" w:lineRule="auto"/>
              <w:jc w:val="center"/>
              <w:rPr>
                <w:rFonts w:ascii="Times New Roman" w:eastAsia="Times New Roman" w:hAnsi="Times New Roman"/>
                <w:sz w:val="20"/>
                <w:szCs w:val="20"/>
                <w:lang w:val="mk-MK" w:eastAsia="mk-MK"/>
              </w:rPr>
            </w:pPr>
          </w:p>
        </w:tc>
      </w:tr>
      <w:tr w:rsidR="00FA465E" w:rsidRPr="00FA465E" w14:paraId="220E9231" w14:textId="77777777" w:rsidTr="001C5B17">
        <w:trPr>
          <w:trHeight w:val="300"/>
        </w:trPr>
        <w:tc>
          <w:tcPr>
            <w:tcW w:w="5130" w:type="dxa"/>
            <w:tcBorders>
              <w:top w:val="nil"/>
              <w:left w:val="nil"/>
              <w:bottom w:val="nil"/>
              <w:right w:val="nil"/>
            </w:tcBorders>
            <w:shd w:val="clear" w:color="auto" w:fill="auto"/>
            <w:vAlign w:val="bottom"/>
            <w:hideMark/>
          </w:tcPr>
          <w:p w14:paraId="051BD2B1" w14:textId="77777777" w:rsidR="00FA465E" w:rsidRPr="00FA465E" w:rsidRDefault="00FA465E" w:rsidP="00FA465E">
            <w:pPr>
              <w:spacing w:after="0" w:line="240" w:lineRule="auto"/>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Запишан капитал </w:t>
            </w:r>
          </w:p>
        </w:tc>
        <w:tc>
          <w:tcPr>
            <w:tcW w:w="1063" w:type="dxa"/>
            <w:tcBorders>
              <w:top w:val="nil"/>
              <w:left w:val="nil"/>
              <w:bottom w:val="nil"/>
              <w:right w:val="nil"/>
            </w:tcBorders>
            <w:shd w:val="clear" w:color="auto" w:fill="auto"/>
            <w:noWrap/>
            <w:vAlign w:val="center"/>
            <w:hideMark/>
          </w:tcPr>
          <w:p w14:paraId="176E8A39"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40</w:t>
            </w:r>
          </w:p>
        </w:tc>
        <w:tc>
          <w:tcPr>
            <w:tcW w:w="222" w:type="dxa"/>
            <w:tcBorders>
              <w:top w:val="nil"/>
              <w:left w:val="nil"/>
              <w:bottom w:val="nil"/>
              <w:right w:val="nil"/>
            </w:tcBorders>
            <w:shd w:val="clear" w:color="auto" w:fill="auto"/>
            <w:vAlign w:val="bottom"/>
            <w:hideMark/>
          </w:tcPr>
          <w:p w14:paraId="06B96FD9"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130481B8"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3.511.242 </w:t>
            </w:r>
          </w:p>
        </w:tc>
        <w:tc>
          <w:tcPr>
            <w:tcW w:w="395" w:type="dxa"/>
            <w:tcBorders>
              <w:top w:val="nil"/>
              <w:left w:val="nil"/>
              <w:bottom w:val="nil"/>
              <w:right w:val="nil"/>
            </w:tcBorders>
            <w:shd w:val="clear" w:color="auto" w:fill="auto"/>
            <w:vAlign w:val="bottom"/>
            <w:hideMark/>
          </w:tcPr>
          <w:p w14:paraId="2EF137ED"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p>
        </w:tc>
        <w:tc>
          <w:tcPr>
            <w:tcW w:w="1634" w:type="dxa"/>
            <w:tcBorders>
              <w:top w:val="nil"/>
              <w:left w:val="nil"/>
              <w:bottom w:val="nil"/>
              <w:right w:val="nil"/>
            </w:tcBorders>
            <w:shd w:val="clear" w:color="auto" w:fill="auto"/>
            <w:vAlign w:val="bottom"/>
            <w:hideMark/>
          </w:tcPr>
          <w:p w14:paraId="76FB4EE5"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3.511.242 </w:t>
            </w:r>
          </w:p>
        </w:tc>
      </w:tr>
      <w:tr w:rsidR="00FA465E" w:rsidRPr="00FA465E" w14:paraId="136A62C1" w14:textId="77777777" w:rsidTr="001C5B17">
        <w:trPr>
          <w:trHeight w:val="300"/>
        </w:trPr>
        <w:tc>
          <w:tcPr>
            <w:tcW w:w="5130" w:type="dxa"/>
            <w:tcBorders>
              <w:top w:val="nil"/>
              <w:left w:val="nil"/>
              <w:bottom w:val="nil"/>
              <w:right w:val="nil"/>
            </w:tcBorders>
            <w:shd w:val="clear" w:color="auto" w:fill="auto"/>
            <w:vAlign w:val="bottom"/>
            <w:hideMark/>
          </w:tcPr>
          <w:p w14:paraId="240B23F7" w14:textId="77777777" w:rsidR="00FA465E" w:rsidRPr="00FA465E" w:rsidRDefault="00FA465E" w:rsidP="00FA465E">
            <w:pPr>
              <w:spacing w:after="0" w:line="240" w:lineRule="auto"/>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Премии од акции</w:t>
            </w:r>
          </w:p>
        </w:tc>
        <w:tc>
          <w:tcPr>
            <w:tcW w:w="1063" w:type="dxa"/>
            <w:tcBorders>
              <w:top w:val="nil"/>
              <w:left w:val="nil"/>
              <w:bottom w:val="nil"/>
              <w:right w:val="nil"/>
            </w:tcBorders>
            <w:shd w:val="clear" w:color="auto" w:fill="auto"/>
            <w:noWrap/>
            <w:vAlign w:val="center"/>
            <w:hideMark/>
          </w:tcPr>
          <w:p w14:paraId="5A6F7D1E" w14:textId="77777777" w:rsidR="00FA465E" w:rsidRPr="00FA465E" w:rsidRDefault="00FA465E" w:rsidP="00FA465E">
            <w:pPr>
              <w:spacing w:after="0" w:line="240" w:lineRule="auto"/>
              <w:rPr>
                <w:rFonts w:ascii="Times New Roman" w:eastAsia="Times New Roman" w:hAnsi="Times New Roman"/>
                <w:sz w:val="21"/>
                <w:szCs w:val="21"/>
                <w:lang w:val="mk-MK" w:eastAsia="mk-MK"/>
              </w:rPr>
            </w:pPr>
          </w:p>
        </w:tc>
        <w:tc>
          <w:tcPr>
            <w:tcW w:w="222" w:type="dxa"/>
            <w:tcBorders>
              <w:top w:val="nil"/>
              <w:left w:val="nil"/>
              <w:bottom w:val="nil"/>
              <w:right w:val="nil"/>
            </w:tcBorders>
            <w:shd w:val="clear" w:color="auto" w:fill="auto"/>
            <w:vAlign w:val="bottom"/>
            <w:hideMark/>
          </w:tcPr>
          <w:p w14:paraId="021FBF32" w14:textId="77777777" w:rsidR="00FA465E" w:rsidRPr="00FA465E" w:rsidRDefault="00FA465E" w:rsidP="00FA465E">
            <w:pPr>
              <w:spacing w:after="0" w:line="240" w:lineRule="auto"/>
              <w:jc w:val="center"/>
              <w:rPr>
                <w:rFonts w:ascii="Times New Roman" w:eastAsia="Times New Roman" w:hAnsi="Times New Roman"/>
                <w:sz w:val="20"/>
                <w:szCs w:val="20"/>
                <w:lang w:val="mk-MK" w:eastAsia="mk-MK"/>
              </w:rPr>
            </w:pPr>
          </w:p>
        </w:tc>
        <w:tc>
          <w:tcPr>
            <w:tcW w:w="1380" w:type="dxa"/>
            <w:tcBorders>
              <w:top w:val="nil"/>
              <w:left w:val="nil"/>
              <w:bottom w:val="nil"/>
              <w:right w:val="nil"/>
            </w:tcBorders>
            <w:shd w:val="clear" w:color="auto" w:fill="auto"/>
            <w:vAlign w:val="bottom"/>
            <w:hideMark/>
          </w:tcPr>
          <w:p w14:paraId="16F685BB" w14:textId="77777777" w:rsidR="00FA465E" w:rsidRPr="00FA465E" w:rsidRDefault="00FA465E" w:rsidP="00FA465E">
            <w:pPr>
              <w:spacing w:after="0" w:line="240" w:lineRule="auto"/>
              <w:rPr>
                <w:rFonts w:ascii="Times New Roman" w:eastAsia="Times New Roman" w:hAnsi="Times New Roman"/>
                <w:sz w:val="20"/>
                <w:szCs w:val="20"/>
                <w:lang w:val="mk-MK" w:eastAsia="mk-MK"/>
              </w:rPr>
            </w:pPr>
          </w:p>
        </w:tc>
        <w:tc>
          <w:tcPr>
            <w:tcW w:w="395" w:type="dxa"/>
            <w:tcBorders>
              <w:top w:val="nil"/>
              <w:left w:val="nil"/>
              <w:bottom w:val="nil"/>
              <w:right w:val="nil"/>
            </w:tcBorders>
            <w:shd w:val="clear" w:color="auto" w:fill="auto"/>
            <w:vAlign w:val="bottom"/>
            <w:hideMark/>
          </w:tcPr>
          <w:p w14:paraId="0A7522FE" w14:textId="77777777" w:rsidR="00FA465E" w:rsidRPr="00FA465E" w:rsidRDefault="00FA465E" w:rsidP="00FA465E">
            <w:pPr>
              <w:spacing w:after="0" w:line="240" w:lineRule="auto"/>
              <w:jc w:val="right"/>
              <w:rPr>
                <w:rFonts w:ascii="Times New Roman" w:eastAsia="Times New Roman" w:hAnsi="Times New Roman"/>
                <w:sz w:val="20"/>
                <w:szCs w:val="20"/>
                <w:lang w:val="mk-MK" w:eastAsia="mk-MK"/>
              </w:rPr>
            </w:pPr>
          </w:p>
        </w:tc>
        <w:tc>
          <w:tcPr>
            <w:tcW w:w="1634" w:type="dxa"/>
            <w:tcBorders>
              <w:top w:val="nil"/>
              <w:left w:val="nil"/>
              <w:bottom w:val="nil"/>
              <w:right w:val="nil"/>
            </w:tcBorders>
            <w:shd w:val="clear" w:color="auto" w:fill="auto"/>
            <w:vAlign w:val="bottom"/>
            <w:hideMark/>
          </w:tcPr>
          <w:p w14:paraId="4ACC1C66"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   </w:t>
            </w:r>
          </w:p>
        </w:tc>
      </w:tr>
      <w:tr w:rsidR="00FA465E" w:rsidRPr="00FA465E" w14:paraId="7C89D47B" w14:textId="77777777" w:rsidTr="001C5B17">
        <w:trPr>
          <w:trHeight w:val="300"/>
        </w:trPr>
        <w:tc>
          <w:tcPr>
            <w:tcW w:w="5130" w:type="dxa"/>
            <w:tcBorders>
              <w:top w:val="nil"/>
              <w:left w:val="nil"/>
              <w:bottom w:val="nil"/>
              <w:right w:val="nil"/>
            </w:tcBorders>
            <w:shd w:val="clear" w:color="auto" w:fill="auto"/>
            <w:vAlign w:val="bottom"/>
            <w:hideMark/>
          </w:tcPr>
          <w:p w14:paraId="735B3697" w14:textId="77777777" w:rsidR="00FA465E" w:rsidRPr="00FA465E" w:rsidRDefault="00FA465E" w:rsidP="00FA465E">
            <w:pPr>
              <w:spacing w:after="0" w:line="240" w:lineRule="auto"/>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Сопствени акции</w:t>
            </w:r>
          </w:p>
        </w:tc>
        <w:tc>
          <w:tcPr>
            <w:tcW w:w="1063" w:type="dxa"/>
            <w:tcBorders>
              <w:top w:val="nil"/>
              <w:left w:val="nil"/>
              <w:bottom w:val="nil"/>
              <w:right w:val="nil"/>
            </w:tcBorders>
            <w:shd w:val="clear" w:color="auto" w:fill="auto"/>
            <w:noWrap/>
            <w:vAlign w:val="center"/>
            <w:hideMark/>
          </w:tcPr>
          <w:p w14:paraId="0D4A2CB4" w14:textId="77777777" w:rsidR="00FA465E" w:rsidRPr="00FA465E" w:rsidRDefault="00FA465E" w:rsidP="00FA465E">
            <w:pPr>
              <w:spacing w:after="0" w:line="240" w:lineRule="auto"/>
              <w:rPr>
                <w:rFonts w:ascii="Times New Roman" w:eastAsia="Times New Roman" w:hAnsi="Times New Roman"/>
                <w:sz w:val="21"/>
                <w:szCs w:val="21"/>
                <w:lang w:val="mk-MK" w:eastAsia="mk-MK"/>
              </w:rPr>
            </w:pPr>
          </w:p>
        </w:tc>
        <w:tc>
          <w:tcPr>
            <w:tcW w:w="222" w:type="dxa"/>
            <w:tcBorders>
              <w:top w:val="nil"/>
              <w:left w:val="nil"/>
              <w:bottom w:val="nil"/>
              <w:right w:val="nil"/>
            </w:tcBorders>
            <w:shd w:val="clear" w:color="auto" w:fill="auto"/>
            <w:vAlign w:val="bottom"/>
            <w:hideMark/>
          </w:tcPr>
          <w:p w14:paraId="71A1B3F4" w14:textId="77777777" w:rsidR="00FA465E" w:rsidRPr="00FA465E" w:rsidRDefault="00FA465E" w:rsidP="00FA465E">
            <w:pPr>
              <w:spacing w:after="0" w:line="240" w:lineRule="auto"/>
              <w:jc w:val="center"/>
              <w:rPr>
                <w:rFonts w:ascii="Times New Roman" w:eastAsia="Times New Roman" w:hAnsi="Times New Roman"/>
                <w:sz w:val="20"/>
                <w:szCs w:val="20"/>
                <w:lang w:val="mk-MK" w:eastAsia="mk-MK"/>
              </w:rPr>
            </w:pPr>
          </w:p>
        </w:tc>
        <w:tc>
          <w:tcPr>
            <w:tcW w:w="1380" w:type="dxa"/>
            <w:tcBorders>
              <w:top w:val="nil"/>
              <w:left w:val="nil"/>
              <w:bottom w:val="nil"/>
              <w:right w:val="nil"/>
            </w:tcBorders>
            <w:shd w:val="clear" w:color="auto" w:fill="auto"/>
            <w:vAlign w:val="bottom"/>
            <w:hideMark/>
          </w:tcPr>
          <w:p w14:paraId="63818B2E" w14:textId="77777777" w:rsidR="00FA465E" w:rsidRPr="00FA465E" w:rsidRDefault="00FA465E" w:rsidP="00FA465E">
            <w:pPr>
              <w:spacing w:after="0" w:line="240" w:lineRule="auto"/>
              <w:rPr>
                <w:rFonts w:ascii="Times New Roman" w:eastAsia="Times New Roman" w:hAnsi="Times New Roman"/>
                <w:sz w:val="20"/>
                <w:szCs w:val="20"/>
                <w:lang w:val="mk-MK" w:eastAsia="mk-MK"/>
              </w:rPr>
            </w:pPr>
          </w:p>
        </w:tc>
        <w:tc>
          <w:tcPr>
            <w:tcW w:w="395" w:type="dxa"/>
            <w:tcBorders>
              <w:top w:val="nil"/>
              <w:left w:val="nil"/>
              <w:bottom w:val="nil"/>
              <w:right w:val="nil"/>
            </w:tcBorders>
            <w:shd w:val="clear" w:color="auto" w:fill="auto"/>
            <w:vAlign w:val="bottom"/>
            <w:hideMark/>
          </w:tcPr>
          <w:p w14:paraId="7BC54125" w14:textId="77777777" w:rsidR="00FA465E" w:rsidRPr="00FA465E" w:rsidRDefault="00FA465E" w:rsidP="00FA465E">
            <w:pPr>
              <w:spacing w:after="0" w:line="240" w:lineRule="auto"/>
              <w:jc w:val="right"/>
              <w:rPr>
                <w:rFonts w:ascii="Times New Roman" w:eastAsia="Times New Roman" w:hAnsi="Times New Roman"/>
                <w:sz w:val="20"/>
                <w:szCs w:val="20"/>
                <w:lang w:val="mk-MK" w:eastAsia="mk-MK"/>
              </w:rPr>
            </w:pPr>
          </w:p>
        </w:tc>
        <w:tc>
          <w:tcPr>
            <w:tcW w:w="1634" w:type="dxa"/>
            <w:tcBorders>
              <w:top w:val="nil"/>
              <w:left w:val="nil"/>
              <w:bottom w:val="nil"/>
              <w:right w:val="nil"/>
            </w:tcBorders>
            <w:shd w:val="clear" w:color="auto" w:fill="auto"/>
            <w:vAlign w:val="bottom"/>
            <w:hideMark/>
          </w:tcPr>
          <w:p w14:paraId="596115B0"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   </w:t>
            </w:r>
          </w:p>
        </w:tc>
      </w:tr>
      <w:tr w:rsidR="00FA465E" w:rsidRPr="00FA465E" w14:paraId="4DEA5100" w14:textId="77777777" w:rsidTr="001C5B17">
        <w:trPr>
          <w:trHeight w:val="300"/>
        </w:trPr>
        <w:tc>
          <w:tcPr>
            <w:tcW w:w="5130" w:type="dxa"/>
            <w:tcBorders>
              <w:top w:val="nil"/>
              <w:left w:val="nil"/>
              <w:bottom w:val="nil"/>
              <w:right w:val="nil"/>
            </w:tcBorders>
            <w:shd w:val="clear" w:color="auto" w:fill="auto"/>
            <w:vAlign w:val="bottom"/>
            <w:hideMark/>
          </w:tcPr>
          <w:p w14:paraId="4EA960D4" w14:textId="77777777" w:rsidR="00FA465E" w:rsidRPr="00FA465E" w:rsidRDefault="00FA465E" w:rsidP="00FA465E">
            <w:pPr>
              <w:spacing w:after="0" w:line="240" w:lineRule="auto"/>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Други сопственички инструменти</w:t>
            </w:r>
          </w:p>
        </w:tc>
        <w:tc>
          <w:tcPr>
            <w:tcW w:w="1063" w:type="dxa"/>
            <w:tcBorders>
              <w:top w:val="nil"/>
              <w:left w:val="nil"/>
              <w:bottom w:val="nil"/>
              <w:right w:val="nil"/>
            </w:tcBorders>
            <w:shd w:val="clear" w:color="auto" w:fill="auto"/>
            <w:noWrap/>
            <w:vAlign w:val="center"/>
            <w:hideMark/>
          </w:tcPr>
          <w:p w14:paraId="52F47F74" w14:textId="77777777" w:rsidR="00FA465E" w:rsidRPr="00FA465E" w:rsidRDefault="00FA465E" w:rsidP="00FA465E">
            <w:pPr>
              <w:spacing w:after="0" w:line="240" w:lineRule="auto"/>
              <w:rPr>
                <w:rFonts w:ascii="Times New Roman" w:eastAsia="Times New Roman" w:hAnsi="Times New Roman"/>
                <w:sz w:val="21"/>
                <w:szCs w:val="21"/>
                <w:lang w:val="mk-MK" w:eastAsia="mk-MK"/>
              </w:rPr>
            </w:pPr>
          </w:p>
        </w:tc>
        <w:tc>
          <w:tcPr>
            <w:tcW w:w="222" w:type="dxa"/>
            <w:tcBorders>
              <w:top w:val="nil"/>
              <w:left w:val="nil"/>
              <w:bottom w:val="nil"/>
              <w:right w:val="nil"/>
            </w:tcBorders>
            <w:shd w:val="clear" w:color="auto" w:fill="auto"/>
            <w:vAlign w:val="bottom"/>
            <w:hideMark/>
          </w:tcPr>
          <w:p w14:paraId="08CA6833" w14:textId="77777777" w:rsidR="00FA465E" w:rsidRPr="00FA465E" w:rsidRDefault="00FA465E" w:rsidP="00FA465E">
            <w:pPr>
              <w:spacing w:after="0" w:line="240" w:lineRule="auto"/>
              <w:jc w:val="center"/>
              <w:rPr>
                <w:rFonts w:ascii="Times New Roman" w:eastAsia="Times New Roman" w:hAnsi="Times New Roman"/>
                <w:sz w:val="20"/>
                <w:szCs w:val="20"/>
                <w:lang w:val="mk-MK" w:eastAsia="mk-MK"/>
              </w:rPr>
            </w:pPr>
          </w:p>
        </w:tc>
        <w:tc>
          <w:tcPr>
            <w:tcW w:w="1380" w:type="dxa"/>
            <w:tcBorders>
              <w:top w:val="nil"/>
              <w:left w:val="nil"/>
              <w:bottom w:val="nil"/>
              <w:right w:val="nil"/>
            </w:tcBorders>
            <w:shd w:val="clear" w:color="auto" w:fill="auto"/>
            <w:vAlign w:val="bottom"/>
            <w:hideMark/>
          </w:tcPr>
          <w:p w14:paraId="580C24F2" w14:textId="77777777" w:rsidR="00FA465E" w:rsidRPr="00FA465E" w:rsidRDefault="00FA465E" w:rsidP="00FA465E">
            <w:pPr>
              <w:spacing w:after="0" w:line="240" w:lineRule="auto"/>
              <w:rPr>
                <w:rFonts w:ascii="Times New Roman" w:eastAsia="Times New Roman" w:hAnsi="Times New Roman"/>
                <w:sz w:val="20"/>
                <w:szCs w:val="20"/>
                <w:lang w:val="mk-MK" w:eastAsia="mk-MK"/>
              </w:rPr>
            </w:pPr>
          </w:p>
        </w:tc>
        <w:tc>
          <w:tcPr>
            <w:tcW w:w="395" w:type="dxa"/>
            <w:tcBorders>
              <w:top w:val="nil"/>
              <w:left w:val="nil"/>
              <w:bottom w:val="nil"/>
              <w:right w:val="nil"/>
            </w:tcBorders>
            <w:shd w:val="clear" w:color="auto" w:fill="auto"/>
            <w:vAlign w:val="bottom"/>
            <w:hideMark/>
          </w:tcPr>
          <w:p w14:paraId="64F24F7F" w14:textId="77777777" w:rsidR="00FA465E" w:rsidRPr="00FA465E" w:rsidRDefault="00FA465E" w:rsidP="00FA465E">
            <w:pPr>
              <w:spacing w:after="0" w:line="240" w:lineRule="auto"/>
              <w:jc w:val="right"/>
              <w:rPr>
                <w:rFonts w:ascii="Times New Roman" w:eastAsia="Times New Roman" w:hAnsi="Times New Roman"/>
                <w:sz w:val="20"/>
                <w:szCs w:val="20"/>
                <w:lang w:val="mk-MK" w:eastAsia="mk-MK"/>
              </w:rPr>
            </w:pPr>
          </w:p>
        </w:tc>
        <w:tc>
          <w:tcPr>
            <w:tcW w:w="1634" w:type="dxa"/>
            <w:tcBorders>
              <w:top w:val="nil"/>
              <w:left w:val="nil"/>
              <w:bottom w:val="nil"/>
              <w:right w:val="nil"/>
            </w:tcBorders>
            <w:shd w:val="clear" w:color="auto" w:fill="auto"/>
            <w:vAlign w:val="bottom"/>
            <w:hideMark/>
          </w:tcPr>
          <w:p w14:paraId="3EE0B771"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   </w:t>
            </w:r>
          </w:p>
        </w:tc>
      </w:tr>
      <w:tr w:rsidR="00FA465E" w:rsidRPr="00FA465E" w14:paraId="521EA0DB" w14:textId="77777777" w:rsidTr="001C5B17">
        <w:trPr>
          <w:trHeight w:val="300"/>
        </w:trPr>
        <w:tc>
          <w:tcPr>
            <w:tcW w:w="5130" w:type="dxa"/>
            <w:tcBorders>
              <w:top w:val="nil"/>
              <w:left w:val="nil"/>
              <w:bottom w:val="nil"/>
              <w:right w:val="nil"/>
            </w:tcBorders>
            <w:shd w:val="clear" w:color="auto" w:fill="auto"/>
            <w:vAlign w:val="bottom"/>
            <w:hideMark/>
          </w:tcPr>
          <w:p w14:paraId="31325CDF" w14:textId="77777777" w:rsidR="00FA465E" w:rsidRPr="00FA465E" w:rsidRDefault="00FA465E" w:rsidP="00FA465E">
            <w:pPr>
              <w:spacing w:after="0" w:line="240" w:lineRule="auto"/>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Ревалоризациски резерви</w:t>
            </w:r>
          </w:p>
        </w:tc>
        <w:tc>
          <w:tcPr>
            <w:tcW w:w="1063" w:type="dxa"/>
            <w:tcBorders>
              <w:top w:val="nil"/>
              <w:left w:val="nil"/>
              <w:bottom w:val="nil"/>
              <w:right w:val="nil"/>
            </w:tcBorders>
            <w:shd w:val="clear" w:color="auto" w:fill="auto"/>
            <w:noWrap/>
            <w:vAlign w:val="center"/>
            <w:hideMark/>
          </w:tcPr>
          <w:p w14:paraId="742191C1"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40</w:t>
            </w:r>
          </w:p>
        </w:tc>
        <w:tc>
          <w:tcPr>
            <w:tcW w:w="222" w:type="dxa"/>
            <w:tcBorders>
              <w:top w:val="nil"/>
              <w:left w:val="nil"/>
              <w:bottom w:val="nil"/>
              <w:right w:val="nil"/>
            </w:tcBorders>
            <w:shd w:val="clear" w:color="auto" w:fill="auto"/>
            <w:vAlign w:val="bottom"/>
            <w:hideMark/>
          </w:tcPr>
          <w:p w14:paraId="46E1828A"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5459B17D"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147.155 </w:t>
            </w:r>
          </w:p>
        </w:tc>
        <w:tc>
          <w:tcPr>
            <w:tcW w:w="395" w:type="dxa"/>
            <w:tcBorders>
              <w:top w:val="nil"/>
              <w:left w:val="nil"/>
              <w:bottom w:val="nil"/>
              <w:right w:val="nil"/>
            </w:tcBorders>
            <w:shd w:val="clear" w:color="auto" w:fill="auto"/>
            <w:vAlign w:val="bottom"/>
            <w:hideMark/>
          </w:tcPr>
          <w:p w14:paraId="0FFADB95"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p>
        </w:tc>
        <w:tc>
          <w:tcPr>
            <w:tcW w:w="1634" w:type="dxa"/>
            <w:tcBorders>
              <w:top w:val="nil"/>
              <w:left w:val="nil"/>
              <w:bottom w:val="nil"/>
              <w:right w:val="nil"/>
            </w:tcBorders>
            <w:shd w:val="clear" w:color="auto" w:fill="auto"/>
            <w:vAlign w:val="bottom"/>
            <w:hideMark/>
          </w:tcPr>
          <w:p w14:paraId="25C6AE6F"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112.832 </w:t>
            </w:r>
          </w:p>
        </w:tc>
      </w:tr>
      <w:tr w:rsidR="00FA465E" w:rsidRPr="00FA465E" w14:paraId="308C665B" w14:textId="77777777" w:rsidTr="001C5B17">
        <w:trPr>
          <w:trHeight w:val="300"/>
        </w:trPr>
        <w:tc>
          <w:tcPr>
            <w:tcW w:w="5130" w:type="dxa"/>
            <w:tcBorders>
              <w:top w:val="nil"/>
              <w:left w:val="nil"/>
              <w:bottom w:val="nil"/>
              <w:right w:val="nil"/>
            </w:tcBorders>
            <w:shd w:val="clear" w:color="auto" w:fill="auto"/>
            <w:vAlign w:val="bottom"/>
            <w:hideMark/>
          </w:tcPr>
          <w:p w14:paraId="7C0DC4CD" w14:textId="77777777" w:rsidR="00FA465E" w:rsidRPr="00FA465E" w:rsidRDefault="00FA465E" w:rsidP="00FA465E">
            <w:pPr>
              <w:spacing w:after="0" w:line="240" w:lineRule="auto"/>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Останати резерви</w:t>
            </w:r>
          </w:p>
        </w:tc>
        <w:tc>
          <w:tcPr>
            <w:tcW w:w="1063" w:type="dxa"/>
            <w:tcBorders>
              <w:top w:val="nil"/>
              <w:left w:val="nil"/>
              <w:bottom w:val="nil"/>
              <w:right w:val="nil"/>
            </w:tcBorders>
            <w:shd w:val="clear" w:color="auto" w:fill="auto"/>
            <w:noWrap/>
            <w:vAlign w:val="center"/>
            <w:hideMark/>
          </w:tcPr>
          <w:p w14:paraId="3743E51C"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40</w:t>
            </w:r>
          </w:p>
        </w:tc>
        <w:tc>
          <w:tcPr>
            <w:tcW w:w="222" w:type="dxa"/>
            <w:tcBorders>
              <w:top w:val="nil"/>
              <w:left w:val="nil"/>
              <w:bottom w:val="nil"/>
              <w:right w:val="nil"/>
            </w:tcBorders>
            <w:shd w:val="clear" w:color="auto" w:fill="auto"/>
            <w:vAlign w:val="bottom"/>
            <w:hideMark/>
          </w:tcPr>
          <w:p w14:paraId="42B927BB" w14:textId="77777777" w:rsidR="00FA465E" w:rsidRPr="00FA465E" w:rsidRDefault="00FA465E" w:rsidP="00FA465E">
            <w:pPr>
              <w:spacing w:after="0" w:line="240" w:lineRule="auto"/>
              <w:jc w:val="center"/>
              <w:rPr>
                <w:rFonts w:ascii="Times New Roman" w:eastAsia="Times New Roman" w:hAnsi="Times New Roman"/>
                <w:sz w:val="21"/>
                <w:szCs w:val="21"/>
                <w:lang w:val="mk-MK" w:eastAsia="mk-MK"/>
              </w:rPr>
            </w:pPr>
          </w:p>
        </w:tc>
        <w:tc>
          <w:tcPr>
            <w:tcW w:w="1380" w:type="dxa"/>
            <w:tcBorders>
              <w:top w:val="nil"/>
              <w:left w:val="nil"/>
              <w:bottom w:val="nil"/>
              <w:right w:val="nil"/>
            </w:tcBorders>
            <w:shd w:val="clear" w:color="auto" w:fill="auto"/>
            <w:vAlign w:val="bottom"/>
            <w:hideMark/>
          </w:tcPr>
          <w:p w14:paraId="5436127D"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831.373 </w:t>
            </w:r>
          </w:p>
        </w:tc>
        <w:tc>
          <w:tcPr>
            <w:tcW w:w="395" w:type="dxa"/>
            <w:tcBorders>
              <w:top w:val="nil"/>
              <w:left w:val="nil"/>
              <w:bottom w:val="nil"/>
              <w:right w:val="nil"/>
            </w:tcBorders>
            <w:shd w:val="clear" w:color="auto" w:fill="auto"/>
            <w:vAlign w:val="bottom"/>
            <w:hideMark/>
          </w:tcPr>
          <w:p w14:paraId="39703248"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p>
        </w:tc>
        <w:tc>
          <w:tcPr>
            <w:tcW w:w="1634" w:type="dxa"/>
            <w:tcBorders>
              <w:top w:val="nil"/>
              <w:left w:val="nil"/>
              <w:bottom w:val="nil"/>
              <w:right w:val="nil"/>
            </w:tcBorders>
            <w:shd w:val="clear" w:color="auto" w:fill="auto"/>
            <w:vAlign w:val="bottom"/>
            <w:hideMark/>
          </w:tcPr>
          <w:p w14:paraId="2045CB13"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831.373 </w:t>
            </w:r>
          </w:p>
        </w:tc>
      </w:tr>
      <w:tr w:rsidR="00FA465E" w:rsidRPr="00FA465E" w14:paraId="684077AE" w14:textId="77777777" w:rsidTr="001C5B17">
        <w:trPr>
          <w:trHeight w:val="300"/>
        </w:trPr>
        <w:tc>
          <w:tcPr>
            <w:tcW w:w="5130" w:type="dxa"/>
            <w:tcBorders>
              <w:top w:val="nil"/>
              <w:left w:val="nil"/>
              <w:bottom w:val="nil"/>
              <w:right w:val="nil"/>
            </w:tcBorders>
            <w:shd w:val="clear" w:color="auto" w:fill="auto"/>
            <w:vAlign w:val="bottom"/>
            <w:hideMark/>
          </w:tcPr>
          <w:p w14:paraId="153F6B5B" w14:textId="77777777" w:rsidR="00FA465E" w:rsidRPr="00FA465E" w:rsidRDefault="00FA465E" w:rsidP="00FA465E">
            <w:pPr>
              <w:spacing w:after="0" w:line="240" w:lineRule="auto"/>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Задржана добивка </w:t>
            </w:r>
          </w:p>
        </w:tc>
        <w:tc>
          <w:tcPr>
            <w:tcW w:w="1063" w:type="dxa"/>
            <w:tcBorders>
              <w:top w:val="nil"/>
              <w:left w:val="nil"/>
              <w:bottom w:val="nil"/>
              <w:right w:val="nil"/>
            </w:tcBorders>
            <w:shd w:val="clear" w:color="auto" w:fill="auto"/>
            <w:noWrap/>
            <w:vAlign w:val="center"/>
            <w:hideMark/>
          </w:tcPr>
          <w:p w14:paraId="3D0641AC" w14:textId="77777777" w:rsidR="00FA465E" w:rsidRPr="00FA465E" w:rsidRDefault="00FA465E" w:rsidP="00FA465E">
            <w:pPr>
              <w:spacing w:after="0" w:line="240" w:lineRule="auto"/>
              <w:rPr>
                <w:rFonts w:ascii="Times New Roman" w:eastAsia="Times New Roman" w:hAnsi="Times New Roman"/>
                <w:sz w:val="21"/>
                <w:szCs w:val="21"/>
                <w:lang w:val="mk-MK" w:eastAsia="mk-MK"/>
              </w:rPr>
            </w:pPr>
          </w:p>
        </w:tc>
        <w:tc>
          <w:tcPr>
            <w:tcW w:w="222" w:type="dxa"/>
            <w:tcBorders>
              <w:top w:val="nil"/>
              <w:left w:val="nil"/>
              <w:bottom w:val="nil"/>
              <w:right w:val="nil"/>
            </w:tcBorders>
            <w:shd w:val="clear" w:color="auto" w:fill="auto"/>
            <w:vAlign w:val="bottom"/>
            <w:hideMark/>
          </w:tcPr>
          <w:p w14:paraId="3412457E" w14:textId="77777777" w:rsidR="00FA465E" w:rsidRPr="00FA465E" w:rsidRDefault="00FA465E" w:rsidP="00FA465E">
            <w:pPr>
              <w:spacing w:after="0" w:line="240" w:lineRule="auto"/>
              <w:jc w:val="center"/>
              <w:rPr>
                <w:rFonts w:ascii="Times New Roman" w:eastAsia="Times New Roman" w:hAnsi="Times New Roman"/>
                <w:sz w:val="20"/>
                <w:szCs w:val="20"/>
                <w:lang w:val="mk-MK" w:eastAsia="mk-MK"/>
              </w:rPr>
            </w:pPr>
          </w:p>
        </w:tc>
        <w:tc>
          <w:tcPr>
            <w:tcW w:w="1380" w:type="dxa"/>
            <w:tcBorders>
              <w:top w:val="nil"/>
              <w:left w:val="nil"/>
              <w:bottom w:val="nil"/>
              <w:right w:val="nil"/>
            </w:tcBorders>
            <w:shd w:val="clear" w:color="auto" w:fill="auto"/>
            <w:vAlign w:val="bottom"/>
            <w:hideMark/>
          </w:tcPr>
          <w:p w14:paraId="3C00BCBA"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17.708.569 </w:t>
            </w:r>
          </w:p>
        </w:tc>
        <w:tc>
          <w:tcPr>
            <w:tcW w:w="395" w:type="dxa"/>
            <w:tcBorders>
              <w:top w:val="nil"/>
              <w:left w:val="nil"/>
              <w:bottom w:val="nil"/>
              <w:right w:val="nil"/>
            </w:tcBorders>
            <w:shd w:val="clear" w:color="auto" w:fill="auto"/>
            <w:vAlign w:val="bottom"/>
            <w:hideMark/>
          </w:tcPr>
          <w:p w14:paraId="03551021"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p>
        </w:tc>
        <w:tc>
          <w:tcPr>
            <w:tcW w:w="1634" w:type="dxa"/>
            <w:tcBorders>
              <w:top w:val="nil"/>
              <w:left w:val="nil"/>
              <w:bottom w:val="nil"/>
              <w:right w:val="nil"/>
            </w:tcBorders>
            <w:shd w:val="clear" w:color="auto" w:fill="auto"/>
            <w:vAlign w:val="bottom"/>
            <w:hideMark/>
          </w:tcPr>
          <w:p w14:paraId="71586C52" w14:textId="77777777" w:rsidR="00FA465E" w:rsidRPr="00FA465E" w:rsidRDefault="00FA465E" w:rsidP="00FA465E">
            <w:pPr>
              <w:spacing w:after="0" w:line="240" w:lineRule="auto"/>
              <w:jc w:val="right"/>
              <w:rPr>
                <w:rFonts w:ascii="Times New Roman" w:eastAsia="Times New Roman" w:hAnsi="Times New Roman"/>
                <w:sz w:val="21"/>
                <w:szCs w:val="21"/>
                <w:lang w:val="mk-MK" w:eastAsia="mk-MK"/>
              </w:rPr>
            </w:pPr>
            <w:r w:rsidRPr="00FA465E">
              <w:rPr>
                <w:rFonts w:ascii="Times New Roman" w:eastAsia="Times New Roman" w:hAnsi="Times New Roman"/>
                <w:sz w:val="21"/>
                <w:szCs w:val="21"/>
                <w:lang w:val="mk-MK" w:eastAsia="mk-MK"/>
              </w:rPr>
              <w:t xml:space="preserve">           15.336.892 </w:t>
            </w:r>
          </w:p>
        </w:tc>
      </w:tr>
      <w:tr w:rsidR="00FA465E" w:rsidRPr="00FA465E" w14:paraId="152608B5" w14:textId="77777777" w:rsidTr="001C5B17">
        <w:trPr>
          <w:trHeight w:val="300"/>
        </w:trPr>
        <w:tc>
          <w:tcPr>
            <w:tcW w:w="5130" w:type="dxa"/>
            <w:tcBorders>
              <w:top w:val="nil"/>
              <w:left w:val="nil"/>
              <w:bottom w:val="nil"/>
              <w:right w:val="nil"/>
            </w:tcBorders>
            <w:shd w:val="clear" w:color="auto" w:fill="auto"/>
            <w:vAlign w:val="bottom"/>
            <w:hideMark/>
          </w:tcPr>
          <w:p w14:paraId="0C3C42BA" w14:textId="77777777" w:rsidR="00FA465E" w:rsidRPr="00FA465E" w:rsidRDefault="00FA465E" w:rsidP="00FA465E">
            <w:pPr>
              <w:spacing w:after="0" w:line="240" w:lineRule="auto"/>
              <w:rPr>
                <w:rFonts w:ascii="Times New Roman" w:eastAsia="Times New Roman" w:hAnsi="Times New Roman"/>
                <w:b/>
                <w:bCs/>
                <w:sz w:val="21"/>
                <w:szCs w:val="21"/>
                <w:lang w:val="mk-MK" w:eastAsia="mk-MK"/>
              </w:rPr>
            </w:pPr>
            <w:r w:rsidRPr="00FA465E">
              <w:rPr>
                <w:rFonts w:ascii="Times New Roman" w:eastAsia="Times New Roman" w:hAnsi="Times New Roman"/>
                <w:b/>
                <w:bCs/>
                <w:sz w:val="21"/>
                <w:szCs w:val="21"/>
                <w:lang w:val="mk-MK" w:eastAsia="mk-MK"/>
              </w:rPr>
              <w:t xml:space="preserve">Вкупно капитал и резерви </w:t>
            </w:r>
          </w:p>
        </w:tc>
        <w:tc>
          <w:tcPr>
            <w:tcW w:w="1063" w:type="dxa"/>
            <w:tcBorders>
              <w:top w:val="nil"/>
              <w:left w:val="nil"/>
              <w:bottom w:val="nil"/>
              <w:right w:val="nil"/>
            </w:tcBorders>
            <w:shd w:val="clear" w:color="auto" w:fill="auto"/>
            <w:noWrap/>
            <w:vAlign w:val="center"/>
            <w:hideMark/>
          </w:tcPr>
          <w:p w14:paraId="7ED89E5A" w14:textId="77777777" w:rsidR="00FA465E" w:rsidRPr="00FA465E" w:rsidRDefault="00FA465E" w:rsidP="00FA465E">
            <w:pPr>
              <w:spacing w:after="0" w:line="240" w:lineRule="auto"/>
              <w:rPr>
                <w:rFonts w:ascii="Times New Roman" w:eastAsia="Times New Roman" w:hAnsi="Times New Roman"/>
                <w:b/>
                <w:bCs/>
                <w:sz w:val="21"/>
                <w:szCs w:val="21"/>
                <w:lang w:val="mk-MK" w:eastAsia="mk-MK"/>
              </w:rPr>
            </w:pPr>
          </w:p>
        </w:tc>
        <w:tc>
          <w:tcPr>
            <w:tcW w:w="222" w:type="dxa"/>
            <w:tcBorders>
              <w:top w:val="nil"/>
              <w:left w:val="nil"/>
              <w:bottom w:val="nil"/>
              <w:right w:val="nil"/>
            </w:tcBorders>
            <w:shd w:val="clear" w:color="auto" w:fill="auto"/>
            <w:vAlign w:val="bottom"/>
            <w:hideMark/>
          </w:tcPr>
          <w:p w14:paraId="573FD928" w14:textId="77777777" w:rsidR="00FA465E" w:rsidRPr="00FA465E" w:rsidRDefault="00FA465E" w:rsidP="00FA465E">
            <w:pPr>
              <w:spacing w:after="0" w:line="240" w:lineRule="auto"/>
              <w:jc w:val="center"/>
              <w:rPr>
                <w:rFonts w:ascii="Times New Roman" w:eastAsia="Times New Roman" w:hAnsi="Times New Roman"/>
                <w:sz w:val="20"/>
                <w:szCs w:val="20"/>
                <w:lang w:val="mk-MK" w:eastAsia="mk-MK"/>
              </w:rPr>
            </w:pPr>
          </w:p>
        </w:tc>
        <w:tc>
          <w:tcPr>
            <w:tcW w:w="1380" w:type="dxa"/>
            <w:tcBorders>
              <w:top w:val="single" w:sz="4" w:space="0" w:color="auto"/>
              <w:left w:val="nil"/>
              <w:bottom w:val="single" w:sz="4" w:space="0" w:color="auto"/>
              <w:right w:val="nil"/>
            </w:tcBorders>
            <w:shd w:val="clear" w:color="auto" w:fill="auto"/>
            <w:vAlign w:val="bottom"/>
            <w:hideMark/>
          </w:tcPr>
          <w:p w14:paraId="477AB41D" w14:textId="77777777" w:rsidR="00FA465E" w:rsidRPr="00FA465E" w:rsidRDefault="00FA465E" w:rsidP="00FA465E">
            <w:pPr>
              <w:spacing w:after="0" w:line="240" w:lineRule="auto"/>
              <w:jc w:val="right"/>
              <w:rPr>
                <w:rFonts w:ascii="Times New Roman" w:eastAsia="Times New Roman" w:hAnsi="Times New Roman"/>
                <w:b/>
                <w:bCs/>
                <w:sz w:val="21"/>
                <w:szCs w:val="21"/>
                <w:lang w:val="mk-MK" w:eastAsia="mk-MK"/>
              </w:rPr>
            </w:pPr>
            <w:r w:rsidRPr="00FA465E">
              <w:rPr>
                <w:rFonts w:ascii="Times New Roman" w:eastAsia="Times New Roman" w:hAnsi="Times New Roman"/>
                <w:b/>
                <w:bCs/>
                <w:sz w:val="21"/>
                <w:szCs w:val="21"/>
                <w:lang w:val="mk-MK" w:eastAsia="mk-MK"/>
              </w:rPr>
              <w:t xml:space="preserve">    22.198.339 </w:t>
            </w:r>
          </w:p>
        </w:tc>
        <w:tc>
          <w:tcPr>
            <w:tcW w:w="395" w:type="dxa"/>
            <w:tcBorders>
              <w:top w:val="nil"/>
              <w:left w:val="nil"/>
              <w:bottom w:val="nil"/>
              <w:right w:val="nil"/>
            </w:tcBorders>
            <w:shd w:val="clear" w:color="auto" w:fill="auto"/>
            <w:vAlign w:val="bottom"/>
            <w:hideMark/>
          </w:tcPr>
          <w:p w14:paraId="495C9B8B" w14:textId="77777777" w:rsidR="00FA465E" w:rsidRPr="00FA465E" w:rsidRDefault="00FA465E" w:rsidP="00FA465E">
            <w:pPr>
              <w:spacing w:after="0" w:line="240" w:lineRule="auto"/>
              <w:jc w:val="right"/>
              <w:rPr>
                <w:rFonts w:ascii="Times New Roman" w:eastAsia="Times New Roman" w:hAnsi="Times New Roman"/>
                <w:b/>
                <w:bCs/>
                <w:sz w:val="21"/>
                <w:szCs w:val="21"/>
                <w:lang w:val="mk-MK" w:eastAsia="mk-MK"/>
              </w:rPr>
            </w:pPr>
          </w:p>
        </w:tc>
        <w:tc>
          <w:tcPr>
            <w:tcW w:w="1634" w:type="dxa"/>
            <w:tcBorders>
              <w:top w:val="single" w:sz="4" w:space="0" w:color="auto"/>
              <w:left w:val="nil"/>
              <w:bottom w:val="single" w:sz="4" w:space="0" w:color="auto"/>
              <w:right w:val="nil"/>
            </w:tcBorders>
            <w:shd w:val="clear" w:color="auto" w:fill="auto"/>
            <w:vAlign w:val="bottom"/>
            <w:hideMark/>
          </w:tcPr>
          <w:p w14:paraId="00C809A1" w14:textId="77777777" w:rsidR="00FA465E" w:rsidRPr="00FA465E" w:rsidRDefault="00FA465E" w:rsidP="00FA465E">
            <w:pPr>
              <w:spacing w:after="0" w:line="240" w:lineRule="auto"/>
              <w:jc w:val="right"/>
              <w:rPr>
                <w:rFonts w:ascii="Times New Roman" w:eastAsia="Times New Roman" w:hAnsi="Times New Roman"/>
                <w:b/>
                <w:bCs/>
                <w:sz w:val="21"/>
                <w:szCs w:val="21"/>
                <w:lang w:val="mk-MK" w:eastAsia="mk-MK"/>
              </w:rPr>
            </w:pPr>
            <w:r w:rsidRPr="00FA465E">
              <w:rPr>
                <w:rFonts w:ascii="Times New Roman" w:eastAsia="Times New Roman" w:hAnsi="Times New Roman"/>
                <w:b/>
                <w:bCs/>
                <w:sz w:val="21"/>
                <w:szCs w:val="21"/>
                <w:lang w:val="mk-MK" w:eastAsia="mk-MK"/>
              </w:rPr>
              <w:t xml:space="preserve">           19.792.339 </w:t>
            </w:r>
          </w:p>
        </w:tc>
      </w:tr>
      <w:tr w:rsidR="00FA465E" w:rsidRPr="00FA465E" w14:paraId="2E9F480D" w14:textId="77777777" w:rsidTr="001C5B17">
        <w:trPr>
          <w:trHeight w:val="315"/>
        </w:trPr>
        <w:tc>
          <w:tcPr>
            <w:tcW w:w="5130" w:type="dxa"/>
            <w:tcBorders>
              <w:top w:val="nil"/>
              <w:left w:val="nil"/>
              <w:bottom w:val="nil"/>
              <w:right w:val="nil"/>
            </w:tcBorders>
            <w:shd w:val="clear" w:color="auto" w:fill="auto"/>
            <w:vAlign w:val="bottom"/>
            <w:hideMark/>
          </w:tcPr>
          <w:p w14:paraId="6F28C977" w14:textId="77777777" w:rsidR="00FA465E" w:rsidRPr="00FA465E" w:rsidRDefault="00FA465E" w:rsidP="00FA465E">
            <w:pPr>
              <w:spacing w:after="0" w:line="240" w:lineRule="auto"/>
              <w:rPr>
                <w:rFonts w:ascii="Times New Roman" w:eastAsia="Times New Roman" w:hAnsi="Times New Roman"/>
                <w:b/>
                <w:bCs/>
                <w:sz w:val="21"/>
                <w:szCs w:val="21"/>
                <w:lang w:val="mk-MK" w:eastAsia="mk-MK"/>
              </w:rPr>
            </w:pPr>
            <w:r w:rsidRPr="00FA465E">
              <w:rPr>
                <w:rFonts w:ascii="Times New Roman" w:eastAsia="Times New Roman" w:hAnsi="Times New Roman"/>
                <w:b/>
                <w:bCs/>
                <w:sz w:val="21"/>
                <w:szCs w:val="21"/>
                <w:lang w:val="mk-MK" w:eastAsia="mk-MK"/>
              </w:rPr>
              <w:t>Вкупно обврски и капитал и резерви</w:t>
            </w:r>
          </w:p>
        </w:tc>
        <w:tc>
          <w:tcPr>
            <w:tcW w:w="1063" w:type="dxa"/>
            <w:tcBorders>
              <w:top w:val="nil"/>
              <w:left w:val="nil"/>
              <w:bottom w:val="nil"/>
              <w:right w:val="nil"/>
            </w:tcBorders>
            <w:shd w:val="clear" w:color="auto" w:fill="auto"/>
            <w:noWrap/>
            <w:vAlign w:val="center"/>
            <w:hideMark/>
          </w:tcPr>
          <w:p w14:paraId="0AC5CB0A" w14:textId="77777777" w:rsidR="00FA465E" w:rsidRPr="00FA465E" w:rsidRDefault="00FA465E" w:rsidP="00FA465E">
            <w:pPr>
              <w:spacing w:after="0" w:line="240" w:lineRule="auto"/>
              <w:rPr>
                <w:rFonts w:ascii="Times New Roman" w:eastAsia="Times New Roman" w:hAnsi="Times New Roman"/>
                <w:b/>
                <w:bCs/>
                <w:sz w:val="21"/>
                <w:szCs w:val="21"/>
                <w:lang w:val="mk-MK" w:eastAsia="mk-MK"/>
              </w:rPr>
            </w:pPr>
          </w:p>
        </w:tc>
        <w:tc>
          <w:tcPr>
            <w:tcW w:w="222" w:type="dxa"/>
            <w:tcBorders>
              <w:top w:val="nil"/>
              <w:left w:val="nil"/>
              <w:bottom w:val="nil"/>
              <w:right w:val="nil"/>
            </w:tcBorders>
            <w:shd w:val="clear" w:color="auto" w:fill="auto"/>
            <w:vAlign w:val="bottom"/>
            <w:hideMark/>
          </w:tcPr>
          <w:p w14:paraId="610AF09C" w14:textId="77777777" w:rsidR="00FA465E" w:rsidRPr="00FA465E" w:rsidRDefault="00FA465E" w:rsidP="00FA465E">
            <w:pPr>
              <w:spacing w:after="0" w:line="240" w:lineRule="auto"/>
              <w:jc w:val="center"/>
              <w:rPr>
                <w:rFonts w:ascii="Times New Roman" w:eastAsia="Times New Roman" w:hAnsi="Times New Roman"/>
                <w:sz w:val="20"/>
                <w:szCs w:val="20"/>
                <w:lang w:val="mk-MK" w:eastAsia="mk-MK"/>
              </w:rPr>
            </w:pPr>
          </w:p>
        </w:tc>
        <w:tc>
          <w:tcPr>
            <w:tcW w:w="1380" w:type="dxa"/>
            <w:tcBorders>
              <w:top w:val="nil"/>
              <w:left w:val="nil"/>
              <w:bottom w:val="double" w:sz="6" w:space="0" w:color="auto"/>
              <w:right w:val="nil"/>
            </w:tcBorders>
            <w:shd w:val="clear" w:color="auto" w:fill="auto"/>
            <w:vAlign w:val="bottom"/>
            <w:hideMark/>
          </w:tcPr>
          <w:p w14:paraId="7BBD706D" w14:textId="77777777" w:rsidR="00FA465E" w:rsidRPr="00FA465E" w:rsidRDefault="00FA465E" w:rsidP="00FA465E">
            <w:pPr>
              <w:spacing w:after="0" w:line="240" w:lineRule="auto"/>
              <w:jc w:val="right"/>
              <w:rPr>
                <w:rFonts w:ascii="Times New Roman" w:eastAsia="Times New Roman" w:hAnsi="Times New Roman"/>
                <w:b/>
                <w:bCs/>
                <w:sz w:val="21"/>
                <w:szCs w:val="21"/>
                <w:lang w:val="mk-MK" w:eastAsia="mk-MK"/>
              </w:rPr>
            </w:pPr>
            <w:r w:rsidRPr="00FA465E">
              <w:rPr>
                <w:rFonts w:ascii="Times New Roman" w:eastAsia="Times New Roman" w:hAnsi="Times New Roman"/>
                <w:b/>
                <w:bCs/>
                <w:sz w:val="21"/>
                <w:szCs w:val="21"/>
                <w:lang w:val="mk-MK" w:eastAsia="mk-MK"/>
              </w:rPr>
              <w:t xml:space="preserve">   122.793.098 </w:t>
            </w:r>
          </w:p>
        </w:tc>
        <w:tc>
          <w:tcPr>
            <w:tcW w:w="395" w:type="dxa"/>
            <w:tcBorders>
              <w:top w:val="nil"/>
              <w:left w:val="nil"/>
              <w:bottom w:val="nil"/>
              <w:right w:val="nil"/>
            </w:tcBorders>
            <w:shd w:val="clear" w:color="auto" w:fill="auto"/>
            <w:vAlign w:val="bottom"/>
            <w:hideMark/>
          </w:tcPr>
          <w:p w14:paraId="2D8F0B0C" w14:textId="77777777" w:rsidR="00FA465E" w:rsidRPr="00FA465E" w:rsidRDefault="00FA465E" w:rsidP="00FA465E">
            <w:pPr>
              <w:spacing w:after="0" w:line="240" w:lineRule="auto"/>
              <w:jc w:val="right"/>
              <w:rPr>
                <w:rFonts w:ascii="Times New Roman" w:eastAsia="Times New Roman" w:hAnsi="Times New Roman"/>
                <w:b/>
                <w:bCs/>
                <w:sz w:val="21"/>
                <w:szCs w:val="21"/>
                <w:lang w:val="mk-MK" w:eastAsia="mk-MK"/>
              </w:rPr>
            </w:pPr>
          </w:p>
        </w:tc>
        <w:tc>
          <w:tcPr>
            <w:tcW w:w="1634" w:type="dxa"/>
            <w:tcBorders>
              <w:top w:val="nil"/>
              <w:left w:val="nil"/>
              <w:bottom w:val="double" w:sz="6" w:space="0" w:color="auto"/>
              <w:right w:val="nil"/>
            </w:tcBorders>
            <w:shd w:val="clear" w:color="auto" w:fill="auto"/>
            <w:vAlign w:val="bottom"/>
            <w:hideMark/>
          </w:tcPr>
          <w:p w14:paraId="63A7922A" w14:textId="77777777" w:rsidR="00FA465E" w:rsidRPr="00FA465E" w:rsidRDefault="00FA465E" w:rsidP="00FA465E">
            <w:pPr>
              <w:spacing w:after="0" w:line="240" w:lineRule="auto"/>
              <w:jc w:val="right"/>
              <w:rPr>
                <w:rFonts w:ascii="Times New Roman" w:eastAsia="Times New Roman" w:hAnsi="Times New Roman"/>
                <w:b/>
                <w:bCs/>
                <w:sz w:val="21"/>
                <w:szCs w:val="21"/>
                <w:lang w:val="mk-MK" w:eastAsia="mk-MK"/>
              </w:rPr>
            </w:pPr>
            <w:r w:rsidRPr="00FA465E">
              <w:rPr>
                <w:rFonts w:ascii="Times New Roman" w:eastAsia="Times New Roman" w:hAnsi="Times New Roman"/>
                <w:b/>
                <w:bCs/>
                <w:sz w:val="21"/>
                <w:szCs w:val="21"/>
                <w:lang w:val="mk-MK" w:eastAsia="mk-MK"/>
              </w:rPr>
              <w:t xml:space="preserve">         114.102.699 </w:t>
            </w:r>
          </w:p>
        </w:tc>
      </w:tr>
    </w:tbl>
    <w:p w14:paraId="7AA30595" w14:textId="77777777" w:rsidR="006C66C2" w:rsidRDefault="006C66C2" w:rsidP="0049181F">
      <w:pPr>
        <w:jc w:val="both"/>
        <w:rPr>
          <w:rFonts w:ascii="Times New Roman" w:hAnsi="Times New Roman"/>
          <w:sz w:val="24"/>
          <w:szCs w:val="24"/>
          <w:lang w:val="mk-MK"/>
        </w:rPr>
      </w:pPr>
    </w:p>
    <w:p w14:paraId="70414496" w14:textId="77777777" w:rsidR="00543CB4" w:rsidRPr="001C5B17" w:rsidRDefault="00543CB4" w:rsidP="001C5B17">
      <w:pPr>
        <w:pStyle w:val="Heading2"/>
        <w:rPr>
          <w:lang w:val="mk-MK"/>
        </w:rPr>
      </w:pPr>
      <w:r w:rsidRPr="001C5B17">
        <w:rPr>
          <w:lang w:val="mk-MK"/>
        </w:rPr>
        <w:lastRenderedPageBreak/>
        <w:t xml:space="preserve">Консолидирана супервизија </w:t>
      </w:r>
    </w:p>
    <w:p w14:paraId="5B5A6E00" w14:textId="77777777" w:rsidR="00543CB4" w:rsidRPr="001C5B17" w:rsidRDefault="00543CB4" w:rsidP="0049181F">
      <w:pPr>
        <w:jc w:val="both"/>
        <w:rPr>
          <w:lang w:val="mk-MK"/>
        </w:rPr>
      </w:pPr>
    </w:p>
    <w:p w14:paraId="74A17B8B" w14:textId="7D74339F" w:rsidR="00543CB4" w:rsidRDefault="00543CB4" w:rsidP="0049181F">
      <w:pPr>
        <w:jc w:val="both"/>
        <w:rPr>
          <w:rFonts w:ascii="Times New Roman" w:hAnsi="Times New Roman"/>
          <w:sz w:val="24"/>
          <w:szCs w:val="24"/>
          <w:lang w:val="mk-MK" w:eastAsia="en-GB"/>
        </w:rPr>
      </w:pPr>
      <w:r w:rsidRPr="001C5B17">
        <w:rPr>
          <w:rFonts w:ascii="Times New Roman" w:hAnsi="Times New Roman"/>
          <w:sz w:val="24"/>
          <w:szCs w:val="24"/>
          <w:lang w:val="mk-MK" w:eastAsia="en-GB"/>
        </w:rPr>
        <w:t>Групата не е предмет на консолидирана супервизија од страна на НБРСМ, согласно Одлуката</w:t>
      </w:r>
      <w:r w:rsidR="001C5B17">
        <w:rPr>
          <w:rFonts w:ascii="Times New Roman" w:hAnsi="Times New Roman"/>
          <w:sz w:val="24"/>
          <w:szCs w:val="24"/>
          <w:lang w:val="mk-MK" w:eastAsia="en-GB"/>
        </w:rPr>
        <w:t xml:space="preserve"> за консолидирана супервизија. Стопанска Лизинг</w:t>
      </w:r>
      <w:r w:rsidRPr="001C5B17">
        <w:rPr>
          <w:rFonts w:ascii="Times New Roman" w:hAnsi="Times New Roman"/>
          <w:sz w:val="24"/>
          <w:szCs w:val="24"/>
          <w:lang w:val="mk-MK" w:eastAsia="en-GB"/>
        </w:rPr>
        <w:t xml:space="preserve"> не е предмет на консолидирана супервизија поради тоа што вкупната актива на подружницата е помала од 1 % од активата на матичната Банка</w:t>
      </w:r>
    </w:p>
    <w:p w14:paraId="719FB288" w14:textId="77777777" w:rsidR="00797406" w:rsidRDefault="00797406" w:rsidP="0049181F">
      <w:pPr>
        <w:jc w:val="both"/>
        <w:rPr>
          <w:rFonts w:ascii="Times New Roman" w:hAnsi="Times New Roman"/>
          <w:sz w:val="24"/>
          <w:szCs w:val="24"/>
          <w:lang w:val="mk-MK" w:eastAsia="en-GB"/>
        </w:rPr>
      </w:pPr>
    </w:p>
    <w:p w14:paraId="601D379D" w14:textId="77777777" w:rsidR="00674E02" w:rsidRDefault="00674E02" w:rsidP="00674E02">
      <w:pPr>
        <w:pStyle w:val="Heading2"/>
        <w:rPr>
          <w:lang w:val="mk-MK"/>
        </w:rPr>
      </w:pPr>
      <w:r w:rsidRPr="001C5B17">
        <w:rPr>
          <w:lang w:val="mk-MK"/>
        </w:rPr>
        <w:t xml:space="preserve">Адекватност на капиталот </w:t>
      </w:r>
    </w:p>
    <w:p w14:paraId="5DB27625" w14:textId="77777777" w:rsidR="00674E02" w:rsidRPr="001C5B17" w:rsidRDefault="00674E02" w:rsidP="001C5B17">
      <w:pPr>
        <w:rPr>
          <w:lang w:val="mk-MK"/>
        </w:rPr>
      </w:pPr>
    </w:p>
    <w:p w14:paraId="62E5F707" w14:textId="521DE669" w:rsidR="00674E02" w:rsidRPr="001C5B17" w:rsidRDefault="00674E02" w:rsidP="0049181F">
      <w:pPr>
        <w:jc w:val="both"/>
        <w:rPr>
          <w:rFonts w:ascii="Times New Roman" w:hAnsi="Times New Roman"/>
          <w:sz w:val="24"/>
          <w:szCs w:val="24"/>
          <w:lang w:val="mk-MK" w:eastAsia="en-GB"/>
        </w:rPr>
      </w:pPr>
      <w:r w:rsidRPr="001C5B17">
        <w:rPr>
          <w:rFonts w:ascii="Times New Roman" w:hAnsi="Times New Roman"/>
          <w:sz w:val="24"/>
          <w:szCs w:val="24"/>
          <w:lang w:val="mk-MK" w:eastAsia="en-GB"/>
        </w:rPr>
        <w:t>Согласно Одлуката од НБРСМ за консолидирана супервизија, доколку вкупната актива на подреденото лице е помала од 1 % од активата на матичното лице, подреденото лице нема да се вклучи во консолидираните финансиски извештаи за потребите на консолидираната супервизија. Врз основа на погоре наведеното, стапката на адекватност на капиталот не се утврдува на консолидирана основа.</w:t>
      </w:r>
    </w:p>
    <w:p w14:paraId="49AC6EE4" w14:textId="77777777" w:rsidR="00112BBE" w:rsidRDefault="00112BBE" w:rsidP="0049181F">
      <w:pPr>
        <w:jc w:val="both"/>
        <w:rPr>
          <w:lang w:val="mk-MK"/>
        </w:rPr>
      </w:pPr>
    </w:p>
    <w:p w14:paraId="4C437AC7" w14:textId="167B6F93" w:rsidR="003553DF" w:rsidRDefault="00112BBE" w:rsidP="00B77627">
      <w:pPr>
        <w:pStyle w:val="Heading2"/>
        <w:rPr>
          <w:lang w:val="mk-MK"/>
        </w:rPr>
      </w:pPr>
      <w:r w:rsidRPr="001C5B17">
        <w:rPr>
          <w:lang w:val="mk-MK"/>
        </w:rPr>
        <w:t xml:space="preserve">Консолидирана годишна сметка </w:t>
      </w:r>
    </w:p>
    <w:p w14:paraId="6F011C4A" w14:textId="77777777" w:rsidR="00B77627" w:rsidRPr="00B77627" w:rsidRDefault="00B77627" w:rsidP="001C5B17">
      <w:pPr>
        <w:rPr>
          <w:lang w:val="mk-MK"/>
        </w:rPr>
      </w:pPr>
    </w:p>
    <w:p w14:paraId="728F785E" w14:textId="2CFB5E9F" w:rsidR="00112BBE" w:rsidRPr="001C5B17" w:rsidRDefault="00112BBE" w:rsidP="0049181F">
      <w:pPr>
        <w:jc w:val="both"/>
        <w:rPr>
          <w:rFonts w:ascii="Times New Roman" w:hAnsi="Times New Roman"/>
          <w:sz w:val="24"/>
          <w:szCs w:val="24"/>
          <w:lang w:val="mk-MK" w:eastAsia="en-GB"/>
        </w:rPr>
      </w:pPr>
      <w:r w:rsidRPr="001C5B17">
        <w:rPr>
          <w:rFonts w:ascii="Times New Roman" w:hAnsi="Times New Roman"/>
          <w:sz w:val="24"/>
          <w:szCs w:val="24"/>
          <w:lang w:val="mk-MK" w:eastAsia="en-GB"/>
        </w:rPr>
        <w:t>Групата изработува Консолидирана годишна сметка согласно Законот за трговски друштва. Финансиски информации обелоденети во годишниот извештај за работата, се конзистентни во сите аспекти со консолидираната годишна сметка на Групата и со финансиските информации обелоденети во ревидираните консолидирани финансиски извештаи на Групата</w:t>
      </w:r>
      <w:r w:rsidR="001C5B17">
        <w:rPr>
          <w:rFonts w:ascii="Times New Roman" w:hAnsi="Times New Roman"/>
          <w:sz w:val="24"/>
          <w:szCs w:val="24"/>
          <w:lang w:val="mk-MK" w:eastAsia="en-GB"/>
        </w:rPr>
        <w:t>.</w:t>
      </w:r>
    </w:p>
    <w:p w14:paraId="364377DC" w14:textId="77777777" w:rsidR="001C5B17" w:rsidRDefault="001C5B17" w:rsidP="003553DF">
      <w:pPr>
        <w:pStyle w:val="Heading2"/>
        <w:rPr>
          <w:lang w:val="mk-MK"/>
        </w:rPr>
      </w:pPr>
    </w:p>
    <w:p w14:paraId="25FBCFCE" w14:textId="32FD30BC" w:rsidR="003553DF" w:rsidRDefault="003553DF" w:rsidP="003553DF">
      <w:pPr>
        <w:pStyle w:val="Heading2"/>
        <w:rPr>
          <w:lang w:val="mk-MK"/>
        </w:rPr>
      </w:pPr>
      <w:r>
        <w:rPr>
          <w:lang w:val="mk-MK"/>
        </w:rPr>
        <w:t xml:space="preserve">Процент на учество </w:t>
      </w:r>
    </w:p>
    <w:p w14:paraId="72261786" w14:textId="77777777" w:rsidR="003553DF" w:rsidRDefault="003553DF" w:rsidP="003553DF">
      <w:pPr>
        <w:rPr>
          <w:lang w:val="mk-MK"/>
        </w:rPr>
      </w:pPr>
    </w:p>
    <w:p w14:paraId="456A55BB" w14:textId="039F43EE" w:rsidR="003553DF" w:rsidRPr="001C5B17" w:rsidRDefault="00731E8A" w:rsidP="001C5B17">
      <w:pPr>
        <w:rPr>
          <w:rFonts w:ascii="Times New Roman" w:hAnsi="Times New Roman"/>
          <w:sz w:val="24"/>
          <w:szCs w:val="24"/>
          <w:lang w:val="mk-MK" w:eastAsia="en-GB"/>
        </w:rPr>
      </w:pPr>
      <w:r w:rsidRPr="001C5B17">
        <w:rPr>
          <w:rFonts w:ascii="Times New Roman" w:hAnsi="Times New Roman"/>
          <w:sz w:val="24"/>
          <w:szCs w:val="24"/>
          <w:lang w:val="mk-MK" w:eastAsia="en-GB"/>
        </w:rPr>
        <w:t>Матичната банка уче</w:t>
      </w:r>
      <w:r w:rsidR="001C5B17">
        <w:rPr>
          <w:rFonts w:ascii="Times New Roman" w:hAnsi="Times New Roman"/>
          <w:sz w:val="24"/>
          <w:szCs w:val="24"/>
          <w:lang w:val="mk-MK" w:eastAsia="en-GB"/>
        </w:rPr>
        <w:t>ствува со 100% сопственост во Стопанска</w:t>
      </w:r>
      <w:r w:rsidRPr="001C5B17">
        <w:rPr>
          <w:rFonts w:ascii="Times New Roman" w:hAnsi="Times New Roman"/>
          <w:sz w:val="24"/>
          <w:szCs w:val="24"/>
          <w:lang w:val="mk-MK" w:eastAsia="en-GB"/>
        </w:rPr>
        <w:t xml:space="preserve"> Лизинг ДОЕЛ Скопје.</w:t>
      </w:r>
    </w:p>
    <w:p w14:paraId="736864A1" w14:textId="77777777" w:rsidR="003553DF" w:rsidRPr="00B30590" w:rsidRDefault="003553DF" w:rsidP="0049181F">
      <w:pPr>
        <w:jc w:val="both"/>
        <w:rPr>
          <w:rFonts w:ascii="Times New Roman" w:hAnsi="Times New Roman"/>
          <w:sz w:val="24"/>
          <w:szCs w:val="24"/>
          <w:lang w:val="mk-MK"/>
        </w:rPr>
      </w:pPr>
    </w:p>
    <w:p w14:paraId="13A3DBA0" w14:textId="07C01DDC" w:rsidR="00A75476" w:rsidRDefault="00A75476" w:rsidP="00A75476">
      <w:pPr>
        <w:pStyle w:val="Heading1"/>
        <w:rPr>
          <w:b/>
          <w:sz w:val="28"/>
          <w:lang w:val="mk-MK"/>
        </w:rPr>
      </w:pPr>
    </w:p>
    <w:p w14:paraId="7046415C" w14:textId="5DDD0999" w:rsidR="001C5B17" w:rsidRDefault="001C5B17" w:rsidP="001C5B17">
      <w:pPr>
        <w:rPr>
          <w:lang w:val="mk-MK"/>
        </w:rPr>
      </w:pPr>
    </w:p>
    <w:p w14:paraId="03C61A10" w14:textId="58D7327E" w:rsidR="001C5B17" w:rsidRDefault="001C5B17" w:rsidP="001C5B17">
      <w:pPr>
        <w:rPr>
          <w:lang w:val="mk-MK"/>
        </w:rPr>
      </w:pPr>
    </w:p>
    <w:p w14:paraId="52B8FF89" w14:textId="77777777" w:rsidR="001C5B17" w:rsidRPr="001C5B17" w:rsidRDefault="001C5B17" w:rsidP="001C5B17">
      <w:pPr>
        <w:rPr>
          <w:lang w:val="mk-MK"/>
        </w:rPr>
      </w:pPr>
    </w:p>
    <w:p w14:paraId="102D3B68" w14:textId="77777777" w:rsidR="00CA29EA" w:rsidRPr="00A75476" w:rsidRDefault="00025E8C" w:rsidP="00A75476">
      <w:pPr>
        <w:pStyle w:val="Heading1"/>
        <w:rPr>
          <w:b/>
          <w:sz w:val="28"/>
          <w:lang w:val="mk-MK"/>
        </w:rPr>
      </w:pPr>
      <w:bookmarkStart w:id="60" w:name="_Toc132974490"/>
      <w:bookmarkStart w:id="61" w:name="_Toc132978850"/>
      <w:r w:rsidRPr="00A75476">
        <w:rPr>
          <w:b/>
          <w:sz w:val="28"/>
          <w:lang w:val="mk-MK"/>
        </w:rPr>
        <w:lastRenderedPageBreak/>
        <w:t>Управување со ризици</w:t>
      </w:r>
      <w:bookmarkEnd w:id="60"/>
      <w:bookmarkEnd w:id="61"/>
    </w:p>
    <w:p w14:paraId="324CB3B0" w14:textId="77777777" w:rsidR="00C44A6B" w:rsidRDefault="000321A3" w:rsidP="00275B15">
      <w:pPr>
        <w:spacing w:before="240" w:after="120"/>
        <w:jc w:val="both"/>
        <w:rPr>
          <w:rFonts w:ascii="Times New Roman" w:hAnsi="Times New Roman"/>
          <w:i/>
          <w:sz w:val="24"/>
          <w:szCs w:val="24"/>
          <w:lang w:val="mk-MK" w:eastAsia="en-GB"/>
        </w:rPr>
      </w:pPr>
      <w:r w:rsidRPr="000321A3">
        <w:rPr>
          <w:rFonts w:ascii="Times New Roman" w:hAnsi="Times New Roman"/>
          <w:i/>
          <w:sz w:val="24"/>
          <w:szCs w:val="24"/>
          <w:lang w:val="mk-MK" w:eastAsia="en-GB"/>
        </w:rPr>
        <w:t>Функцијата за управување со ризици на Стопанска банка АД Скопје се фокусира на одржување на профилот на ризик во рамките на воспоставениот апетит за ризик, притоа обезбедувајќи балансиран раст и соодветен квалитет на кредитното портфолио. Мисијата на Банката за управување со ризици е да обезбеди управување со сите видови ризици за Банката да остане безбедна за своите депоненти и другите засегнати страни, додека со текот на времето создава добри приноси за своите акционери, во согласно</w:t>
      </w:r>
      <w:r w:rsidR="00C44A6B">
        <w:rPr>
          <w:rFonts w:ascii="Times New Roman" w:hAnsi="Times New Roman"/>
          <w:i/>
          <w:sz w:val="24"/>
          <w:szCs w:val="24"/>
          <w:lang w:val="mk-MK" w:eastAsia="en-GB"/>
        </w:rPr>
        <w:t>ст со деловната стратегија на СБ</w:t>
      </w:r>
      <w:r w:rsidRPr="000321A3">
        <w:rPr>
          <w:rFonts w:ascii="Times New Roman" w:hAnsi="Times New Roman"/>
          <w:i/>
          <w:sz w:val="24"/>
          <w:szCs w:val="24"/>
          <w:lang w:val="mk-MK" w:eastAsia="en-GB"/>
        </w:rPr>
        <w:t xml:space="preserve">, </w:t>
      </w:r>
      <w:r w:rsidR="00C12382">
        <w:rPr>
          <w:rFonts w:ascii="Times New Roman" w:hAnsi="Times New Roman"/>
          <w:i/>
          <w:sz w:val="24"/>
          <w:szCs w:val="24"/>
          <w:lang w:val="mk-MK" w:eastAsia="en-GB"/>
        </w:rPr>
        <w:t>конзистентна</w:t>
      </w:r>
      <w:r w:rsidRPr="000321A3">
        <w:rPr>
          <w:rFonts w:ascii="Times New Roman" w:hAnsi="Times New Roman"/>
          <w:i/>
          <w:sz w:val="24"/>
          <w:szCs w:val="24"/>
          <w:lang w:val="mk-MK" w:eastAsia="en-GB"/>
        </w:rPr>
        <w:t xml:space="preserve"> со најдобрите практики и целосно усогласени со регулаторните барања.</w:t>
      </w:r>
      <w:r w:rsidR="00C44A6B">
        <w:rPr>
          <w:rFonts w:ascii="Times New Roman" w:hAnsi="Times New Roman"/>
          <w:i/>
          <w:sz w:val="24"/>
          <w:szCs w:val="24"/>
          <w:lang w:val="mk-MK" w:eastAsia="en-GB"/>
        </w:rPr>
        <w:t xml:space="preserve"> </w:t>
      </w:r>
    </w:p>
    <w:p w14:paraId="4396358A" w14:textId="77777777" w:rsidR="000321A3" w:rsidRPr="00372BD2" w:rsidRDefault="00C44A6B" w:rsidP="00275B15">
      <w:pPr>
        <w:spacing w:before="240" w:after="120"/>
        <w:jc w:val="both"/>
        <w:rPr>
          <w:rFonts w:ascii="Times New Roman" w:hAnsi="Times New Roman"/>
          <w:sz w:val="24"/>
          <w:szCs w:val="24"/>
          <w:lang w:val="mk-MK" w:eastAsia="en-GB"/>
        </w:rPr>
      </w:pPr>
      <w:r w:rsidRPr="00372BD2">
        <w:rPr>
          <w:rFonts w:ascii="Times New Roman" w:hAnsi="Times New Roman"/>
          <w:sz w:val="24"/>
          <w:szCs w:val="24"/>
          <w:lang w:val="mk-MK" w:eastAsia="en-GB"/>
        </w:rPr>
        <w:t>Стопанска Банка АД Скопје е една од најголемите финансиски институции во земјата која нуди банкарски услуги, преземајќи и управувајќи со ризици како дел од своите дневни активности.</w:t>
      </w:r>
    </w:p>
    <w:p w14:paraId="7490B75C" w14:textId="77777777" w:rsidR="00275B15" w:rsidRDefault="00025E8C" w:rsidP="00275B15">
      <w:pPr>
        <w:spacing w:before="240" w:after="120"/>
        <w:jc w:val="both"/>
        <w:rPr>
          <w:rFonts w:ascii="Times New Roman" w:hAnsi="Times New Roman"/>
          <w:sz w:val="24"/>
          <w:szCs w:val="24"/>
          <w:lang w:val="mk-MK" w:eastAsia="en-GB"/>
        </w:rPr>
      </w:pPr>
      <w:r w:rsidRPr="00372BD2">
        <w:rPr>
          <w:rFonts w:ascii="Times New Roman" w:hAnsi="Times New Roman"/>
          <w:sz w:val="24"/>
          <w:szCs w:val="24"/>
          <w:lang w:val="mk-MK" w:eastAsia="en-GB"/>
        </w:rPr>
        <w:t>Главната цел на функцијата за управување со ризик</w:t>
      </w:r>
      <w:r w:rsidRPr="001C5B17">
        <w:rPr>
          <w:rFonts w:ascii="Times New Roman" w:hAnsi="Times New Roman"/>
          <w:sz w:val="24"/>
          <w:szCs w:val="24"/>
          <w:lang w:val="mk-MK" w:eastAsia="en-GB"/>
        </w:rPr>
        <w:t xml:space="preserve"> </w:t>
      </w:r>
      <w:r w:rsidRPr="00372BD2">
        <w:rPr>
          <w:rFonts w:ascii="Times New Roman" w:hAnsi="Times New Roman"/>
          <w:sz w:val="24"/>
          <w:szCs w:val="24"/>
          <w:lang w:val="mk-MK" w:eastAsia="en-GB"/>
        </w:rPr>
        <w:t>на</w:t>
      </w:r>
      <w:r w:rsidRPr="001C5B17">
        <w:rPr>
          <w:rFonts w:ascii="Times New Roman" w:hAnsi="Times New Roman"/>
          <w:sz w:val="24"/>
          <w:szCs w:val="24"/>
          <w:lang w:val="mk-MK" w:eastAsia="en-GB"/>
        </w:rPr>
        <w:t xml:space="preserve"> </w:t>
      </w:r>
      <w:r w:rsidRPr="00372BD2">
        <w:rPr>
          <w:rFonts w:ascii="Times New Roman" w:hAnsi="Times New Roman"/>
          <w:sz w:val="24"/>
          <w:szCs w:val="24"/>
          <w:lang w:val="mk-MK" w:eastAsia="en-GB"/>
        </w:rPr>
        <w:t>Банката</w:t>
      </w:r>
      <w:r w:rsidRPr="001C5B17">
        <w:rPr>
          <w:rFonts w:ascii="Times New Roman" w:hAnsi="Times New Roman"/>
          <w:sz w:val="24"/>
          <w:szCs w:val="24"/>
          <w:lang w:val="mk-MK" w:eastAsia="en-GB"/>
        </w:rPr>
        <w:t xml:space="preserve"> е </w:t>
      </w:r>
      <w:r w:rsidRPr="00372BD2">
        <w:rPr>
          <w:rFonts w:ascii="Times New Roman" w:hAnsi="Times New Roman"/>
          <w:sz w:val="24"/>
          <w:szCs w:val="24"/>
          <w:lang w:val="mk-MK" w:eastAsia="en-GB"/>
        </w:rPr>
        <w:t>да го заштити интересот</w:t>
      </w:r>
      <w:r w:rsidRPr="001C5B17">
        <w:rPr>
          <w:rFonts w:ascii="Times New Roman" w:hAnsi="Times New Roman"/>
          <w:sz w:val="24"/>
          <w:szCs w:val="24"/>
          <w:lang w:val="mk-MK" w:eastAsia="en-GB"/>
        </w:rPr>
        <w:t xml:space="preserve"> </w:t>
      </w:r>
      <w:r w:rsidRPr="00372BD2">
        <w:rPr>
          <w:rFonts w:ascii="Times New Roman" w:hAnsi="Times New Roman"/>
          <w:sz w:val="24"/>
          <w:szCs w:val="24"/>
          <w:lang w:val="mk-MK" w:eastAsia="en-GB"/>
        </w:rPr>
        <w:t>на</w:t>
      </w:r>
      <w:r w:rsidRPr="001C5B17">
        <w:rPr>
          <w:rFonts w:ascii="Times New Roman" w:hAnsi="Times New Roman"/>
          <w:sz w:val="24"/>
          <w:szCs w:val="24"/>
          <w:lang w:val="mk-MK" w:eastAsia="en-GB"/>
        </w:rPr>
        <w:t xml:space="preserve"> </w:t>
      </w:r>
      <w:r w:rsidRPr="00372BD2">
        <w:rPr>
          <w:rFonts w:ascii="Times New Roman" w:hAnsi="Times New Roman"/>
          <w:sz w:val="24"/>
          <w:szCs w:val="24"/>
          <w:lang w:val="mk-MK" w:eastAsia="en-GB"/>
        </w:rPr>
        <w:t>своите клиенти</w:t>
      </w:r>
      <w:r w:rsidRPr="001C5B17">
        <w:rPr>
          <w:rFonts w:ascii="Times New Roman" w:hAnsi="Times New Roman"/>
          <w:sz w:val="24"/>
          <w:szCs w:val="24"/>
          <w:lang w:val="mk-MK" w:eastAsia="en-GB"/>
        </w:rPr>
        <w:t xml:space="preserve"> и </w:t>
      </w:r>
      <w:r w:rsidRPr="00372BD2">
        <w:rPr>
          <w:rFonts w:ascii="Times New Roman" w:hAnsi="Times New Roman"/>
          <w:sz w:val="24"/>
          <w:szCs w:val="24"/>
          <w:lang w:val="mk-MK" w:eastAsia="en-GB"/>
        </w:rPr>
        <w:t>акционери</w:t>
      </w:r>
      <w:r w:rsidRPr="001C5B17">
        <w:rPr>
          <w:rFonts w:ascii="Times New Roman" w:hAnsi="Times New Roman"/>
          <w:sz w:val="24"/>
          <w:szCs w:val="24"/>
          <w:lang w:val="mk-MK" w:eastAsia="en-GB"/>
        </w:rPr>
        <w:t xml:space="preserve"> </w:t>
      </w:r>
      <w:r w:rsidRPr="00372BD2">
        <w:rPr>
          <w:rFonts w:ascii="Times New Roman" w:hAnsi="Times New Roman"/>
          <w:sz w:val="24"/>
          <w:szCs w:val="24"/>
          <w:lang w:val="mk-MK" w:eastAsia="en-GB"/>
        </w:rPr>
        <w:t>преку</w:t>
      </w:r>
      <w:r w:rsidRPr="001C5B17">
        <w:rPr>
          <w:rFonts w:ascii="Times New Roman" w:hAnsi="Times New Roman"/>
          <w:sz w:val="24"/>
          <w:szCs w:val="24"/>
          <w:lang w:val="mk-MK" w:eastAsia="en-GB"/>
        </w:rPr>
        <w:t xml:space="preserve"> </w:t>
      </w:r>
      <w:r w:rsidR="00C44A6B">
        <w:rPr>
          <w:rFonts w:ascii="Times New Roman" w:hAnsi="Times New Roman"/>
          <w:sz w:val="24"/>
          <w:szCs w:val="24"/>
          <w:lang w:val="mk-MK" w:eastAsia="en-GB"/>
        </w:rPr>
        <w:t>прудентно</w:t>
      </w:r>
      <w:r w:rsidR="00C44A6B" w:rsidRPr="00372BD2">
        <w:rPr>
          <w:rFonts w:ascii="Times New Roman" w:hAnsi="Times New Roman"/>
          <w:sz w:val="24"/>
          <w:szCs w:val="24"/>
          <w:lang w:val="mk-MK" w:eastAsia="en-GB"/>
        </w:rPr>
        <w:t xml:space="preserve"> </w:t>
      </w:r>
      <w:r w:rsidRPr="00372BD2">
        <w:rPr>
          <w:rFonts w:ascii="Times New Roman" w:hAnsi="Times New Roman"/>
          <w:sz w:val="24"/>
          <w:szCs w:val="24"/>
          <w:lang w:val="mk-MK" w:eastAsia="en-GB"/>
        </w:rPr>
        <w:t xml:space="preserve">управување со </w:t>
      </w:r>
      <w:r w:rsidR="00C44A6B" w:rsidRPr="00372BD2">
        <w:rPr>
          <w:rFonts w:ascii="Times New Roman" w:hAnsi="Times New Roman"/>
          <w:sz w:val="24"/>
          <w:szCs w:val="24"/>
          <w:lang w:val="mk-MK" w:eastAsia="en-GB"/>
        </w:rPr>
        <w:t>ризи</w:t>
      </w:r>
      <w:r w:rsidR="00C44A6B">
        <w:rPr>
          <w:rFonts w:ascii="Times New Roman" w:hAnsi="Times New Roman"/>
          <w:sz w:val="24"/>
          <w:szCs w:val="24"/>
          <w:lang w:val="mk-MK" w:eastAsia="en-GB"/>
        </w:rPr>
        <w:t>ците</w:t>
      </w:r>
      <w:r w:rsidR="00C44A6B" w:rsidRPr="001C5B17">
        <w:rPr>
          <w:rFonts w:ascii="Times New Roman" w:hAnsi="Times New Roman"/>
          <w:sz w:val="24"/>
          <w:szCs w:val="24"/>
          <w:lang w:val="mk-MK" w:eastAsia="en-GB"/>
        </w:rPr>
        <w:t xml:space="preserve"> </w:t>
      </w:r>
      <w:r w:rsidRPr="00372BD2">
        <w:rPr>
          <w:rFonts w:ascii="Times New Roman" w:hAnsi="Times New Roman"/>
          <w:sz w:val="24"/>
          <w:szCs w:val="24"/>
          <w:lang w:val="mk-MK" w:eastAsia="en-GB"/>
        </w:rPr>
        <w:t>поддржан</w:t>
      </w:r>
      <w:r w:rsidR="001131CF">
        <w:rPr>
          <w:rFonts w:ascii="Times New Roman" w:hAnsi="Times New Roman"/>
          <w:sz w:val="24"/>
          <w:szCs w:val="24"/>
          <w:lang w:val="mk-MK" w:eastAsia="en-GB"/>
        </w:rPr>
        <w:t>о</w:t>
      </w:r>
      <w:r w:rsidRPr="001C5B17">
        <w:rPr>
          <w:rFonts w:ascii="Times New Roman" w:hAnsi="Times New Roman"/>
          <w:sz w:val="24"/>
          <w:szCs w:val="24"/>
          <w:lang w:val="mk-MK" w:eastAsia="en-GB"/>
        </w:rPr>
        <w:t xml:space="preserve"> </w:t>
      </w:r>
      <w:r w:rsidRPr="00372BD2">
        <w:rPr>
          <w:rFonts w:ascii="Times New Roman" w:hAnsi="Times New Roman"/>
          <w:sz w:val="24"/>
          <w:szCs w:val="24"/>
          <w:lang w:val="mk-MK" w:eastAsia="en-GB"/>
        </w:rPr>
        <w:t>од</w:t>
      </w:r>
      <w:r w:rsidRPr="001C5B17">
        <w:rPr>
          <w:rFonts w:ascii="Times New Roman" w:hAnsi="Times New Roman"/>
          <w:sz w:val="24"/>
          <w:szCs w:val="24"/>
          <w:lang w:val="mk-MK" w:eastAsia="en-GB"/>
        </w:rPr>
        <w:t xml:space="preserve"> </w:t>
      </w:r>
      <w:r w:rsidRPr="00372BD2">
        <w:rPr>
          <w:rFonts w:ascii="Times New Roman" w:hAnsi="Times New Roman"/>
          <w:sz w:val="24"/>
          <w:szCs w:val="24"/>
          <w:lang w:val="mk-MK" w:eastAsia="en-GB"/>
        </w:rPr>
        <w:t>силна култура</w:t>
      </w:r>
      <w:r w:rsidRPr="001C5B17">
        <w:rPr>
          <w:rFonts w:ascii="Times New Roman" w:hAnsi="Times New Roman"/>
          <w:sz w:val="24"/>
          <w:szCs w:val="24"/>
          <w:lang w:val="mk-MK" w:eastAsia="en-GB"/>
        </w:rPr>
        <w:t xml:space="preserve"> </w:t>
      </w:r>
      <w:r w:rsidRPr="00372BD2">
        <w:rPr>
          <w:rFonts w:ascii="Times New Roman" w:hAnsi="Times New Roman"/>
          <w:sz w:val="24"/>
          <w:szCs w:val="24"/>
          <w:lang w:val="mk-MK" w:eastAsia="en-GB"/>
        </w:rPr>
        <w:t>на ризик</w:t>
      </w:r>
      <w:r w:rsidRPr="001C5B17">
        <w:rPr>
          <w:rFonts w:ascii="Times New Roman" w:hAnsi="Times New Roman"/>
          <w:sz w:val="24"/>
          <w:szCs w:val="24"/>
          <w:lang w:val="mk-MK" w:eastAsia="en-GB"/>
        </w:rPr>
        <w:t xml:space="preserve">, </w:t>
      </w:r>
      <w:r w:rsidRPr="00372BD2">
        <w:rPr>
          <w:rFonts w:ascii="Times New Roman" w:hAnsi="Times New Roman"/>
          <w:sz w:val="24"/>
          <w:szCs w:val="24"/>
          <w:lang w:val="mk-MK" w:eastAsia="en-GB"/>
        </w:rPr>
        <w:t>како</w:t>
      </w:r>
      <w:r w:rsidRPr="001C5B17">
        <w:rPr>
          <w:rFonts w:ascii="Times New Roman" w:hAnsi="Times New Roman"/>
          <w:sz w:val="24"/>
          <w:szCs w:val="24"/>
          <w:lang w:val="mk-MK" w:eastAsia="en-GB"/>
        </w:rPr>
        <w:t xml:space="preserve"> и </w:t>
      </w:r>
      <w:r w:rsidRPr="00372BD2">
        <w:rPr>
          <w:rFonts w:ascii="Times New Roman" w:hAnsi="Times New Roman"/>
          <w:sz w:val="24"/>
          <w:szCs w:val="24"/>
          <w:lang w:val="mk-MK" w:eastAsia="en-GB"/>
        </w:rPr>
        <w:t>изобилство на ликвидност</w:t>
      </w:r>
      <w:r w:rsidRPr="001C5B17">
        <w:rPr>
          <w:rFonts w:ascii="Times New Roman" w:hAnsi="Times New Roman"/>
          <w:sz w:val="24"/>
          <w:szCs w:val="24"/>
          <w:lang w:val="mk-MK" w:eastAsia="en-GB"/>
        </w:rPr>
        <w:t xml:space="preserve"> и </w:t>
      </w:r>
      <w:r w:rsidRPr="00372BD2">
        <w:rPr>
          <w:rFonts w:ascii="Times New Roman" w:hAnsi="Times New Roman"/>
          <w:sz w:val="24"/>
          <w:szCs w:val="24"/>
          <w:lang w:val="mk-MK" w:eastAsia="en-GB"/>
        </w:rPr>
        <w:t>силна капитална база</w:t>
      </w:r>
      <w:r w:rsidRPr="001C5B17">
        <w:rPr>
          <w:rFonts w:ascii="Times New Roman" w:hAnsi="Times New Roman"/>
          <w:sz w:val="24"/>
          <w:szCs w:val="24"/>
          <w:lang w:val="mk-MK" w:eastAsia="en-GB"/>
        </w:rPr>
        <w:t>.</w:t>
      </w:r>
      <w:r w:rsidR="00C44A6B">
        <w:rPr>
          <w:rFonts w:ascii="Times New Roman" w:hAnsi="Times New Roman"/>
          <w:sz w:val="24"/>
          <w:szCs w:val="24"/>
          <w:lang w:val="mk-MK" w:eastAsia="en-GB"/>
        </w:rPr>
        <w:t xml:space="preserve"> </w:t>
      </w:r>
      <w:r w:rsidR="00C44A6B" w:rsidRPr="00C44A6B">
        <w:rPr>
          <w:rFonts w:ascii="Times New Roman" w:hAnsi="Times New Roman"/>
          <w:sz w:val="24"/>
          <w:szCs w:val="24"/>
          <w:lang w:val="mk-MK" w:eastAsia="en-GB"/>
        </w:rPr>
        <w:t>Банката управува со овие ризици преку сеопфатна рамка што го интегрира управувањето со ризиците во секојдневните деловни активности и стратешкото планирање.</w:t>
      </w:r>
      <w:r w:rsidR="00C44A6B">
        <w:rPr>
          <w:rFonts w:ascii="Times New Roman" w:hAnsi="Times New Roman"/>
          <w:sz w:val="24"/>
          <w:szCs w:val="24"/>
          <w:lang w:val="mk-MK" w:eastAsia="en-GB"/>
        </w:rPr>
        <w:t xml:space="preserve"> </w:t>
      </w:r>
      <w:r w:rsidR="00C44A6B" w:rsidRPr="00C44A6B">
        <w:rPr>
          <w:rFonts w:ascii="Times New Roman" w:hAnsi="Times New Roman"/>
          <w:sz w:val="24"/>
          <w:szCs w:val="24"/>
          <w:lang w:val="mk-MK" w:eastAsia="en-GB"/>
        </w:rPr>
        <w:t xml:space="preserve">Рамката за </w:t>
      </w:r>
      <w:r w:rsidR="001131CF">
        <w:rPr>
          <w:rFonts w:ascii="Times New Roman" w:hAnsi="Times New Roman"/>
          <w:sz w:val="24"/>
          <w:szCs w:val="24"/>
          <w:lang w:val="mk-MK" w:eastAsia="en-GB"/>
        </w:rPr>
        <w:t>прифатливо ниво</w:t>
      </w:r>
      <w:r w:rsidR="00C44A6B" w:rsidRPr="00C44A6B">
        <w:rPr>
          <w:rFonts w:ascii="Times New Roman" w:hAnsi="Times New Roman"/>
          <w:sz w:val="24"/>
          <w:szCs w:val="24"/>
          <w:lang w:val="mk-MK" w:eastAsia="en-GB"/>
        </w:rPr>
        <w:t xml:space="preserve"> на ризик (</w:t>
      </w:r>
      <w:r w:rsidR="001131CF" w:rsidRPr="001C5B17">
        <w:rPr>
          <w:rFonts w:ascii="Times New Roman" w:hAnsi="Times New Roman"/>
          <w:sz w:val="24"/>
          <w:szCs w:val="24"/>
          <w:lang w:val="mk-MK" w:eastAsia="en-GB"/>
        </w:rPr>
        <w:t xml:space="preserve">Risk Appetite Framework - </w:t>
      </w:r>
      <w:r w:rsidR="00C44A6B" w:rsidRPr="00C44A6B">
        <w:rPr>
          <w:rFonts w:ascii="Times New Roman" w:hAnsi="Times New Roman"/>
          <w:sz w:val="24"/>
          <w:szCs w:val="24"/>
          <w:lang w:val="mk-MK" w:eastAsia="en-GB"/>
        </w:rPr>
        <w:t>RAF) се развива и воспоставува со цел да се користи како клучна алатка за управување за</w:t>
      </w:r>
      <w:r w:rsidR="001131CF">
        <w:rPr>
          <w:rFonts w:ascii="Times New Roman" w:hAnsi="Times New Roman"/>
          <w:sz w:val="24"/>
          <w:szCs w:val="24"/>
          <w:lang w:val="mk-MK" w:eastAsia="en-GB"/>
        </w:rPr>
        <w:t>ради</w:t>
      </w:r>
      <w:r w:rsidR="00C44A6B" w:rsidRPr="00C44A6B">
        <w:rPr>
          <w:rFonts w:ascii="Times New Roman" w:hAnsi="Times New Roman"/>
          <w:sz w:val="24"/>
          <w:szCs w:val="24"/>
          <w:lang w:val="mk-MK" w:eastAsia="en-GB"/>
        </w:rPr>
        <w:t xml:space="preserve"> подобро усогласување на деловната стратегија, финансиските цели и управувањето со ризикот и претставува суштински механизам за поддршка на надзорот на извршувањето на стратегијата во рамките на граници на ризик со кои Банката е подготвена да работи.</w:t>
      </w:r>
    </w:p>
    <w:p w14:paraId="6ED74885" w14:textId="77777777" w:rsidR="00C44A6B" w:rsidRPr="00372BD2" w:rsidRDefault="00C44A6B" w:rsidP="00275B15">
      <w:pPr>
        <w:spacing w:before="240" w:after="120"/>
        <w:jc w:val="both"/>
        <w:rPr>
          <w:rFonts w:ascii="Times New Roman" w:hAnsi="Times New Roman"/>
          <w:sz w:val="24"/>
          <w:szCs w:val="24"/>
          <w:lang w:val="mk-MK" w:eastAsia="en-GB"/>
        </w:rPr>
      </w:pPr>
      <w:r w:rsidRPr="00C44A6B">
        <w:rPr>
          <w:rFonts w:ascii="Times New Roman" w:hAnsi="Times New Roman"/>
          <w:sz w:val="24"/>
          <w:szCs w:val="24"/>
          <w:lang w:val="mk-MK" w:eastAsia="en-GB"/>
        </w:rPr>
        <w:t>Примарната улога на независната функција за управување со ризици на Банката е правилно и навремено идентификување, мерење и управување со ризиците во нормални и специфични економски услови, како и надзор дали деловните активности се во согласност со стратегијата и прифатливото ниво на ризик на Банката. Со цел да се одржи адекватен профил на ризик, Банката користи алатки како што се прудентни критериуми за ризик, оценка на ризици, модели за рангирање и вреднување кои постојано се разгледуваат, валидираат и подобруваат во согласност со најдобрите практики во банкарската индустрија.</w:t>
      </w:r>
    </w:p>
    <w:p w14:paraId="5405F925" w14:textId="77777777" w:rsidR="00025E8C" w:rsidRPr="001C5B17" w:rsidRDefault="00025E8C" w:rsidP="00025E8C">
      <w:pPr>
        <w:spacing w:before="200"/>
        <w:jc w:val="both"/>
        <w:rPr>
          <w:rFonts w:ascii="Times New Roman" w:hAnsi="Times New Roman"/>
          <w:sz w:val="24"/>
          <w:szCs w:val="24"/>
          <w:lang w:val="mk-MK"/>
        </w:rPr>
      </w:pPr>
      <w:r>
        <w:rPr>
          <w:rFonts w:ascii="Times New Roman" w:hAnsi="Times New Roman"/>
          <w:sz w:val="24"/>
          <w:szCs w:val="24"/>
          <w:lang w:val="mk-MK"/>
        </w:rPr>
        <w:t>Ефективното управување со ризиците</w:t>
      </w:r>
      <w:r w:rsidRPr="001C5B17">
        <w:rPr>
          <w:rFonts w:ascii="Times New Roman" w:hAnsi="Times New Roman"/>
          <w:sz w:val="24"/>
          <w:szCs w:val="24"/>
          <w:lang w:val="mk-MK"/>
        </w:rPr>
        <w:t xml:space="preserve"> </w:t>
      </w:r>
      <w:r>
        <w:rPr>
          <w:rFonts w:ascii="Times New Roman" w:hAnsi="Times New Roman"/>
          <w:sz w:val="24"/>
          <w:szCs w:val="24"/>
          <w:lang w:val="mk-MK"/>
        </w:rPr>
        <w:t>бара</w:t>
      </w:r>
      <w:r w:rsidRPr="001C5B17">
        <w:rPr>
          <w:rFonts w:ascii="Times New Roman" w:hAnsi="Times New Roman"/>
          <w:sz w:val="24"/>
          <w:szCs w:val="24"/>
          <w:lang w:val="mk-MK"/>
        </w:rPr>
        <w:t xml:space="preserve"> </w:t>
      </w:r>
      <w:r>
        <w:rPr>
          <w:rFonts w:ascii="Times New Roman" w:hAnsi="Times New Roman"/>
          <w:sz w:val="24"/>
          <w:szCs w:val="24"/>
          <w:lang w:val="mk-MK"/>
        </w:rPr>
        <w:t>тоа да се спроведува низ целата банка</w:t>
      </w:r>
      <w:r w:rsidRPr="001C5B17">
        <w:rPr>
          <w:rFonts w:ascii="Times New Roman" w:hAnsi="Times New Roman"/>
          <w:sz w:val="24"/>
          <w:szCs w:val="24"/>
          <w:lang w:val="mk-MK"/>
        </w:rPr>
        <w:t xml:space="preserve">. </w:t>
      </w:r>
      <w:r>
        <w:rPr>
          <w:rFonts w:ascii="Times New Roman" w:hAnsi="Times New Roman"/>
          <w:sz w:val="24"/>
          <w:szCs w:val="24"/>
          <w:lang w:val="mk-MK"/>
        </w:rPr>
        <w:t>Структурата за ризик</w:t>
      </w:r>
      <w:r w:rsidRPr="001C5B17">
        <w:rPr>
          <w:rFonts w:ascii="Times New Roman" w:hAnsi="Times New Roman"/>
          <w:sz w:val="24"/>
          <w:szCs w:val="24"/>
          <w:lang w:val="mk-MK"/>
        </w:rPr>
        <w:t xml:space="preserve"> и </w:t>
      </w:r>
      <w:r>
        <w:rPr>
          <w:rFonts w:ascii="Times New Roman" w:hAnsi="Times New Roman"/>
          <w:sz w:val="24"/>
          <w:szCs w:val="24"/>
          <w:lang w:val="mk-MK"/>
        </w:rPr>
        <w:t>контрола</w:t>
      </w:r>
      <w:r w:rsidRPr="001C5B17">
        <w:rPr>
          <w:rFonts w:ascii="Times New Roman" w:hAnsi="Times New Roman"/>
          <w:sz w:val="24"/>
          <w:szCs w:val="24"/>
          <w:lang w:val="mk-MK"/>
        </w:rPr>
        <w:t xml:space="preserve"> </w:t>
      </w:r>
      <w:r>
        <w:rPr>
          <w:rFonts w:ascii="Times New Roman" w:hAnsi="Times New Roman"/>
          <w:sz w:val="24"/>
          <w:szCs w:val="24"/>
          <w:lang w:val="mk-MK"/>
        </w:rPr>
        <w:t>на</w:t>
      </w:r>
      <w:r w:rsidRPr="001C5B17">
        <w:rPr>
          <w:rFonts w:ascii="Times New Roman" w:hAnsi="Times New Roman"/>
          <w:sz w:val="24"/>
          <w:szCs w:val="24"/>
          <w:lang w:val="mk-MK"/>
        </w:rPr>
        <w:t xml:space="preserve"> СБ </w:t>
      </w:r>
      <w:r>
        <w:rPr>
          <w:rFonts w:ascii="Times New Roman" w:hAnsi="Times New Roman"/>
          <w:sz w:val="24"/>
          <w:szCs w:val="24"/>
          <w:lang w:val="mk-MK"/>
        </w:rPr>
        <w:t>се</w:t>
      </w:r>
      <w:r w:rsidRPr="001C5B17">
        <w:rPr>
          <w:rFonts w:ascii="Times New Roman" w:hAnsi="Times New Roman"/>
          <w:sz w:val="24"/>
          <w:szCs w:val="24"/>
          <w:lang w:val="mk-MK"/>
        </w:rPr>
        <w:t xml:space="preserve"> </w:t>
      </w:r>
      <w:r>
        <w:rPr>
          <w:rFonts w:ascii="Times New Roman" w:hAnsi="Times New Roman"/>
          <w:sz w:val="24"/>
          <w:szCs w:val="24"/>
          <w:lang w:val="mk-MK"/>
        </w:rPr>
        <w:t>заснова на</w:t>
      </w:r>
      <w:r w:rsidRPr="001C5B17">
        <w:rPr>
          <w:rFonts w:ascii="Times New Roman" w:hAnsi="Times New Roman"/>
          <w:sz w:val="24"/>
          <w:szCs w:val="24"/>
          <w:lang w:val="mk-MK"/>
        </w:rPr>
        <w:t xml:space="preserve"> </w:t>
      </w:r>
      <w:r>
        <w:rPr>
          <w:rFonts w:ascii="Times New Roman" w:hAnsi="Times New Roman"/>
          <w:sz w:val="24"/>
          <w:szCs w:val="24"/>
          <w:lang w:val="mk-MK"/>
        </w:rPr>
        <w:t>моделот на управување</w:t>
      </w:r>
      <w:r w:rsidRPr="001C5B17">
        <w:rPr>
          <w:rFonts w:ascii="Times New Roman" w:hAnsi="Times New Roman"/>
          <w:sz w:val="24"/>
          <w:szCs w:val="24"/>
          <w:lang w:val="mk-MK"/>
        </w:rPr>
        <w:t xml:space="preserve"> </w:t>
      </w:r>
      <w:r>
        <w:rPr>
          <w:rFonts w:ascii="Times New Roman" w:hAnsi="Times New Roman"/>
          <w:sz w:val="24"/>
          <w:szCs w:val="24"/>
          <w:lang w:val="mk-MK"/>
        </w:rPr>
        <w:t>со</w:t>
      </w:r>
      <w:r w:rsidRPr="001C5B17">
        <w:rPr>
          <w:rFonts w:ascii="Times New Roman" w:hAnsi="Times New Roman"/>
          <w:sz w:val="24"/>
          <w:szCs w:val="24"/>
          <w:lang w:val="mk-MK"/>
        </w:rPr>
        <w:t xml:space="preserve"> „</w:t>
      </w:r>
      <w:r>
        <w:rPr>
          <w:rFonts w:ascii="Times New Roman" w:hAnsi="Times New Roman"/>
          <w:sz w:val="24"/>
          <w:szCs w:val="24"/>
          <w:lang w:val="mk-MK"/>
        </w:rPr>
        <w:t>три линии на одбрана</w:t>
      </w:r>
      <w:r w:rsidRPr="001C5B17">
        <w:rPr>
          <w:rFonts w:ascii="Times New Roman" w:hAnsi="Times New Roman"/>
          <w:sz w:val="24"/>
          <w:szCs w:val="24"/>
          <w:lang w:val="mk-MK"/>
        </w:rPr>
        <w:t xml:space="preserve">“, </w:t>
      </w:r>
      <w:r>
        <w:rPr>
          <w:rFonts w:ascii="Times New Roman" w:hAnsi="Times New Roman"/>
          <w:sz w:val="24"/>
          <w:szCs w:val="24"/>
          <w:lang w:val="mk-MK"/>
        </w:rPr>
        <w:t>воведен</w:t>
      </w:r>
      <w:r w:rsidRPr="001C5B17">
        <w:rPr>
          <w:rFonts w:ascii="Times New Roman" w:hAnsi="Times New Roman"/>
          <w:sz w:val="24"/>
          <w:szCs w:val="24"/>
          <w:lang w:val="mk-MK"/>
        </w:rPr>
        <w:t xml:space="preserve"> </w:t>
      </w:r>
      <w:r>
        <w:rPr>
          <w:rFonts w:ascii="Times New Roman" w:hAnsi="Times New Roman"/>
          <w:sz w:val="24"/>
          <w:szCs w:val="24"/>
          <w:lang w:val="mk-MK"/>
        </w:rPr>
        <w:t>во</w:t>
      </w:r>
      <w:r w:rsidRPr="001C5B17">
        <w:rPr>
          <w:rFonts w:ascii="Times New Roman" w:hAnsi="Times New Roman"/>
          <w:sz w:val="24"/>
          <w:szCs w:val="24"/>
          <w:lang w:val="mk-MK"/>
        </w:rPr>
        <w:t xml:space="preserve"> 2019 </w:t>
      </w:r>
      <w:r>
        <w:rPr>
          <w:rFonts w:ascii="Times New Roman" w:hAnsi="Times New Roman"/>
          <w:sz w:val="24"/>
          <w:szCs w:val="24"/>
          <w:lang w:val="mk-MK"/>
        </w:rPr>
        <w:t>година</w:t>
      </w:r>
      <w:r w:rsidRPr="001C5B17">
        <w:rPr>
          <w:rFonts w:ascii="Times New Roman" w:hAnsi="Times New Roman"/>
          <w:sz w:val="24"/>
          <w:szCs w:val="24"/>
          <w:lang w:val="mk-MK"/>
        </w:rPr>
        <w:t xml:space="preserve">. </w:t>
      </w:r>
      <w:r>
        <w:rPr>
          <w:rFonts w:ascii="Times New Roman" w:hAnsi="Times New Roman"/>
          <w:sz w:val="24"/>
          <w:szCs w:val="24"/>
          <w:lang w:val="mk-MK"/>
        </w:rPr>
        <w:t>Секоја линија</w:t>
      </w:r>
      <w:r w:rsidRPr="001C5B17">
        <w:rPr>
          <w:rFonts w:ascii="Times New Roman" w:hAnsi="Times New Roman"/>
          <w:sz w:val="24"/>
          <w:szCs w:val="24"/>
          <w:lang w:val="mk-MK"/>
        </w:rPr>
        <w:t xml:space="preserve"> </w:t>
      </w:r>
      <w:r>
        <w:rPr>
          <w:rFonts w:ascii="Times New Roman" w:hAnsi="Times New Roman"/>
          <w:sz w:val="24"/>
          <w:szCs w:val="24"/>
          <w:lang w:val="mk-MK"/>
        </w:rPr>
        <w:t>има специфична улога</w:t>
      </w:r>
      <w:r w:rsidRPr="001C5B17">
        <w:rPr>
          <w:rFonts w:ascii="Times New Roman" w:hAnsi="Times New Roman"/>
          <w:sz w:val="24"/>
          <w:szCs w:val="24"/>
          <w:lang w:val="mk-MK"/>
        </w:rPr>
        <w:t xml:space="preserve"> и </w:t>
      </w:r>
      <w:r>
        <w:rPr>
          <w:rFonts w:ascii="Times New Roman" w:hAnsi="Times New Roman"/>
          <w:sz w:val="24"/>
          <w:szCs w:val="24"/>
          <w:lang w:val="mk-MK"/>
        </w:rPr>
        <w:t>дефинирани</w:t>
      </w:r>
      <w:r w:rsidRPr="001C5B17">
        <w:rPr>
          <w:rFonts w:ascii="Times New Roman" w:hAnsi="Times New Roman"/>
          <w:sz w:val="24"/>
          <w:szCs w:val="24"/>
          <w:lang w:val="mk-MK"/>
        </w:rPr>
        <w:t xml:space="preserve"> </w:t>
      </w:r>
      <w:r>
        <w:rPr>
          <w:rFonts w:ascii="Times New Roman" w:hAnsi="Times New Roman"/>
          <w:sz w:val="24"/>
          <w:szCs w:val="24"/>
          <w:lang w:val="mk-MK"/>
        </w:rPr>
        <w:t>одговорности</w:t>
      </w:r>
      <w:r w:rsidRPr="001C5B17">
        <w:rPr>
          <w:rFonts w:ascii="Times New Roman" w:hAnsi="Times New Roman"/>
          <w:sz w:val="24"/>
          <w:szCs w:val="24"/>
          <w:lang w:val="mk-MK"/>
        </w:rPr>
        <w:t xml:space="preserve">, </w:t>
      </w:r>
      <w:r>
        <w:rPr>
          <w:rFonts w:ascii="Times New Roman" w:hAnsi="Times New Roman"/>
          <w:sz w:val="24"/>
          <w:szCs w:val="24"/>
          <w:lang w:val="mk-MK"/>
        </w:rPr>
        <w:t>при што</w:t>
      </w:r>
      <w:r w:rsidRPr="001C5B17">
        <w:rPr>
          <w:rFonts w:ascii="Times New Roman" w:hAnsi="Times New Roman"/>
          <w:sz w:val="24"/>
          <w:szCs w:val="24"/>
          <w:lang w:val="mk-MK"/>
        </w:rPr>
        <w:t xml:space="preserve"> </w:t>
      </w:r>
      <w:r>
        <w:rPr>
          <w:rFonts w:ascii="Times New Roman" w:hAnsi="Times New Roman"/>
          <w:sz w:val="24"/>
          <w:szCs w:val="24"/>
          <w:lang w:val="mk-MK"/>
        </w:rPr>
        <w:t>извршувањето</w:t>
      </w:r>
      <w:r w:rsidRPr="001C5B17">
        <w:rPr>
          <w:rFonts w:ascii="Times New Roman" w:hAnsi="Times New Roman"/>
          <w:sz w:val="24"/>
          <w:szCs w:val="24"/>
          <w:lang w:val="mk-MK"/>
        </w:rPr>
        <w:t xml:space="preserve"> </w:t>
      </w:r>
      <w:r>
        <w:rPr>
          <w:rFonts w:ascii="Times New Roman" w:hAnsi="Times New Roman"/>
          <w:sz w:val="24"/>
          <w:szCs w:val="24"/>
          <w:lang w:val="mk-MK"/>
        </w:rPr>
        <w:t>на</w:t>
      </w:r>
      <w:r w:rsidRPr="001C5B17">
        <w:rPr>
          <w:rFonts w:ascii="Times New Roman" w:hAnsi="Times New Roman"/>
          <w:sz w:val="24"/>
          <w:szCs w:val="24"/>
          <w:lang w:val="mk-MK"/>
        </w:rPr>
        <w:t xml:space="preserve"> </w:t>
      </w:r>
      <w:r>
        <w:rPr>
          <w:rFonts w:ascii="Times New Roman" w:hAnsi="Times New Roman"/>
          <w:sz w:val="24"/>
          <w:szCs w:val="24"/>
          <w:lang w:val="mk-MK"/>
        </w:rPr>
        <w:t>задачите</w:t>
      </w:r>
      <w:r w:rsidRPr="001C5B17">
        <w:rPr>
          <w:rFonts w:ascii="Times New Roman" w:hAnsi="Times New Roman"/>
          <w:sz w:val="24"/>
          <w:szCs w:val="24"/>
          <w:lang w:val="mk-MK"/>
        </w:rPr>
        <w:t xml:space="preserve"> </w:t>
      </w:r>
      <w:r>
        <w:rPr>
          <w:rFonts w:ascii="Times New Roman" w:hAnsi="Times New Roman"/>
          <w:sz w:val="24"/>
          <w:szCs w:val="24"/>
          <w:lang w:val="mk-MK"/>
        </w:rPr>
        <w:t>се разликува</w:t>
      </w:r>
      <w:r w:rsidRPr="001C5B17">
        <w:rPr>
          <w:rFonts w:ascii="Times New Roman" w:hAnsi="Times New Roman"/>
          <w:sz w:val="24"/>
          <w:szCs w:val="24"/>
          <w:lang w:val="mk-MK"/>
        </w:rPr>
        <w:t xml:space="preserve"> </w:t>
      </w:r>
      <w:r>
        <w:rPr>
          <w:rFonts w:ascii="Times New Roman" w:hAnsi="Times New Roman"/>
          <w:sz w:val="24"/>
          <w:szCs w:val="24"/>
          <w:lang w:val="mk-MK"/>
        </w:rPr>
        <w:t>од</w:t>
      </w:r>
      <w:r w:rsidRPr="001C5B17">
        <w:rPr>
          <w:rFonts w:ascii="Times New Roman" w:hAnsi="Times New Roman"/>
          <w:sz w:val="24"/>
          <w:szCs w:val="24"/>
          <w:lang w:val="mk-MK"/>
        </w:rPr>
        <w:t xml:space="preserve"> </w:t>
      </w:r>
      <w:r>
        <w:rPr>
          <w:rFonts w:ascii="Times New Roman" w:hAnsi="Times New Roman"/>
          <w:sz w:val="24"/>
          <w:szCs w:val="24"/>
          <w:lang w:val="mk-MK"/>
        </w:rPr>
        <w:t>контролата на истите</w:t>
      </w:r>
      <w:r w:rsidRPr="001C5B17">
        <w:rPr>
          <w:rFonts w:ascii="Times New Roman" w:hAnsi="Times New Roman"/>
          <w:sz w:val="24"/>
          <w:szCs w:val="24"/>
          <w:lang w:val="mk-MK"/>
        </w:rPr>
        <w:t xml:space="preserve">. </w:t>
      </w:r>
      <w:r>
        <w:rPr>
          <w:rFonts w:ascii="Times New Roman" w:hAnsi="Times New Roman"/>
          <w:sz w:val="24"/>
          <w:szCs w:val="24"/>
          <w:lang w:val="mk-MK"/>
        </w:rPr>
        <w:t>Трите линии тесно соработуваат</w:t>
      </w:r>
      <w:r w:rsidRPr="001C5B17">
        <w:rPr>
          <w:rFonts w:ascii="Times New Roman" w:hAnsi="Times New Roman"/>
          <w:sz w:val="24"/>
          <w:szCs w:val="24"/>
          <w:lang w:val="mk-MK"/>
        </w:rPr>
        <w:t xml:space="preserve"> </w:t>
      </w:r>
      <w:r>
        <w:rPr>
          <w:rFonts w:ascii="Times New Roman" w:hAnsi="Times New Roman"/>
          <w:sz w:val="24"/>
          <w:szCs w:val="24"/>
          <w:lang w:val="mk-MK"/>
        </w:rPr>
        <w:t>за да ги идентификуваат</w:t>
      </w:r>
      <w:r w:rsidRPr="001C5B17">
        <w:rPr>
          <w:rFonts w:ascii="Times New Roman" w:hAnsi="Times New Roman"/>
          <w:sz w:val="24"/>
          <w:szCs w:val="24"/>
          <w:lang w:val="mk-MK"/>
        </w:rPr>
        <w:t>,</w:t>
      </w:r>
      <w:r>
        <w:rPr>
          <w:rFonts w:ascii="Times New Roman" w:hAnsi="Times New Roman"/>
          <w:sz w:val="24"/>
          <w:szCs w:val="24"/>
          <w:lang w:val="mk-MK"/>
        </w:rPr>
        <w:t xml:space="preserve"> проценат</w:t>
      </w:r>
      <w:r w:rsidRPr="001C5B17">
        <w:rPr>
          <w:rFonts w:ascii="Times New Roman" w:hAnsi="Times New Roman"/>
          <w:sz w:val="24"/>
          <w:szCs w:val="24"/>
          <w:lang w:val="mk-MK"/>
        </w:rPr>
        <w:t xml:space="preserve"> и </w:t>
      </w:r>
      <w:r>
        <w:rPr>
          <w:rFonts w:ascii="Times New Roman" w:hAnsi="Times New Roman"/>
          <w:sz w:val="24"/>
          <w:szCs w:val="24"/>
          <w:lang w:val="mk-MK"/>
        </w:rPr>
        <w:t>намалат</w:t>
      </w:r>
      <w:r w:rsidRPr="001C5B17">
        <w:rPr>
          <w:rFonts w:ascii="Times New Roman" w:hAnsi="Times New Roman"/>
          <w:sz w:val="24"/>
          <w:szCs w:val="24"/>
          <w:lang w:val="mk-MK"/>
        </w:rPr>
        <w:t xml:space="preserve"> </w:t>
      </w:r>
      <w:r>
        <w:rPr>
          <w:rFonts w:ascii="Times New Roman" w:hAnsi="Times New Roman"/>
          <w:sz w:val="24"/>
          <w:szCs w:val="24"/>
          <w:lang w:val="mk-MK"/>
        </w:rPr>
        <w:t>ризиците</w:t>
      </w:r>
      <w:r w:rsidRPr="001C5B17">
        <w:rPr>
          <w:rFonts w:ascii="Times New Roman" w:hAnsi="Times New Roman"/>
          <w:sz w:val="24"/>
          <w:szCs w:val="24"/>
          <w:lang w:val="mk-MK"/>
        </w:rPr>
        <w:t xml:space="preserve">. </w:t>
      </w:r>
      <w:r>
        <w:rPr>
          <w:rFonts w:ascii="Times New Roman" w:hAnsi="Times New Roman"/>
          <w:sz w:val="24"/>
          <w:szCs w:val="24"/>
          <w:lang w:val="mk-MK"/>
        </w:rPr>
        <w:t>Прво</w:t>
      </w:r>
      <w:r w:rsidRPr="001C5B17">
        <w:rPr>
          <w:rFonts w:ascii="Times New Roman" w:hAnsi="Times New Roman"/>
          <w:sz w:val="24"/>
          <w:szCs w:val="24"/>
          <w:lang w:val="mk-MK"/>
        </w:rPr>
        <w:t xml:space="preserve"> и </w:t>
      </w:r>
      <w:r>
        <w:rPr>
          <w:rFonts w:ascii="Times New Roman" w:hAnsi="Times New Roman"/>
          <w:sz w:val="24"/>
          <w:szCs w:val="24"/>
          <w:lang w:val="mk-MK"/>
        </w:rPr>
        <w:t>најважно</w:t>
      </w:r>
      <w:r w:rsidRPr="001C5B17">
        <w:rPr>
          <w:rFonts w:ascii="Times New Roman" w:hAnsi="Times New Roman"/>
          <w:sz w:val="24"/>
          <w:szCs w:val="24"/>
          <w:lang w:val="mk-MK"/>
        </w:rPr>
        <w:t xml:space="preserve">, </w:t>
      </w:r>
      <w:r>
        <w:rPr>
          <w:rFonts w:ascii="Times New Roman" w:hAnsi="Times New Roman"/>
          <w:sz w:val="24"/>
          <w:szCs w:val="24"/>
          <w:lang w:val="mk-MK"/>
        </w:rPr>
        <w:t>бизнисот</w:t>
      </w:r>
      <w:r w:rsidRPr="001C5B17">
        <w:rPr>
          <w:rFonts w:ascii="Times New Roman" w:hAnsi="Times New Roman"/>
          <w:sz w:val="24"/>
          <w:szCs w:val="24"/>
          <w:lang w:val="mk-MK"/>
        </w:rPr>
        <w:t xml:space="preserve"> (</w:t>
      </w:r>
      <w:r>
        <w:rPr>
          <w:rFonts w:ascii="Times New Roman" w:hAnsi="Times New Roman"/>
          <w:sz w:val="24"/>
          <w:szCs w:val="24"/>
          <w:lang w:val="mk-MK"/>
        </w:rPr>
        <w:t>вклучувајќи</w:t>
      </w:r>
      <w:r w:rsidRPr="001C5B17">
        <w:rPr>
          <w:rFonts w:ascii="Times New Roman" w:hAnsi="Times New Roman"/>
          <w:sz w:val="24"/>
          <w:szCs w:val="24"/>
          <w:lang w:val="mk-MK"/>
        </w:rPr>
        <w:t xml:space="preserve"> </w:t>
      </w:r>
      <w:r>
        <w:rPr>
          <w:rFonts w:ascii="Times New Roman" w:hAnsi="Times New Roman"/>
          <w:sz w:val="24"/>
          <w:szCs w:val="24"/>
          <w:lang w:val="mk-MK"/>
        </w:rPr>
        <w:t>ги</w:t>
      </w:r>
      <w:r w:rsidRPr="001C5B17">
        <w:rPr>
          <w:rFonts w:ascii="Times New Roman" w:hAnsi="Times New Roman"/>
          <w:sz w:val="24"/>
          <w:szCs w:val="24"/>
          <w:lang w:val="mk-MK"/>
        </w:rPr>
        <w:t xml:space="preserve"> и </w:t>
      </w:r>
      <w:r>
        <w:rPr>
          <w:rFonts w:ascii="Times New Roman" w:hAnsi="Times New Roman"/>
          <w:sz w:val="24"/>
          <w:szCs w:val="24"/>
          <w:lang w:val="mk-MK"/>
        </w:rPr>
        <w:t>функциите</w:t>
      </w:r>
      <w:r w:rsidRPr="001C5B17">
        <w:rPr>
          <w:rFonts w:ascii="Times New Roman" w:hAnsi="Times New Roman"/>
          <w:sz w:val="24"/>
          <w:szCs w:val="24"/>
          <w:lang w:val="mk-MK"/>
        </w:rPr>
        <w:t xml:space="preserve"> </w:t>
      </w:r>
      <w:r>
        <w:rPr>
          <w:rFonts w:ascii="Times New Roman" w:hAnsi="Times New Roman"/>
          <w:sz w:val="24"/>
          <w:szCs w:val="24"/>
          <w:lang w:val="mk-MK"/>
        </w:rPr>
        <w:t>за</w:t>
      </w:r>
      <w:r w:rsidRPr="001C5B17">
        <w:rPr>
          <w:rFonts w:ascii="Times New Roman" w:hAnsi="Times New Roman"/>
          <w:sz w:val="24"/>
          <w:szCs w:val="24"/>
          <w:lang w:val="mk-MK"/>
        </w:rPr>
        <w:t xml:space="preserve"> </w:t>
      </w:r>
      <w:r>
        <w:rPr>
          <w:rFonts w:ascii="Times New Roman" w:hAnsi="Times New Roman"/>
          <w:sz w:val="24"/>
          <w:szCs w:val="24"/>
          <w:lang w:val="mk-MK"/>
        </w:rPr>
        <w:t>поддршка</w:t>
      </w:r>
      <w:r w:rsidRPr="001C5B17">
        <w:rPr>
          <w:rFonts w:ascii="Times New Roman" w:hAnsi="Times New Roman"/>
          <w:sz w:val="24"/>
          <w:szCs w:val="24"/>
          <w:lang w:val="mk-MK"/>
        </w:rPr>
        <w:t xml:space="preserve">) </w:t>
      </w:r>
      <w:r>
        <w:rPr>
          <w:rFonts w:ascii="Times New Roman" w:hAnsi="Times New Roman"/>
          <w:sz w:val="24"/>
          <w:szCs w:val="24"/>
          <w:lang w:val="mk-MK"/>
        </w:rPr>
        <w:t>има</w:t>
      </w:r>
      <w:r w:rsidRPr="001C5B17">
        <w:rPr>
          <w:rFonts w:ascii="Times New Roman" w:hAnsi="Times New Roman"/>
          <w:sz w:val="24"/>
          <w:szCs w:val="24"/>
          <w:lang w:val="mk-MK"/>
        </w:rPr>
        <w:t xml:space="preserve"> </w:t>
      </w:r>
      <w:r>
        <w:rPr>
          <w:rFonts w:ascii="Times New Roman" w:hAnsi="Times New Roman"/>
          <w:sz w:val="24"/>
          <w:szCs w:val="24"/>
          <w:lang w:val="mk-MK"/>
        </w:rPr>
        <w:t>сопственост над ризиците</w:t>
      </w:r>
      <w:r w:rsidRPr="001C5B17">
        <w:rPr>
          <w:rFonts w:ascii="Times New Roman" w:hAnsi="Times New Roman"/>
          <w:sz w:val="24"/>
          <w:szCs w:val="24"/>
          <w:lang w:val="mk-MK"/>
        </w:rPr>
        <w:t xml:space="preserve">, </w:t>
      </w:r>
      <w:r>
        <w:rPr>
          <w:rFonts w:ascii="Times New Roman" w:hAnsi="Times New Roman"/>
          <w:sz w:val="24"/>
          <w:szCs w:val="24"/>
          <w:lang w:val="mk-MK"/>
        </w:rPr>
        <w:t>со кои</w:t>
      </w:r>
      <w:r w:rsidRPr="001C5B17">
        <w:rPr>
          <w:rFonts w:ascii="Times New Roman" w:hAnsi="Times New Roman"/>
          <w:sz w:val="24"/>
          <w:szCs w:val="24"/>
          <w:lang w:val="mk-MK"/>
        </w:rPr>
        <w:t xml:space="preserve"> </w:t>
      </w:r>
      <w:r>
        <w:rPr>
          <w:rFonts w:ascii="Times New Roman" w:hAnsi="Times New Roman"/>
          <w:sz w:val="24"/>
          <w:szCs w:val="24"/>
          <w:lang w:val="mk-MK"/>
        </w:rPr>
        <w:t>управува</w:t>
      </w:r>
      <w:r w:rsidRPr="001C5B17">
        <w:rPr>
          <w:rFonts w:ascii="Times New Roman" w:hAnsi="Times New Roman"/>
          <w:sz w:val="24"/>
          <w:szCs w:val="24"/>
          <w:lang w:val="mk-MK"/>
        </w:rPr>
        <w:t xml:space="preserve"> и </w:t>
      </w:r>
      <w:r>
        <w:rPr>
          <w:rFonts w:ascii="Times New Roman" w:hAnsi="Times New Roman"/>
          <w:sz w:val="24"/>
          <w:szCs w:val="24"/>
          <w:lang w:val="mk-MK"/>
        </w:rPr>
        <w:t>презема</w:t>
      </w:r>
      <w:r w:rsidRPr="001C5B17">
        <w:rPr>
          <w:rFonts w:ascii="Times New Roman" w:hAnsi="Times New Roman"/>
          <w:sz w:val="24"/>
          <w:szCs w:val="24"/>
          <w:lang w:val="mk-MK"/>
        </w:rPr>
        <w:t xml:space="preserve"> </w:t>
      </w:r>
      <w:r>
        <w:rPr>
          <w:rFonts w:ascii="Times New Roman" w:hAnsi="Times New Roman"/>
          <w:sz w:val="24"/>
          <w:szCs w:val="24"/>
          <w:lang w:val="mk-MK"/>
        </w:rPr>
        <w:t>одговорност</w:t>
      </w:r>
      <w:r w:rsidRPr="001C5B17">
        <w:rPr>
          <w:rFonts w:ascii="Times New Roman" w:hAnsi="Times New Roman"/>
          <w:sz w:val="24"/>
          <w:szCs w:val="24"/>
          <w:lang w:val="mk-MK"/>
        </w:rPr>
        <w:t xml:space="preserve"> (</w:t>
      </w:r>
      <w:r>
        <w:rPr>
          <w:rFonts w:ascii="Times New Roman" w:hAnsi="Times New Roman"/>
          <w:sz w:val="24"/>
          <w:szCs w:val="24"/>
          <w:lang w:val="mk-MK"/>
        </w:rPr>
        <w:t>прва</w:t>
      </w:r>
      <w:r w:rsidRPr="001C5B17">
        <w:rPr>
          <w:rFonts w:ascii="Times New Roman" w:hAnsi="Times New Roman"/>
          <w:sz w:val="24"/>
          <w:szCs w:val="24"/>
          <w:lang w:val="mk-MK"/>
        </w:rPr>
        <w:t xml:space="preserve"> </w:t>
      </w:r>
      <w:r>
        <w:rPr>
          <w:rFonts w:ascii="Times New Roman" w:hAnsi="Times New Roman"/>
          <w:sz w:val="24"/>
          <w:szCs w:val="24"/>
          <w:lang w:val="mk-MK"/>
        </w:rPr>
        <w:t>линија</w:t>
      </w:r>
      <w:r w:rsidRPr="001C5B17">
        <w:rPr>
          <w:rFonts w:ascii="Times New Roman" w:hAnsi="Times New Roman"/>
          <w:sz w:val="24"/>
          <w:szCs w:val="24"/>
          <w:lang w:val="mk-MK"/>
        </w:rPr>
        <w:t xml:space="preserve">). </w:t>
      </w:r>
      <w:r>
        <w:rPr>
          <w:rFonts w:ascii="Times New Roman" w:hAnsi="Times New Roman"/>
          <w:sz w:val="24"/>
          <w:szCs w:val="24"/>
          <w:lang w:val="mk-MK"/>
        </w:rPr>
        <w:t>Рамката</w:t>
      </w:r>
      <w:r w:rsidRPr="001C5B17">
        <w:rPr>
          <w:rFonts w:ascii="Times New Roman" w:hAnsi="Times New Roman"/>
          <w:sz w:val="24"/>
          <w:szCs w:val="24"/>
          <w:lang w:val="mk-MK"/>
        </w:rPr>
        <w:t xml:space="preserve"> </w:t>
      </w:r>
      <w:r>
        <w:rPr>
          <w:rFonts w:ascii="Times New Roman" w:hAnsi="Times New Roman"/>
          <w:sz w:val="24"/>
          <w:szCs w:val="24"/>
          <w:lang w:val="mk-MK"/>
        </w:rPr>
        <w:t>за</w:t>
      </w:r>
      <w:r w:rsidRPr="001C5B17">
        <w:rPr>
          <w:rFonts w:ascii="Times New Roman" w:hAnsi="Times New Roman"/>
          <w:sz w:val="24"/>
          <w:szCs w:val="24"/>
          <w:lang w:val="mk-MK"/>
        </w:rPr>
        <w:t xml:space="preserve"> </w:t>
      </w:r>
      <w:r>
        <w:rPr>
          <w:rFonts w:ascii="Times New Roman" w:hAnsi="Times New Roman"/>
          <w:sz w:val="24"/>
          <w:szCs w:val="24"/>
          <w:lang w:val="mk-MK"/>
        </w:rPr>
        <w:t xml:space="preserve">управување со </w:t>
      </w:r>
      <w:r>
        <w:rPr>
          <w:rFonts w:ascii="Times New Roman" w:hAnsi="Times New Roman"/>
          <w:sz w:val="24"/>
          <w:szCs w:val="24"/>
          <w:lang w:val="mk-MK"/>
        </w:rPr>
        <w:lastRenderedPageBreak/>
        <w:t>ризици</w:t>
      </w:r>
      <w:r w:rsidRPr="001C5B17">
        <w:rPr>
          <w:rFonts w:ascii="Times New Roman" w:hAnsi="Times New Roman"/>
          <w:sz w:val="24"/>
          <w:szCs w:val="24"/>
          <w:lang w:val="mk-MK"/>
        </w:rPr>
        <w:t xml:space="preserve"> </w:t>
      </w:r>
      <w:r>
        <w:rPr>
          <w:rFonts w:ascii="Times New Roman" w:hAnsi="Times New Roman"/>
          <w:sz w:val="24"/>
          <w:szCs w:val="24"/>
          <w:lang w:val="mk-MK"/>
        </w:rPr>
        <w:t>на</w:t>
      </w:r>
      <w:r w:rsidRPr="001C5B17">
        <w:rPr>
          <w:rFonts w:ascii="Times New Roman" w:hAnsi="Times New Roman"/>
          <w:sz w:val="24"/>
          <w:szCs w:val="24"/>
          <w:lang w:val="mk-MK"/>
        </w:rPr>
        <w:t xml:space="preserve"> </w:t>
      </w:r>
      <w:r>
        <w:rPr>
          <w:rFonts w:ascii="Times New Roman" w:hAnsi="Times New Roman"/>
          <w:sz w:val="24"/>
          <w:szCs w:val="24"/>
          <w:lang w:val="mk-MK"/>
        </w:rPr>
        <w:t>Банката</w:t>
      </w:r>
      <w:r w:rsidRPr="001C5B17">
        <w:rPr>
          <w:rFonts w:ascii="Times New Roman" w:hAnsi="Times New Roman"/>
          <w:sz w:val="24"/>
          <w:szCs w:val="24"/>
          <w:lang w:val="mk-MK"/>
        </w:rPr>
        <w:t xml:space="preserve"> е </w:t>
      </w:r>
      <w:r>
        <w:rPr>
          <w:rFonts w:ascii="Times New Roman" w:hAnsi="Times New Roman"/>
          <w:sz w:val="24"/>
          <w:szCs w:val="24"/>
          <w:lang w:val="mk-MK"/>
        </w:rPr>
        <w:t>обезбедена</w:t>
      </w:r>
      <w:r w:rsidRPr="001C5B17">
        <w:rPr>
          <w:rFonts w:ascii="Times New Roman" w:hAnsi="Times New Roman"/>
          <w:sz w:val="24"/>
          <w:szCs w:val="24"/>
          <w:lang w:val="mk-MK"/>
        </w:rPr>
        <w:t xml:space="preserve"> </w:t>
      </w:r>
      <w:r>
        <w:rPr>
          <w:rFonts w:ascii="Times New Roman" w:hAnsi="Times New Roman"/>
          <w:sz w:val="24"/>
          <w:szCs w:val="24"/>
          <w:lang w:val="mk-MK"/>
        </w:rPr>
        <w:t>од</w:t>
      </w:r>
      <w:r w:rsidRPr="001C5B17">
        <w:rPr>
          <w:rFonts w:ascii="Times New Roman" w:hAnsi="Times New Roman"/>
          <w:sz w:val="24"/>
          <w:szCs w:val="24"/>
          <w:lang w:val="mk-MK"/>
        </w:rPr>
        <w:t xml:space="preserve"> </w:t>
      </w:r>
      <w:r>
        <w:rPr>
          <w:rFonts w:ascii="Times New Roman" w:hAnsi="Times New Roman"/>
          <w:sz w:val="24"/>
          <w:szCs w:val="24"/>
          <w:lang w:val="mk-MK"/>
        </w:rPr>
        <w:t>функцијата</w:t>
      </w:r>
      <w:r w:rsidRPr="001C5B17">
        <w:rPr>
          <w:rFonts w:ascii="Times New Roman" w:hAnsi="Times New Roman"/>
          <w:sz w:val="24"/>
          <w:szCs w:val="24"/>
          <w:lang w:val="mk-MK"/>
        </w:rPr>
        <w:t xml:space="preserve"> </w:t>
      </w:r>
      <w:r>
        <w:rPr>
          <w:rFonts w:ascii="Times New Roman" w:hAnsi="Times New Roman"/>
          <w:sz w:val="24"/>
          <w:szCs w:val="24"/>
          <w:lang w:val="mk-MK"/>
        </w:rPr>
        <w:t>Управување</w:t>
      </w:r>
      <w:r w:rsidRPr="001C5B17">
        <w:rPr>
          <w:rFonts w:ascii="Times New Roman" w:hAnsi="Times New Roman"/>
          <w:sz w:val="24"/>
          <w:szCs w:val="24"/>
          <w:lang w:val="mk-MK"/>
        </w:rPr>
        <w:t xml:space="preserve"> </w:t>
      </w:r>
      <w:r>
        <w:rPr>
          <w:rFonts w:ascii="Times New Roman" w:hAnsi="Times New Roman"/>
          <w:sz w:val="24"/>
          <w:szCs w:val="24"/>
          <w:lang w:val="mk-MK"/>
        </w:rPr>
        <w:t>со</w:t>
      </w:r>
      <w:r w:rsidRPr="001C5B17">
        <w:rPr>
          <w:rFonts w:ascii="Times New Roman" w:hAnsi="Times New Roman"/>
          <w:sz w:val="24"/>
          <w:szCs w:val="24"/>
          <w:lang w:val="mk-MK"/>
        </w:rPr>
        <w:t xml:space="preserve"> </w:t>
      </w:r>
      <w:r>
        <w:rPr>
          <w:rFonts w:ascii="Times New Roman" w:hAnsi="Times New Roman"/>
          <w:sz w:val="24"/>
          <w:szCs w:val="24"/>
          <w:lang w:val="mk-MK"/>
        </w:rPr>
        <w:t>ризици</w:t>
      </w:r>
      <w:r w:rsidRPr="001C5B17">
        <w:rPr>
          <w:rFonts w:ascii="Times New Roman" w:hAnsi="Times New Roman"/>
          <w:sz w:val="24"/>
          <w:szCs w:val="24"/>
          <w:lang w:val="mk-MK"/>
        </w:rPr>
        <w:t xml:space="preserve"> и </w:t>
      </w:r>
      <w:r>
        <w:rPr>
          <w:rFonts w:ascii="Times New Roman" w:hAnsi="Times New Roman"/>
          <w:sz w:val="24"/>
          <w:szCs w:val="24"/>
          <w:lang w:val="mk-MK"/>
        </w:rPr>
        <w:t>Усогласеност со прописи</w:t>
      </w:r>
      <w:r w:rsidRPr="001C5B17">
        <w:rPr>
          <w:rFonts w:ascii="Times New Roman" w:hAnsi="Times New Roman"/>
          <w:sz w:val="24"/>
          <w:szCs w:val="24"/>
          <w:lang w:val="mk-MK"/>
        </w:rPr>
        <w:t xml:space="preserve"> (</w:t>
      </w:r>
      <w:r>
        <w:rPr>
          <w:rFonts w:ascii="Times New Roman" w:hAnsi="Times New Roman"/>
          <w:sz w:val="24"/>
          <w:szCs w:val="24"/>
          <w:lang w:val="mk-MK"/>
        </w:rPr>
        <w:t>втора линија</w:t>
      </w:r>
      <w:r w:rsidRPr="001C5B17">
        <w:rPr>
          <w:rFonts w:ascii="Times New Roman" w:hAnsi="Times New Roman"/>
          <w:sz w:val="24"/>
          <w:szCs w:val="24"/>
          <w:lang w:val="mk-MK"/>
        </w:rPr>
        <w:t xml:space="preserve">). </w:t>
      </w:r>
      <w:r>
        <w:rPr>
          <w:rFonts w:ascii="Times New Roman" w:hAnsi="Times New Roman"/>
          <w:sz w:val="24"/>
          <w:szCs w:val="24"/>
          <w:lang w:val="mk-MK"/>
        </w:rPr>
        <w:t>Двете</w:t>
      </w:r>
      <w:r w:rsidRPr="001C5B17">
        <w:rPr>
          <w:rFonts w:ascii="Times New Roman" w:hAnsi="Times New Roman"/>
          <w:sz w:val="24"/>
          <w:szCs w:val="24"/>
          <w:lang w:val="mk-MK"/>
        </w:rPr>
        <w:t xml:space="preserve"> </w:t>
      </w:r>
      <w:r>
        <w:rPr>
          <w:rFonts w:ascii="Times New Roman" w:hAnsi="Times New Roman"/>
          <w:sz w:val="24"/>
          <w:szCs w:val="24"/>
          <w:lang w:val="mk-MK"/>
        </w:rPr>
        <w:t>функции подразбираат</w:t>
      </w:r>
      <w:r w:rsidRPr="001C5B17">
        <w:rPr>
          <w:rFonts w:ascii="Times New Roman" w:hAnsi="Times New Roman"/>
          <w:sz w:val="24"/>
          <w:szCs w:val="24"/>
          <w:lang w:val="mk-MK"/>
        </w:rPr>
        <w:t xml:space="preserve"> </w:t>
      </w:r>
      <w:r>
        <w:rPr>
          <w:rFonts w:ascii="Times New Roman" w:hAnsi="Times New Roman"/>
          <w:sz w:val="24"/>
          <w:szCs w:val="24"/>
          <w:lang w:val="mk-MK"/>
        </w:rPr>
        <w:t>преземање</w:t>
      </w:r>
      <w:r w:rsidRPr="001C5B17">
        <w:rPr>
          <w:rFonts w:ascii="Times New Roman" w:hAnsi="Times New Roman"/>
          <w:sz w:val="24"/>
          <w:szCs w:val="24"/>
          <w:lang w:val="mk-MK"/>
        </w:rPr>
        <w:t xml:space="preserve"> </w:t>
      </w:r>
      <w:r>
        <w:rPr>
          <w:rFonts w:ascii="Times New Roman" w:hAnsi="Times New Roman"/>
          <w:sz w:val="24"/>
          <w:szCs w:val="24"/>
          <w:lang w:val="mk-MK"/>
        </w:rPr>
        <w:t>ризик</w:t>
      </w:r>
      <w:r w:rsidRPr="001C5B17">
        <w:rPr>
          <w:rFonts w:ascii="Times New Roman" w:hAnsi="Times New Roman"/>
          <w:sz w:val="24"/>
          <w:szCs w:val="24"/>
          <w:lang w:val="mk-MK"/>
        </w:rPr>
        <w:t xml:space="preserve"> и </w:t>
      </w:r>
      <w:r>
        <w:rPr>
          <w:rFonts w:ascii="Times New Roman" w:hAnsi="Times New Roman"/>
          <w:sz w:val="24"/>
          <w:szCs w:val="24"/>
          <w:lang w:val="mk-MK"/>
        </w:rPr>
        <w:t>следење на</w:t>
      </w:r>
      <w:r w:rsidRPr="001C5B17">
        <w:rPr>
          <w:rFonts w:ascii="Times New Roman" w:hAnsi="Times New Roman"/>
          <w:sz w:val="24"/>
          <w:szCs w:val="24"/>
          <w:lang w:val="mk-MK"/>
        </w:rPr>
        <w:t xml:space="preserve"> </w:t>
      </w:r>
      <w:r>
        <w:rPr>
          <w:rFonts w:ascii="Times New Roman" w:hAnsi="Times New Roman"/>
          <w:sz w:val="24"/>
          <w:szCs w:val="24"/>
          <w:lang w:val="mk-MK"/>
        </w:rPr>
        <w:t>профилот на ризик</w:t>
      </w:r>
      <w:r w:rsidRPr="001C5B17">
        <w:rPr>
          <w:rFonts w:ascii="Times New Roman" w:hAnsi="Times New Roman"/>
          <w:sz w:val="24"/>
          <w:szCs w:val="24"/>
          <w:lang w:val="mk-MK"/>
        </w:rPr>
        <w:t xml:space="preserve">. </w:t>
      </w:r>
      <w:r>
        <w:rPr>
          <w:rFonts w:ascii="Times New Roman" w:hAnsi="Times New Roman"/>
          <w:sz w:val="24"/>
          <w:szCs w:val="24"/>
          <w:lang w:val="mk-MK"/>
        </w:rPr>
        <w:t>Внатрешната ревизија</w:t>
      </w:r>
      <w:r w:rsidRPr="001C5B17">
        <w:rPr>
          <w:rFonts w:ascii="Times New Roman" w:hAnsi="Times New Roman"/>
          <w:sz w:val="24"/>
          <w:szCs w:val="24"/>
          <w:lang w:val="mk-MK"/>
        </w:rPr>
        <w:t xml:space="preserve"> (</w:t>
      </w:r>
      <w:r>
        <w:rPr>
          <w:rFonts w:ascii="Times New Roman" w:hAnsi="Times New Roman"/>
          <w:sz w:val="24"/>
          <w:szCs w:val="24"/>
          <w:lang w:val="mk-MK"/>
        </w:rPr>
        <w:t>трета линија</w:t>
      </w:r>
      <w:r w:rsidRPr="001C5B17">
        <w:rPr>
          <w:rFonts w:ascii="Times New Roman" w:hAnsi="Times New Roman"/>
          <w:sz w:val="24"/>
          <w:szCs w:val="24"/>
          <w:lang w:val="mk-MK"/>
        </w:rPr>
        <w:t xml:space="preserve">) </w:t>
      </w:r>
      <w:r>
        <w:rPr>
          <w:rFonts w:ascii="Times New Roman" w:hAnsi="Times New Roman"/>
          <w:sz w:val="24"/>
          <w:szCs w:val="24"/>
          <w:lang w:val="mk-MK"/>
        </w:rPr>
        <w:t>обезбедува</w:t>
      </w:r>
      <w:r w:rsidRPr="001C5B17">
        <w:rPr>
          <w:rFonts w:ascii="Times New Roman" w:hAnsi="Times New Roman"/>
          <w:sz w:val="24"/>
          <w:szCs w:val="24"/>
          <w:lang w:val="mk-MK"/>
        </w:rPr>
        <w:t xml:space="preserve"> </w:t>
      </w:r>
      <w:r>
        <w:rPr>
          <w:rFonts w:ascii="Times New Roman" w:hAnsi="Times New Roman"/>
          <w:sz w:val="24"/>
          <w:szCs w:val="24"/>
          <w:lang w:val="mk-MK"/>
        </w:rPr>
        <w:t>независна контрола</w:t>
      </w:r>
      <w:r w:rsidRPr="001C5B17">
        <w:rPr>
          <w:rFonts w:ascii="Times New Roman" w:hAnsi="Times New Roman"/>
          <w:sz w:val="24"/>
          <w:szCs w:val="24"/>
          <w:lang w:val="mk-MK"/>
        </w:rPr>
        <w:t xml:space="preserve">, </w:t>
      </w:r>
      <w:r>
        <w:rPr>
          <w:rFonts w:ascii="Times New Roman" w:hAnsi="Times New Roman"/>
          <w:sz w:val="24"/>
          <w:szCs w:val="24"/>
          <w:lang w:val="mk-MK"/>
        </w:rPr>
        <w:t>совети</w:t>
      </w:r>
      <w:r w:rsidRPr="001C5B17">
        <w:rPr>
          <w:rFonts w:ascii="Times New Roman" w:hAnsi="Times New Roman"/>
          <w:sz w:val="24"/>
          <w:szCs w:val="24"/>
          <w:lang w:val="mk-MK"/>
        </w:rPr>
        <w:t xml:space="preserve"> и </w:t>
      </w:r>
      <w:r>
        <w:rPr>
          <w:rFonts w:ascii="Times New Roman" w:hAnsi="Times New Roman"/>
          <w:sz w:val="24"/>
          <w:szCs w:val="24"/>
          <w:lang w:val="mk-MK"/>
        </w:rPr>
        <w:t>увид</w:t>
      </w:r>
      <w:r w:rsidRPr="001C5B17">
        <w:rPr>
          <w:rFonts w:ascii="Times New Roman" w:hAnsi="Times New Roman"/>
          <w:sz w:val="24"/>
          <w:szCs w:val="24"/>
          <w:lang w:val="mk-MK"/>
        </w:rPr>
        <w:t xml:space="preserve"> </w:t>
      </w:r>
      <w:r>
        <w:rPr>
          <w:rFonts w:ascii="Times New Roman" w:hAnsi="Times New Roman"/>
          <w:sz w:val="24"/>
          <w:szCs w:val="24"/>
          <w:lang w:val="mk-MK"/>
        </w:rPr>
        <w:t>во</w:t>
      </w:r>
      <w:r w:rsidRPr="001C5B17">
        <w:rPr>
          <w:rFonts w:ascii="Times New Roman" w:hAnsi="Times New Roman"/>
          <w:sz w:val="24"/>
          <w:szCs w:val="24"/>
          <w:lang w:val="mk-MK"/>
        </w:rPr>
        <w:t xml:space="preserve"> </w:t>
      </w:r>
      <w:r>
        <w:rPr>
          <w:rFonts w:ascii="Times New Roman" w:hAnsi="Times New Roman"/>
          <w:sz w:val="24"/>
          <w:szCs w:val="24"/>
          <w:lang w:val="mk-MK"/>
        </w:rPr>
        <w:t>квалитетот</w:t>
      </w:r>
      <w:r w:rsidRPr="001C5B17">
        <w:rPr>
          <w:rFonts w:ascii="Times New Roman" w:hAnsi="Times New Roman"/>
          <w:sz w:val="24"/>
          <w:szCs w:val="24"/>
          <w:lang w:val="mk-MK"/>
        </w:rPr>
        <w:t xml:space="preserve"> и </w:t>
      </w:r>
      <w:r>
        <w:rPr>
          <w:rFonts w:ascii="Times New Roman" w:hAnsi="Times New Roman"/>
          <w:sz w:val="24"/>
          <w:szCs w:val="24"/>
          <w:lang w:val="mk-MK"/>
        </w:rPr>
        <w:t>ефективноста</w:t>
      </w:r>
      <w:r w:rsidRPr="001C5B17">
        <w:rPr>
          <w:rFonts w:ascii="Times New Roman" w:hAnsi="Times New Roman"/>
          <w:sz w:val="24"/>
          <w:szCs w:val="24"/>
          <w:lang w:val="mk-MK"/>
        </w:rPr>
        <w:t xml:space="preserve"> </w:t>
      </w:r>
      <w:r>
        <w:rPr>
          <w:rFonts w:ascii="Times New Roman" w:hAnsi="Times New Roman"/>
          <w:sz w:val="24"/>
          <w:szCs w:val="24"/>
          <w:lang w:val="mk-MK"/>
        </w:rPr>
        <w:t>на</w:t>
      </w:r>
      <w:r w:rsidRPr="001C5B17">
        <w:rPr>
          <w:rFonts w:ascii="Times New Roman" w:hAnsi="Times New Roman"/>
          <w:sz w:val="24"/>
          <w:szCs w:val="24"/>
          <w:lang w:val="mk-MK"/>
        </w:rPr>
        <w:t xml:space="preserve"> </w:t>
      </w:r>
      <w:r>
        <w:rPr>
          <w:rFonts w:ascii="Times New Roman" w:hAnsi="Times New Roman"/>
          <w:sz w:val="24"/>
          <w:szCs w:val="24"/>
          <w:lang w:val="mk-MK"/>
        </w:rPr>
        <w:t>внатрешните контроли</w:t>
      </w:r>
      <w:r w:rsidRPr="001C5B17">
        <w:rPr>
          <w:rFonts w:ascii="Times New Roman" w:hAnsi="Times New Roman"/>
          <w:sz w:val="24"/>
          <w:szCs w:val="24"/>
          <w:lang w:val="mk-MK"/>
        </w:rPr>
        <w:t xml:space="preserve">, </w:t>
      </w:r>
      <w:r>
        <w:rPr>
          <w:rFonts w:ascii="Times New Roman" w:hAnsi="Times New Roman"/>
          <w:sz w:val="24"/>
          <w:szCs w:val="24"/>
          <w:lang w:val="mk-MK"/>
        </w:rPr>
        <w:t>управувањето со ризиците</w:t>
      </w:r>
      <w:r w:rsidRPr="001C5B17">
        <w:rPr>
          <w:rFonts w:ascii="Times New Roman" w:hAnsi="Times New Roman"/>
          <w:sz w:val="24"/>
          <w:szCs w:val="24"/>
          <w:lang w:val="mk-MK"/>
        </w:rPr>
        <w:t xml:space="preserve">, </w:t>
      </w:r>
      <w:r>
        <w:rPr>
          <w:rFonts w:ascii="Times New Roman" w:hAnsi="Times New Roman"/>
          <w:sz w:val="24"/>
          <w:szCs w:val="24"/>
          <w:lang w:val="mk-MK"/>
        </w:rPr>
        <w:t>усогласеноста со прописите</w:t>
      </w:r>
      <w:r w:rsidRPr="001C5B17">
        <w:rPr>
          <w:rFonts w:ascii="Times New Roman" w:hAnsi="Times New Roman"/>
          <w:sz w:val="24"/>
          <w:szCs w:val="24"/>
          <w:lang w:val="mk-MK"/>
        </w:rPr>
        <w:t xml:space="preserve"> и </w:t>
      </w:r>
      <w:r>
        <w:rPr>
          <w:rFonts w:ascii="Times New Roman" w:hAnsi="Times New Roman"/>
          <w:sz w:val="24"/>
          <w:szCs w:val="24"/>
          <w:lang w:val="mk-MK"/>
        </w:rPr>
        <w:t>управувањето</w:t>
      </w:r>
      <w:r w:rsidRPr="001C5B17">
        <w:rPr>
          <w:rFonts w:ascii="Times New Roman" w:hAnsi="Times New Roman"/>
          <w:sz w:val="24"/>
          <w:szCs w:val="24"/>
          <w:lang w:val="mk-MK"/>
        </w:rPr>
        <w:t xml:space="preserve"> </w:t>
      </w:r>
      <w:r>
        <w:rPr>
          <w:rFonts w:ascii="Times New Roman" w:hAnsi="Times New Roman"/>
          <w:sz w:val="24"/>
          <w:szCs w:val="24"/>
          <w:lang w:val="mk-MK"/>
        </w:rPr>
        <w:t>со</w:t>
      </w:r>
      <w:r w:rsidRPr="001C5B17">
        <w:rPr>
          <w:rFonts w:ascii="Times New Roman" w:hAnsi="Times New Roman"/>
          <w:sz w:val="24"/>
          <w:szCs w:val="24"/>
          <w:lang w:val="mk-MK"/>
        </w:rPr>
        <w:t xml:space="preserve"> </w:t>
      </w:r>
      <w:r>
        <w:rPr>
          <w:rFonts w:ascii="Times New Roman" w:hAnsi="Times New Roman"/>
          <w:sz w:val="24"/>
          <w:szCs w:val="24"/>
          <w:lang w:val="mk-MK"/>
        </w:rPr>
        <w:t>Банката</w:t>
      </w:r>
      <w:r w:rsidRPr="001C5B17">
        <w:rPr>
          <w:rFonts w:ascii="Times New Roman" w:hAnsi="Times New Roman"/>
          <w:sz w:val="24"/>
          <w:szCs w:val="24"/>
          <w:lang w:val="mk-MK"/>
        </w:rPr>
        <w:t>.</w:t>
      </w:r>
    </w:p>
    <w:p w14:paraId="0433F0C3" w14:textId="77777777" w:rsidR="00025E8C" w:rsidRPr="001C5B17" w:rsidRDefault="00025E8C" w:rsidP="00025E8C">
      <w:pPr>
        <w:spacing w:before="200"/>
        <w:jc w:val="both"/>
        <w:rPr>
          <w:rFonts w:ascii="Times New Roman" w:hAnsi="Times New Roman"/>
          <w:sz w:val="24"/>
          <w:szCs w:val="24"/>
          <w:lang w:val="mk-MK"/>
        </w:rPr>
      </w:pPr>
      <w:r>
        <w:rPr>
          <w:rFonts w:ascii="Times New Roman" w:hAnsi="Times New Roman"/>
          <w:sz w:val="24"/>
          <w:szCs w:val="24"/>
          <w:lang w:val="mk-MK"/>
        </w:rPr>
        <w:t>Функцијата за управување со ризици</w:t>
      </w:r>
      <w:r w:rsidRPr="001C5B17">
        <w:rPr>
          <w:rFonts w:ascii="Times New Roman" w:hAnsi="Times New Roman"/>
          <w:sz w:val="24"/>
          <w:szCs w:val="24"/>
          <w:lang w:val="mk-MK"/>
        </w:rPr>
        <w:t xml:space="preserve"> </w:t>
      </w:r>
      <w:r>
        <w:rPr>
          <w:rFonts w:ascii="Times New Roman" w:hAnsi="Times New Roman"/>
          <w:sz w:val="24"/>
          <w:szCs w:val="24"/>
          <w:lang w:val="mk-MK"/>
        </w:rPr>
        <w:t>на</w:t>
      </w:r>
      <w:r w:rsidRPr="001C5B17">
        <w:rPr>
          <w:rFonts w:ascii="Times New Roman" w:hAnsi="Times New Roman"/>
          <w:sz w:val="24"/>
          <w:szCs w:val="24"/>
          <w:lang w:val="mk-MK"/>
        </w:rPr>
        <w:t xml:space="preserve"> СБ </w:t>
      </w:r>
      <w:r>
        <w:rPr>
          <w:rFonts w:ascii="Times New Roman" w:hAnsi="Times New Roman"/>
          <w:sz w:val="24"/>
          <w:szCs w:val="24"/>
          <w:lang w:val="mk-MK"/>
        </w:rPr>
        <w:t>го</w:t>
      </w:r>
      <w:r w:rsidRPr="001C5B17">
        <w:rPr>
          <w:rFonts w:ascii="Times New Roman" w:hAnsi="Times New Roman"/>
          <w:sz w:val="24"/>
          <w:szCs w:val="24"/>
          <w:lang w:val="mk-MK"/>
        </w:rPr>
        <w:t xml:space="preserve"> </w:t>
      </w:r>
      <w:r>
        <w:rPr>
          <w:rFonts w:ascii="Times New Roman" w:hAnsi="Times New Roman"/>
          <w:sz w:val="24"/>
          <w:szCs w:val="24"/>
          <w:lang w:val="mk-MK"/>
        </w:rPr>
        <w:t>поддржува</w:t>
      </w:r>
      <w:r w:rsidRPr="001C5B17">
        <w:rPr>
          <w:rFonts w:ascii="Times New Roman" w:hAnsi="Times New Roman"/>
          <w:sz w:val="24"/>
          <w:szCs w:val="24"/>
          <w:lang w:val="mk-MK"/>
        </w:rPr>
        <w:t xml:space="preserve"> </w:t>
      </w:r>
      <w:r>
        <w:rPr>
          <w:rFonts w:ascii="Times New Roman" w:hAnsi="Times New Roman"/>
          <w:sz w:val="24"/>
          <w:szCs w:val="24"/>
          <w:lang w:val="mk-MK"/>
        </w:rPr>
        <w:t>Управниот одбор</w:t>
      </w:r>
      <w:r w:rsidRPr="001C5B17">
        <w:rPr>
          <w:rFonts w:ascii="Times New Roman" w:hAnsi="Times New Roman"/>
          <w:sz w:val="24"/>
          <w:szCs w:val="24"/>
          <w:lang w:val="mk-MK"/>
        </w:rPr>
        <w:t xml:space="preserve"> </w:t>
      </w:r>
      <w:r>
        <w:rPr>
          <w:rFonts w:ascii="Times New Roman" w:hAnsi="Times New Roman"/>
          <w:sz w:val="24"/>
          <w:szCs w:val="24"/>
          <w:lang w:val="mk-MK"/>
        </w:rPr>
        <w:t>при</w:t>
      </w:r>
      <w:r w:rsidRPr="001C5B17">
        <w:rPr>
          <w:rFonts w:ascii="Times New Roman" w:hAnsi="Times New Roman"/>
          <w:sz w:val="24"/>
          <w:szCs w:val="24"/>
          <w:lang w:val="mk-MK"/>
        </w:rPr>
        <w:t xml:space="preserve"> </w:t>
      </w:r>
      <w:r>
        <w:rPr>
          <w:rFonts w:ascii="Times New Roman" w:hAnsi="Times New Roman"/>
          <w:sz w:val="24"/>
          <w:szCs w:val="24"/>
          <w:lang w:val="mk-MK"/>
        </w:rPr>
        <w:t>дефинирање на прифатливото ниво на ризик</w:t>
      </w:r>
      <w:r w:rsidRPr="001C5B17">
        <w:rPr>
          <w:rFonts w:ascii="Times New Roman" w:hAnsi="Times New Roman"/>
          <w:sz w:val="24"/>
          <w:szCs w:val="24"/>
          <w:lang w:val="mk-MK"/>
        </w:rPr>
        <w:t xml:space="preserve">, </w:t>
      </w:r>
      <w:r>
        <w:rPr>
          <w:rFonts w:ascii="Times New Roman" w:hAnsi="Times New Roman"/>
          <w:sz w:val="24"/>
          <w:szCs w:val="24"/>
          <w:lang w:val="mk-MK"/>
        </w:rPr>
        <w:t>стратегиите</w:t>
      </w:r>
      <w:r w:rsidRPr="001C5B17">
        <w:rPr>
          <w:rFonts w:ascii="Times New Roman" w:hAnsi="Times New Roman"/>
          <w:sz w:val="24"/>
          <w:szCs w:val="24"/>
          <w:lang w:val="mk-MK"/>
        </w:rPr>
        <w:t xml:space="preserve">, </w:t>
      </w:r>
      <w:r>
        <w:rPr>
          <w:rFonts w:ascii="Times New Roman" w:hAnsi="Times New Roman"/>
          <w:sz w:val="24"/>
          <w:szCs w:val="24"/>
          <w:lang w:val="mk-MK"/>
        </w:rPr>
        <w:t>политиките</w:t>
      </w:r>
      <w:r w:rsidRPr="001C5B17">
        <w:rPr>
          <w:rFonts w:ascii="Times New Roman" w:hAnsi="Times New Roman"/>
          <w:sz w:val="24"/>
          <w:szCs w:val="24"/>
          <w:lang w:val="mk-MK"/>
        </w:rPr>
        <w:t xml:space="preserve"> и </w:t>
      </w:r>
      <w:r>
        <w:rPr>
          <w:rFonts w:ascii="Times New Roman" w:hAnsi="Times New Roman"/>
          <w:sz w:val="24"/>
          <w:szCs w:val="24"/>
          <w:lang w:val="mk-MK"/>
        </w:rPr>
        <w:t>лимитите на изложеност</w:t>
      </w:r>
      <w:r w:rsidRPr="001C5B17">
        <w:rPr>
          <w:rFonts w:ascii="Times New Roman" w:hAnsi="Times New Roman"/>
          <w:sz w:val="24"/>
          <w:szCs w:val="24"/>
          <w:lang w:val="mk-MK"/>
        </w:rPr>
        <w:t xml:space="preserve">. </w:t>
      </w:r>
      <w:r>
        <w:rPr>
          <w:rFonts w:ascii="Times New Roman" w:hAnsi="Times New Roman"/>
          <w:sz w:val="24"/>
          <w:szCs w:val="24"/>
          <w:lang w:val="mk-MK"/>
        </w:rPr>
        <w:t>Исто така, овозможува увид и поддршка за целата Банка за прашања поврзани со ризик.</w:t>
      </w:r>
      <w:r w:rsidRPr="001C5B17">
        <w:rPr>
          <w:rFonts w:ascii="Times New Roman" w:hAnsi="Times New Roman"/>
          <w:sz w:val="24"/>
          <w:szCs w:val="24"/>
          <w:lang w:val="mk-MK"/>
        </w:rPr>
        <w:t xml:space="preserve"> </w:t>
      </w:r>
      <w:r>
        <w:rPr>
          <w:rFonts w:ascii="Times New Roman" w:hAnsi="Times New Roman"/>
          <w:sz w:val="24"/>
          <w:szCs w:val="24"/>
          <w:lang w:val="mk-MK"/>
        </w:rPr>
        <w:t>Главни финансиски ризици за СБ се кредитниот ризик, ликвидносниот ризик и пазарниот ризик</w:t>
      </w:r>
      <w:r w:rsidRPr="001C5B17">
        <w:rPr>
          <w:rFonts w:ascii="Times New Roman" w:hAnsi="Times New Roman"/>
          <w:sz w:val="24"/>
          <w:szCs w:val="24"/>
          <w:lang w:val="mk-MK"/>
        </w:rPr>
        <w:t xml:space="preserve">. </w:t>
      </w:r>
      <w:r>
        <w:rPr>
          <w:rFonts w:ascii="Times New Roman" w:hAnsi="Times New Roman"/>
          <w:sz w:val="24"/>
          <w:szCs w:val="24"/>
          <w:lang w:val="mk-MK"/>
        </w:rPr>
        <w:t>Во</w:t>
      </w:r>
      <w:r w:rsidRPr="001C5B17">
        <w:rPr>
          <w:rFonts w:ascii="Times New Roman" w:hAnsi="Times New Roman"/>
          <w:sz w:val="24"/>
          <w:szCs w:val="24"/>
          <w:lang w:val="mk-MK"/>
        </w:rPr>
        <w:t xml:space="preserve"> </w:t>
      </w:r>
      <w:r>
        <w:rPr>
          <w:rFonts w:ascii="Times New Roman" w:hAnsi="Times New Roman"/>
          <w:sz w:val="24"/>
          <w:szCs w:val="24"/>
          <w:lang w:val="mk-MK"/>
        </w:rPr>
        <w:t>актуелните сложени</w:t>
      </w:r>
      <w:r w:rsidRPr="001C5B17">
        <w:rPr>
          <w:rFonts w:ascii="Times New Roman" w:hAnsi="Times New Roman"/>
          <w:sz w:val="24"/>
          <w:szCs w:val="24"/>
          <w:lang w:val="mk-MK"/>
        </w:rPr>
        <w:t xml:space="preserve"> </w:t>
      </w:r>
      <w:r>
        <w:rPr>
          <w:rFonts w:ascii="Times New Roman" w:hAnsi="Times New Roman"/>
          <w:sz w:val="24"/>
          <w:szCs w:val="24"/>
          <w:lang w:val="mk-MK"/>
        </w:rPr>
        <w:t>деловни</w:t>
      </w:r>
      <w:r w:rsidRPr="001C5B17">
        <w:rPr>
          <w:rFonts w:ascii="Times New Roman" w:hAnsi="Times New Roman"/>
          <w:sz w:val="24"/>
          <w:szCs w:val="24"/>
          <w:lang w:val="mk-MK"/>
        </w:rPr>
        <w:t xml:space="preserve"> </w:t>
      </w:r>
      <w:r>
        <w:rPr>
          <w:rFonts w:ascii="Times New Roman" w:hAnsi="Times New Roman"/>
          <w:sz w:val="24"/>
          <w:szCs w:val="24"/>
          <w:lang w:val="mk-MK"/>
        </w:rPr>
        <w:t>услови</w:t>
      </w:r>
      <w:r w:rsidRPr="001C5B17">
        <w:rPr>
          <w:rFonts w:ascii="Times New Roman" w:hAnsi="Times New Roman"/>
          <w:sz w:val="24"/>
          <w:szCs w:val="24"/>
          <w:lang w:val="mk-MK"/>
        </w:rPr>
        <w:t xml:space="preserve">, СБ е </w:t>
      </w:r>
      <w:r>
        <w:rPr>
          <w:rFonts w:ascii="Times New Roman" w:hAnsi="Times New Roman"/>
          <w:sz w:val="24"/>
          <w:szCs w:val="24"/>
          <w:lang w:val="mk-MK"/>
        </w:rPr>
        <w:t>исто така</w:t>
      </w:r>
      <w:r w:rsidRPr="001C5B17">
        <w:rPr>
          <w:rFonts w:ascii="Times New Roman" w:hAnsi="Times New Roman"/>
          <w:sz w:val="24"/>
          <w:szCs w:val="24"/>
          <w:lang w:val="mk-MK"/>
        </w:rPr>
        <w:t xml:space="preserve"> </w:t>
      </w:r>
      <w:r>
        <w:rPr>
          <w:rFonts w:ascii="Times New Roman" w:hAnsi="Times New Roman"/>
          <w:sz w:val="24"/>
          <w:szCs w:val="24"/>
          <w:lang w:val="mk-MK"/>
        </w:rPr>
        <w:t>изложена</w:t>
      </w:r>
      <w:r w:rsidRPr="001C5B17">
        <w:rPr>
          <w:rFonts w:ascii="Times New Roman" w:hAnsi="Times New Roman"/>
          <w:sz w:val="24"/>
          <w:szCs w:val="24"/>
          <w:lang w:val="mk-MK"/>
        </w:rPr>
        <w:t xml:space="preserve"> </w:t>
      </w:r>
      <w:r>
        <w:rPr>
          <w:rFonts w:ascii="Times New Roman" w:hAnsi="Times New Roman"/>
          <w:sz w:val="24"/>
          <w:szCs w:val="24"/>
          <w:lang w:val="mk-MK"/>
        </w:rPr>
        <w:t>на</w:t>
      </w:r>
      <w:r w:rsidRPr="001C5B17">
        <w:rPr>
          <w:rFonts w:ascii="Times New Roman" w:hAnsi="Times New Roman"/>
          <w:sz w:val="24"/>
          <w:szCs w:val="24"/>
          <w:lang w:val="mk-MK"/>
        </w:rPr>
        <w:t xml:space="preserve"> </w:t>
      </w:r>
      <w:r>
        <w:rPr>
          <w:rFonts w:ascii="Times New Roman" w:hAnsi="Times New Roman"/>
          <w:sz w:val="24"/>
          <w:szCs w:val="24"/>
          <w:lang w:val="mk-MK"/>
        </w:rPr>
        <w:t>нефинансиски ризици</w:t>
      </w:r>
      <w:r w:rsidRPr="001C5B17">
        <w:rPr>
          <w:rFonts w:ascii="Times New Roman" w:hAnsi="Times New Roman"/>
          <w:sz w:val="24"/>
          <w:szCs w:val="24"/>
          <w:lang w:val="mk-MK"/>
        </w:rPr>
        <w:t xml:space="preserve"> </w:t>
      </w:r>
      <w:r>
        <w:rPr>
          <w:rFonts w:ascii="Times New Roman" w:hAnsi="Times New Roman"/>
          <w:sz w:val="24"/>
          <w:szCs w:val="24"/>
          <w:lang w:val="mk-MK"/>
        </w:rPr>
        <w:t>како што се</w:t>
      </w:r>
      <w:r w:rsidRPr="001C5B17">
        <w:rPr>
          <w:rFonts w:ascii="Times New Roman" w:hAnsi="Times New Roman"/>
          <w:sz w:val="24"/>
          <w:szCs w:val="24"/>
          <w:lang w:val="mk-MK"/>
        </w:rPr>
        <w:t xml:space="preserve"> </w:t>
      </w:r>
      <w:r>
        <w:rPr>
          <w:rFonts w:ascii="Times New Roman" w:hAnsi="Times New Roman"/>
          <w:sz w:val="24"/>
          <w:szCs w:val="24"/>
          <w:lang w:val="mk-MK"/>
        </w:rPr>
        <w:t>оперативниот</w:t>
      </w:r>
      <w:r w:rsidRPr="001C5B17">
        <w:rPr>
          <w:rFonts w:ascii="Times New Roman" w:hAnsi="Times New Roman"/>
          <w:sz w:val="24"/>
          <w:szCs w:val="24"/>
          <w:lang w:val="mk-MK"/>
        </w:rPr>
        <w:t xml:space="preserve">, ИТ и </w:t>
      </w:r>
      <w:r>
        <w:rPr>
          <w:rFonts w:ascii="Times New Roman" w:hAnsi="Times New Roman"/>
          <w:sz w:val="24"/>
          <w:szCs w:val="24"/>
          <w:lang w:val="mk-MK"/>
        </w:rPr>
        <w:t>ризикот од неусогласеност со прописите</w:t>
      </w:r>
      <w:r w:rsidRPr="001C5B17">
        <w:rPr>
          <w:rFonts w:ascii="Times New Roman" w:hAnsi="Times New Roman"/>
          <w:sz w:val="24"/>
          <w:szCs w:val="24"/>
          <w:lang w:val="mk-MK"/>
        </w:rPr>
        <w:t xml:space="preserve">. </w:t>
      </w:r>
    </w:p>
    <w:p w14:paraId="57A82707" w14:textId="77777777" w:rsidR="00025E8C" w:rsidRPr="001C5B17" w:rsidRDefault="00025E8C" w:rsidP="00025E8C">
      <w:pPr>
        <w:spacing w:before="200"/>
        <w:jc w:val="both"/>
        <w:rPr>
          <w:rFonts w:ascii="Times New Roman" w:hAnsi="Times New Roman"/>
          <w:sz w:val="24"/>
          <w:szCs w:val="24"/>
          <w:lang w:val="mk-MK"/>
        </w:rPr>
      </w:pPr>
      <w:r w:rsidRPr="001C5B17">
        <w:rPr>
          <w:rFonts w:ascii="Times New Roman" w:hAnsi="Times New Roman"/>
          <w:sz w:val="24"/>
          <w:szCs w:val="24"/>
          <w:lang w:val="mk-MK"/>
        </w:rPr>
        <w:t xml:space="preserve">СБ </w:t>
      </w:r>
      <w:r>
        <w:rPr>
          <w:rFonts w:ascii="Times New Roman" w:hAnsi="Times New Roman"/>
          <w:sz w:val="24"/>
          <w:szCs w:val="24"/>
          <w:lang w:val="mk-MK"/>
        </w:rPr>
        <w:t>има воспоставена рамка</w:t>
      </w:r>
      <w:r w:rsidRPr="001C5B17">
        <w:rPr>
          <w:rFonts w:ascii="Times New Roman" w:hAnsi="Times New Roman"/>
          <w:sz w:val="24"/>
          <w:szCs w:val="24"/>
          <w:lang w:val="mk-MK"/>
        </w:rPr>
        <w:t xml:space="preserve"> </w:t>
      </w:r>
      <w:r>
        <w:rPr>
          <w:rFonts w:ascii="Times New Roman" w:hAnsi="Times New Roman"/>
          <w:sz w:val="24"/>
          <w:szCs w:val="24"/>
          <w:lang w:val="mk-MK"/>
        </w:rPr>
        <w:t>на</w:t>
      </w:r>
      <w:r w:rsidRPr="001C5B17">
        <w:rPr>
          <w:rFonts w:ascii="Times New Roman" w:hAnsi="Times New Roman"/>
          <w:sz w:val="24"/>
          <w:szCs w:val="24"/>
          <w:lang w:val="mk-MK"/>
        </w:rPr>
        <w:t xml:space="preserve"> </w:t>
      </w:r>
      <w:r>
        <w:rPr>
          <w:rFonts w:ascii="Times New Roman" w:hAnsi="Times New Roman"/>
          <w:sz w:val="24"/>
          <w:szCs w:val="24"/>
          <w:lang w:val="mk-MK"/>
        </w:rPr>
        <w:t>политики</w:t>
      </w:r>
      <w:r w:rsidRPr="001C5B17">
        <w:rPr>
          <w:rFonts w:ascii="Times New Roman" w:hAnsi="Times New Roman"/>
          <w:sz w:val="24"/>
          <w:szCs w:val="24"/>
          <w:lang w:val="mk-MK"/>
        </w:rPr>
        <w:t xml:space="preserve">, </w:t>
      </w:r>
      <w:r>
        <w:rPr>
          <w:rFonts w:ascii="Times New Roman" w:hAnsi="Times New Roman"/>
          <w:sz w:val="24"/>
          <w:szCs w:val="24"/>
          <w:lang w:val="mk-MK"/>
        </w:rPr>
        <w:t>процедури</w:t>
      </w:r>
      <w:r w:rsidRPr="001C5B17">
        <w:rPr>
          <w:rFonts w:ascii="Times New Roman" w:hAnsi="Times New Roman"/>
          <w:sz w:val="24"/>
          <w:szCs w:val="24"/>
          <w:lang w:val="mk-MK"/>
        </w:rPr>
        <w:t xml:space="preserve"> и </w:t>
      </w:r>
      <w:r>
        <w:rPr>
          <w:rFonts w:ascii="Times New Roman" w:hAnsi="Times New Roman"/>
          <w:sz w:val="24"/>
          <w:szCs w:val="24"/>
          <w:lang w:val="mk-MK"/>
        </w:rPr>
        <w:t>стандарди</w:t>
      </w:r>
      <w:r w:rsidRPr="001C5B17">
        <w:rPr>
          <w:rFonts w:ascii="Times New Roman" w:hAnsi="Times New Roman"/>
          <w:sz w:val="24"/>
          <w:szCs w:val="24"/>
          <w:lang w:val="mk-MK"/>
        </w:rPr>
        <w:t xml:space="preserve"> </w:t>
      </w:r>
      <w:r>
        <w:rPr>
          <w:rFonts w:ascii="Times New Roman" w:hAnsi="Times New Roman"/>
          <w:sz w:val="24"/>
          <w:szCs w:val="24"/>
          <w:lang w:val="mk-MK"/>
        </w:rPr>
        <w:t>за</w:t>
      </w:r>
      <w:r w:rsidRPr="001C5B17">
        <w:rPr>
          <w:rFonts w:ascii="Times New Roman" w:hAnsi="Times New Roman"/>
          <w:sz w:val="24"/>
          <w:szCs w:val="24"/>
          <w:lang w:val="mk-MK"/>
        </w:rPr>
        <w:t xml:space="preserve"> </w:t>
      </w:r>
      <w:r>
        <w:rPr>
          <w:rFonts w:ascii="Times New Roman" w:hAnsi="Times New Roman"/>
          <w:sz w:val="24"/>
          <w:szCs w:val="24"/>
          <w:lang w:val="mk-MK"/>
        </w:rPr>
        <w:t>управување со ризици</w:t>
      </w:r>
      <w:r w:rsidRPr="001C5B17">
        <w:rPr>
          <w:rFonts w:ascii="Times New Roman" w:hAnsi="Times New Roman"/>
          <w:sz w:val="24"/>
          <w:szCs w:val="24"/>
          <w:lang w:val="mk-MK"/>
        </w:rPr>
        <w:t xml:space="preserve"> </w:t>
      </w:r>
      <w:r>
        <w:rPr>
          <w:rFonts w:ascii="Times New Roman" w:hAnsi="Times New Roman"/>
          <w:sz w:val="24"/>
          <w:szCs w:val="24"/>
          <w:lang w:val="mk-MK"/>
        </w:rPr>
        <w:t>за да создаде</w:t>
      </w:r>
      <w:r w:rsidRPr="001C5B17">
        <w:rPr>
          <w:rFonts w:ascii="Times New Roman" w:hAnsi="Times New Roman"/>
          <w:sz w:val="24"/>
          <w:szCs w:val="24"/>
          <w:lang w:val="mk-MK"/>
        </w:rPr>
        <w:t xml:space="preserve"> </w:t>
      </w:r>
      <w:r>
        <w:rPr>
          <w:rFonts w:ascii="Times New Roman" w:hAnsi="Times New Roman"/>
          <w:sz w:val="24"/>
          <w:szCs w:val="24"/>
          <w:lang w:val="mk-MK"/>
        </w:rPr>
        <w:t>конзистентност</w:t>
      </w:r>
      <w:r w:rsidRPr="001C5B17">
        <w:rPr>
          <w:rFonts w:ascii="Times New Roman" w:hAnsi="Times New Roman"/>
          <w:sz w:val="24"/>
          <w:szCs w:val="24"/>
          <w:lang w:val="mk-MK"/>
        </w:rPr>
        <w:t xml:space="preserve"> </w:t>
      </w:r>
      <w:r>
        <w:rPr>
          <w:rFonts w:ascii="Times New Roman" w:hAnsi="Times New Roman"/>
          <w:sz w:val="24"/>
          <w:szCs w:val="24"/>
          <w:lang w:val="mk-MK"/>
        </w:rPr>
        <w:t>низ</w:t>
      </w:r>
      <w:r w:rsidRPr="001C5B17">
        <w:rPr>
          <w:rFonts w:ascii="Times New Roman" w:hAnsi="Times New Roman"/>
          <w:sz w:val="24"/>
          <w:szCs w:val="24"/>
          <w:lang w:val="mk-MK"/>
        </w:rPr>
        <w:t xml:space="preserve"> </w:t>
      </w:r>
      <w:r>
        <w:rPr>
          <w:rFonts w:ascii="Times New Roman" w:hAnsi="Times New Roman"/>
          <w:sz w:val="24"/>
          <w:szCs w:val="24"/>
          <w:lang w:val="mk-MK"/>
        </w:rPr>
        <w:t>целата организација</w:t>
      </w:r>
      <w:r w:rsidRPr="001C5B17">
        <w:rPr>
          <w:rFonts w:ascii="Times New Roman" w:hAnsi="Times New Roman"/>
          <w:sz w:val="24"/>
          <w:szCs w:val="24"/>
          <w:lang w:val="mk-MK"/>
        </w:rPr>
        <w:t xml:space="preserve"> и </w:t>
      </w:r>
      <w:r>
        <w:rPr>
          <w:rFonts w:ascii="Times New Roman" w:hAnsi="Times New Roman"/>
          <w:sz w:val="24"/>
          <w:szCs w:val="24"/>
          <w:lang w:val="mk-MK"/>
        </w:rPr>
        <w:t>да</w:t>
      </w:r>
      <w:r w:rsidRPr="001C5B17">
        <w:rPr>
          <w:rFonts w:ascii="Times New Roman" w:hAnsi="Times New Roman"/>
          <w:sz w:val="24"/>
          <w:szCs w:val="24"/>
          <w:lang w:val="mk-MK"/>
        </w:rPr>
        <w:t xml:space="preserve"> </w:t>
      </w:r>
      <w:r>
        <w:rPr>
          <w:rFonts w:ascii="Times New Roman" w:hAnsi="Times New Roman"/>
          <w:sz w:val="24"/>
          <w:szCs w:val="24"/>
          <w:lang w:val="mk-MK"/>
        </w:rPr>
        <w:t>дефинира</w:t>
      </w:r>
      <w:r w:rsidRPr="001C5B17">
        <w:rPr>
          <w:rFonts w:ascii="Times New Roman" w:hAnsi="Times New Roman"/>
          <w:sz w:val="24"/>
          <w:szCs w:val="24"/>
          <w:lang w:val="mk-MK"/>
        </w:rPr>
        <w:t xml:space="preserve"> </w:t>
      </w:r>
      <w:r>
        <w:rPr>
          <w:rFonts w:ascii="Times New Roman" w:hAnsi="Times New Roman"/>
          <w:sz w:val="24"/>
          <w:szCs w:val="24"/>
          <w:lang w:val="mk-MK"/>
        </w:rPr>
        <w:t>барања</w:t>
      </w:r>
      <w:r w:rsidRPr="001C5B17">
        <w:rPr>
          <w:rFonts w:ascii="Times New Roman" w:hAnsi="Times New Roman"/>
          <w:sz w:val="24"/>
          <w:szCs w:val="24"/>
          <w:lang w:val="mk-MK"/>
        </w:rPr>
        <w:t xml:space="preserve"> </w:t>
      </w:r>
      <w:r>
        <w:rPr>
          <w:rFonts w:ascii="Times New Roman" w:hAnsi="Times New Roman"/>
          <w:sz w:val="24"/>
          <w:szCs w:val="24"/>
          <w:lang w:val="mk-MK"/>
        </w:rPr>
        <w:t>што се</w:t>
      </w:r>
      <w:r w:rsidRPr="001C5B17">
        <w:rPr>
          <w:rFonts w:ascii="Times New Roman" w:hAnsi="Times New Roman"/>
          <w:sz w:val="24"/>
          <w:szCs w:val="24"/>
          <w:lang w:val="mk-MK"/>
        </w:rPr>
        <w:t xml:space="preserve"> </w:t>
      </w:r>
      <w:r>
        <w:rPr>
          <w:rFonts w:ascii="Times New Roman" w:hAnsi="Times New Roman"/>
          <w:sz w:val="24"/>
          <w:szCs w:val="24"/>
          <w:lang w:val="mk-MK"/>
        </w:rPr>
        <w:t>задолжителни</w:t>
      </w:r>
      <w:r w:rsidRPr="001C5B17">
        <w:rPr>
          <w:rFonts w:ascii="Times New Roman" w:hAnsi="Times New Roman"/>
          <w:sz w:val="24"/>
          <w:szCs w:val="24"/>
          <w:lang w:val="mk-MK"/>
        </w:rPr>
        <w:t xml:space="preserve"> </w:t>
      </w:r>
      <w:r>
        <w:rPr>
          <w:rFonts w:ascii="Times New Roman" w:hAnsi="Times New Roman"/>
          <w:sz w:val="24"/>
          <w:szCs w:val="24"/>
          <w:lang w:val="mk-MK"/>
        </w:rPr>
        <w:t>за</w:t>
      </w:r>
      <w:r w:rsidRPr="001C5B17">
        <w:rPr>
          <w:rFonts w:ascii="Times New Roman" w:hAnsi="Times New Roman"/>
          <w:sz w:val="24"/>
          <w:szCs w:val="24"/>
          <w:lang w:val="mk-MK"/>
        </w:rPr>
        <w:t xml:space="preserve"> </w:t>
      </w:r>
      <w:r>
        <w:rPr>
          <w:rFonts w:ascii="Times New Roman" w:hAnsi="Times New Roman"/>
          <w:sz w:val="24"/>
          <w:szCs w:val="24"/>
          <w:lang w:val="mk-MK"/>
        </w:rPr>
        <w:t>сите</w:t>
      </w:r>
      <w:r w:rsidRPr="001C5B17">
        <w:rPr>
          <w:rFonts w:ascii="Times New Roman" w:hAnsi="Times New Roman"/>
          <w:sz w:val="24"/>
          <w:szCs w:val="24"/>
          <w:lang w:val="mk-MK"/>
        </w:rPr>
        <w:t xml:space="preserve"> </w:t>
      </w:r>
      <w:r>
        <w:rPr>
          <w:rFonts w:ascii="Times New Roman" w:hAnsi="Times New Roman"/>
          <w:sz w:val="24"/>
          <w:szCs w:val="24"/>
          <w:lang w:val="mk-MK"/>
        </w:rPr>
        <w:t>деловни</w:t>
      </w:r>
      <w:r w:rsidRPr="001C5B17">
        <w:rPr>
          <w:rFonts w:ascii="Times New Roman" w:hAnsi="Times New Roman"/>
          <w:sz w:val="24"/>
          <w:szCs w:val="24"/>
          <w:lang w:val="mk-MK"/>
        </w:rPr>
        <w:t xml:space="preserve"> </w:t>
      </w:r>
      <w:r>
        <w:rPr>
          <w:rFonts w:ascii="Times New Roman" w:hAnsi="Times New Roman"/>
          <w:sz w:val="24"/>
          <w:szCs w:val="24"/>
          <w:lang w:val="mk-MK"/>
        </w:rPr>
        <w:t>единици</w:t>
      </w:r>
      <w:r w:rsidRPr="001C5B17">
        <w:rPr>
          <w:rFonts w:ascii="Times New Roman" w:hAnsi="Times New Roman"/>
          <w:sz w:val="24"/>
          <w:szCs w:val="24"/>
          <w:lang w:val="mk-MK"/>
        </w:rPr>
        <w:t xml:space="preserve">. </w:t>
      </w:r>
      <w:r w:rsidR="002968D8">
        <w:rPr>
          <w:rFonts w:ascii="Times New Roman" w:hAnsi="Times New Roman"/>
          <w:sz w:val="24"/>
          <w:szCs w:val="24"/>
          <w:lang w:val="mk-MK"/>
        </w:rPr>
        <w:t>Сениор м</w:t>
      </w:r>
      <w:r>
        <w:rPr>
          <w:rFonts w:ascii="Times New Roman" w:hAnsi="Times New Roman"/>
          <w:sz w:val="24"/>
          <w:szCs w:val="24"/>
          <w:lang w:val="mk-MK"/>
        </w:rPr>
        <w:t>енаџментот на Банката</w:t>
      </w:r>
      <w:r w:rsidRPr="001C5B17">
        <w:rPr>
          <w:rFonts w:ascii="Times New Roman" w:hAnsi="Times New Roman"/>
          <w:sz w:val="24"/>
          <w:szCs w:val="24"/>
          <w:lang w:val="mk-MK"/>
        </w:rPr>
        <w:t xml:space="preserve"> е </w:t>
      </w:r>
      <w:r>
        <w:rPr>
          <w:rFonts w:ascii="Times New Roman" w:hAnsi="Times New Roman"/>
          <w:sz w:val="24"/>
          <w:szCs w:val="24"/>
          <w:lang w:val="mk-MK"/>
        </w:rPr>
        <w:t>одговорен</w:t>
      </w:r>
      <w:r w:rsidRPr="001C5B17">
        <w:rPr>
          <w:rFonts w:ascii="Times New Roman" w:hAnsi="Times New Roman"/>
          <w:sz w:val="24"/>
          <w:szCs w:val="24"/>
          <w:lang w:val="mk-MK"/>
        </w:rPr>
        <w:t xml:space="preserve"> </w:t>
      </w:r>
      <w:r>
        <w:rPr>
          <w:rFonts w:ascii="Times New Roman" w:hAnsi="Times New Roman"/>
          <w:sz w:val="24"/>
          <w:szCs w:val="24"/>
          <w:lang w:val="mk-MK"/>
        </w:rPr>
        <w:t>за</w:t>
      </w:r>
      <w:r w:rsidRPr="001C5B17">
        <w:rPr>
          <w:rFonts w:ascii="Times New Roman" w:hAnsi="Times New Roman"/>
          <w:sz w:val="24"/>
          <w:szCs w:val="24"/>
          <w:lang w:val="mk-MK"/>
        </w:rPr>
        <w:t xml:space="preserve"> </w:t>
      </w:r>
      <w:r>
        <w:rPr>
          <w:rFonts w:ascii="Times New Roman" w:hAnsi="Times New Roman"/>
          <w:sz w:val="24"/>
          <w:szCs w:val="24"/>
          <w:lang w:val="mk-MK"/>
        </w:rPr>
        <w:t>спроведување</w:t>
      </w:r>
      <w:r w:rsidRPr="001C5B17">
        <w:rPr>
          <w:rFonts w:ascii="Times New Roman" w:hAnsi="Times New Roman"/>
          <w:sz w:val="24"/>
          <w:szCs w:val="24"/>
          <w:lang w:val="mk-MK"/>
        </w:rPr>
        <w:t xml:space="preserve"> и </w:t>
      </w:r>
      <w:r>
        <w:rPr>
          <w:rFonts w:ascii="Times New Roman" w:hAnsi="Times New Roman"/>
          <w:sz w:val="24"/>
          <w:szCs w:val="24"/>
          <w:lang w:val="mk-MK"/>
        </w:rPr>
        <w:t>за</w:t>
      </w:r>
      <w:r w:rsidRPr="001C5B17">
        <w:rPr>
          <w:rFonts w:ascii="Times New Roman" w:hAnsi="Times New Roman"/>
          <w:sz w:val="24"/>
          <w:szCs w:val="24"/>
          <w:lang w:val="mk-MK"/>
        </w:rPr>
        <w:t xml:space="preserve"> </w:t>
      </w:r>
      <w:r>
        <w:rPr>
          <w:rFonts w:ascii="Times New Roman" w:hAnsi="Times New Roman"/>
          <w:sz w:val="24"/>
          <w:szCs w:val="24"/>
          <w:lang w:val="mk-MK"/>
        </w:rPr>
        <w:t>придржување</w:t>
      </w:r>
      <w:r w:rsidRPr="001C5B17">
        <w:rPr>
          <w:rFonts w:ascii="Times New Roman" w:hAnsi="Times New Roman"/>
          <w:sz w:val="24"/>
          <w:szCs w:val="24"/>
          <w:lang w:val="mk-MK"/>
        </w:rPr>
        <w:t xml:space="preserve"> </w:t>
      </w:r>
      <w:r>
        <w:rPr>
          <w:rFonts w:ascii="Times New Roman" w:hAnsi="Times New Roman"/>
          <w:sz w:val="24"/>
          <w:szCs w:val="24"/>
          <w:lang w:val="mk-MK"/>
        </w:rPr>
        <w:t>до</w:t>
      </w:r>
      <w:r w:rsidRPr="001C5B17">
        <w:rPr>
          <w:rFonts w:ascii="Times New Roman" w:hAnsi="Times New Roman"/>
          <w:sz w:val="24"/>
          <w:szCs w:val="24"/>
          <w:lang w:val="mk-MK"/>
        </w:rPr>
        <w:t xml:space="preserve"> </w:t>
      </w:r>
      <w:r>
        <w:rPr>
          <w:rFonts w:ascii="Times New Roman" w:hAnsi="Times New Roman"/>
          <w:sz w:val="24"/>
          <w:szCs w:val="24"/>
          <w:lang w:val="mk-MK"/>
        </w:rPr>
        <w:t>политиките</w:t>
      </w:r>
      <w:r w:rsidRPr="001C5B17">
        <w:rPr>
          <w:rFonts w:ascii="Times New Roman" w:hAnsi="Times New Roman"/>
          <w:sz w:val="24"/>
          <w:szCs w:val="24"/>
          <w:lang w:val="mk-MK"/>
        </w:rPr>
        <w:t xml:space="preserve">, </w:t>
      </w:r>
      <w:r>
        <w:rPr>
          <w:rFonts w:ascii="Times New Roman" w:hAnsi="Times New Roman"/>
          <w:sz w:val="24"/>
          <w:szCs w:val="24"/>
          <w:lang w:val="mk-MK"/>
        </w:rPr>
        <w:t>процедурите</w:t>
      </w:r>
      <w:r w:rsidRPr="001C5B17">
        <w:rPr>
          <w:rFonts w:ascii="Times New Roman" w:hAnsi="Times New Roman"/>
          <w:sz w:val="24"/>
          <w:szCs w:val="24"/>
          <w:lang w:val="mk-MK"/>
        </w:rPr>
        <w:t xml:space="preserve"> и </w:t>
      </w:r>
      <w:r>
        <w:rPr>
          <w:rFonts w:ascii="Times New Roman" w:hAnsi="Times New Roman"/>
          <w:sz w:val="24"/>
          <w:szCs w:val="24"/>
          <w:lang w:val="mk-MK"/>
        </w:rPr>
        <w:t>стандардите</w:t>
      </w:r>
      <w:r w:rsidRPr="001C5B17">
        <w:rPr>
          <w:rFonts w:ascii="Times New Roman" w:hAnsi="Times New Roman"/>
          <w:sz w:val="24"/>
          <w:szCs w:val="24"/>
          <w:lang w:val="mk-MK"/>
        </w:rPr>
        <w:t xml:space="preserve">. </w:t>
      </w:r>
      <w:r>
        <w:rPr>
          <w:rFonts w:ascii="Times New Roman" w:hAnsi="Times New Roman"/>
          <w:sz w:val="24"/>
          <w:szCs w:val="24"/>
          <w:lang w:val="mk-MK"/>
        </w:rPr>
        <w:t>Политиките</w:t>
      </w:r>
      <w:r w:rsidRPr="001C5B17">
        <w:rPr>
          <w:rFonts w:ascii="Times New Roman" w:hAnsi="Times New Roman"/>
          <w:sz w:val="24"/>
          <w:szCs w:val="24"/>
          <w:lang w:val="mk-MK"/>
        </w:rPr>
        <w:t xml:space="preserve">, </w:t>
      </w:r>
      <w:r>
        <w:rPr>
          <w:rFonts w:ascii="Times New Roman" w:hAnsi="Times New Roman"/>
          <w:sz w:val="24"/>
          <w:szCs w:val="24"/>
          <w:lang w:val="mk-MK"/>
        </w:rPr>
        <w:t>процедурите</w:t>
      </w:r>
      <w:r w:rsidRPr="001C5B17">
        <w:rPr>
          <w:rFonts w:ascii="Times New Roman" w:hAnsi="Times New Roman"/>
          <w:sz w:val="24"/>
          <w:szCs w:val="24"/>
          <w:lang w:val="mk-MK"/>
        </w:rPr>
        <w:t xml:space="preserve"> и </w:t>
      </w:r>
      <w:r>
        <w:rPr>
          <w:rFonts w:ascii="Times New Roman" w:hAnsi="Times New Roman"/>
          <w:sz w:val="24"/>
          <w:szCs w:val="24"/>
          <w:lang w:val="mk-MK"/>
        </w:rPr>
        <w:t>стандардите</w:t>
      </w:r>
      <w:r w:rsidRPr="001C5B17">
        <w:rPr>
          <w:rFonts w:ascii="Times New Roman" w:hAnsi="Times New Roman"/>
          <w:sz w:val="24"/>
          <w:szCs w:val="24"/>
          <w:lang w:val="mk-MK"/>
        </w:rPr>
        <w:t xml:space="preserve"> </w:t>
      </w:r>
      <w:r>
        <w:rPr>
          <w:rFonts w:ascii="Times New Roman" w:hAnsi="Times New Roman"/>
          <w:sz w:val="24"/>
          <w:szCs w:val="24"/>
          <w:lang w:val="mk-MK"/>
        </w:rPr>
        <w:t>редовно</w:t>
      </w:r>
      <w:r w:rsidRPr="001C5B17">
        <w:rPr>
          <w:rFonts w:ascii="Times New Roman" w:hAnsi="Times New Roman"/>
          <w:sz w:val="24"/>
          <w:szCs w:val="24"/>
          <w:lang w:val="mk-MK"/>
        </w:rPr>
        <w:t xml:space="preserve"> </w:t>
      </w:r>
      <w:r>
        <w:rPr>
          <w:rFonts w:ascii="Times New Roman" w:hAnsi="Times New Roman"/>
          <w:sz w:val="24"/>
          <w:szCs w:val="24"/>
          <w:lang w:val="mk-MK"/>
        </w:rPr>
        <w:t>се</w:t>
      </w:r>
      <w:r w:rsidRPr="001C5B17">
        <w:rPr>
          <w:rFonts w:ascii="Times New Roman" w:hAnsi="Times New Roman"/>
          <w:sz w:val="24"/>
          <w:szCs w:val="24"/>
          <w:lang w:val="mk-MK"/>
        </w:rPr>
        <w:t xml:space="preserve"> </w:t>
      </w:r>
      <w:r>
        <w:rPr>
          <w:rFonts w:ascii="Times New Roman" w:hAnsi="Times New Roman"/>
          <w:sz w:val="24"/>
          <w:szCs w:val="24"/>
          <w:lang w:val="mk-MK"/>
        </w:rPr>
        <w:t>ревидираат</w:t>
      </w:r>
      <w:r w:rsidRPr="001C5B17">
        <w:rPr>
          <w:rFonts w:ascii="Times New Roman" w:hAnsi="Times New Roman"/>
          <w:sz w:val="24"/>
          <w:szCs w:val="24"/>
          <w:lang w:val="mk-MK"/>
        </w:rPr>
        <w:t xml:space="preserve"> и </w:t>
      </w:r>
      <w:r>
        <w:rPr>
          <w:rFonts w:ascii="Times New Roman" w:hAnsi="Times New Roman"/>
          <w:sz w:val="24"/>
          <w:szCs w:val="24"/>
          <w:lang w:val="mk-MK"/>
        </w:rPr>
        <w:t>ажурираат</w:t>
      </w:r>
      <w:r w:rsidRPr="001C5B17">
        <w:rPr>
          <w:rFonts w:ascii="Times New Roman" w:hAnsi="Times New Roman"/>
          <w:sz w:val="24"/>
          <w:szCs w:val="24"/>
          <w:lang w:val="mk-MK"/>
        </w:rPr>
        <w:t xml:space="preserve"> </w:t>
      </w:r>
      <w:r>
        <w:rPr>
          <w:rFonts w:ascii="Times New Roman" w:hAnsi="Times New Roman"/>
          <w:sz w:val="24"/>
          <w:szCs w:val="24"/>
          <w:lang w:val="mk-MK"/>
        </w:rPr>
        <w:t>за да се</w:t>
      </w:r>
      <w:r w:rsidRPr="001C5B17">
        <w:rPr>
          <w:rFonts w:ascii="Times New Roman" w:hAnsi="Times New Roman"/>
          <w:sz w:val="24"/>
          <w:szCs w:val="24"/>
          <w:lang w:val="mk-MK"/>
        </w:rPr>
        <w:t xml:space="preserve"> </w:t>
      </w:r>
      <w:r>
        <w:rPr>
          <w:rFonts w:ascii="Times New Roman" w:hAnsi="Times New Roman"/>
          <w:sz w:val="24"/>
          <w:szCs w:val="24"/>
          <w:lang w:val="mk-MK"/>
        </w:rPr>
        <w:t>рефлектираат</w:t>
      </w:r>
      <w:r w:rsidRPr="001C5B17">
        <w:rPr>
          <w:rFonts w:ascii="Times New Roman" w:hAnsi="Times New Roman"/>
          <w:sz w:val="24"/>
          <w:szCs w:val="24"/>
          <w:lang w:val="mk-MK"/>
        </w:rPr>
        <w:t xml:space="preserve"> </w:t>
      </w:r>
      <w:r>
        <w:rPr>
          <w:rFonts w:ascii="Times New Roman" w:hAnsi="Times New Roman"/>
          <w:sz w:val="24"/>
          <w:szCs w:val="24"/>
          <w:lang w:val="mk-MK"/>
        </w:rPr>
        <w:t>промените</w:t>
      </w:r>
      <w:r w:rsidRPr="001C5B17">
        <w:rPr>
          <w:rFonts w:ascii="Times New Roman" w:hAnsi="Times New Roman"/>
          <w:sz w:val="24"/>
          <w:szCs w:val="24"/>
          <w:lang w:val="mk-MK"/>
        </w:rPr>
        <w:t xml:space="preserve"> </w:t>
      </w:r>
      <w:r>
        <w:rPr>
          <w:rFonts w:ascii="Times New Roman" w:hAnsi="Times New Roman"/>
          <w:sz w:val="24"/>
          <w:szCs w:val="24"/>
          <w:lang w:val="mk-MK"/>
        </w:rPr>
        <w:t>во</w:t>
      </w:r>
      <w:r w:rsidRPr="001C5B17">
        <w:rPr>
          <w:rFonts w:ascii="Times New Roman" w:hAnsi="Times New Roman"/>
          <w:sz w:val="24"/>
          <w:szCs w:val="24"/>
          <w:lang w:val="mk-MK"/>
        </w:rPr>
        <w:t xml:space="preserve"> </w:t>
      </w:r>
      <w:r>
        <w:rPr>
          <w:rFonts w:ascii="Times New Roman" w:hAnsi="Times New Roman"/>
          <w:sz w:val="24"/>
          <w:szCs w:val="24"/>
          <w:lang w:val="mk-MK"/>
        </w:rPr>
        <w:t>барањата</w:t>
      </w:r>
      <w:r w:rsidRPr="001C5B17">
        <w:rPr>
          <w:rFonts w:ascii="Times New Roman" w:hAnsi="Times New Roman"/>
          <w:sz w:val="24"/>
          <w:szCs w:val="24"/>
          <w:lang w:val="mk-MK"/>
        </w:rPr>
        <w:t xml:space="preserve">, </w:t>
      </w:r>
      <w:r>
        <w:rPr>
          <w:rFonts w:ascii="Times New Roman" w:hAnsi="Times New Roman"/>
          <w:sz w:val="24"/>
          <w:szCs w:val="24"/>
          <w:lang w:val="mk-MK"/>
        </w:rPr>
        <w:t>пазарите</w:t>
      </w:r>
      <w:r w:rsidRPr="001C5B17">
        <w:rPr>
          <w:rFonts w:ascii="Times New Roman" w:hAnsi="Times New Roman"/>
          <w:sz w:val="24"/>
          <w:szCs w:val="24"/>
          <w:lang w:val="mk-MK"/>
        </w:rPr>
        <w:t xml:space="preserve">, </w:t>
      </w:r>
      <w:r>
        <w:rPr>
          <w:rFonts w:ascii="Times New Roman" w:hAnsi="Times New Roman"/>
          <w:sz w:val="24"/>
          <w:szCs w:val="24"/>
          <w:lang w:val="mk-MK"/>
        </w:rPr>
        <w:t>производите</w:t>
      </w:r>
      <w:r w:rsidRPr="001C5B17">
        <w:rPr>
          <w:rFonts w:ascii="Times New Roman" w:hAnsi="Times New Roman"/>
          <w:sz w:val="24"/>
          <w:szCs w:val="24"/>
          <w:lang w:val="mk-MK"/>
        </w:rPr>
        <w:t xml:space="preserve"> и </w:t>
      </w:r>
      <w:r>
        <w:rPr>
          <w:rFonts w:ascii="Times New Roman" w:hAnsi="Times New Roman"/>
          <w:sz w:val="24"/>
          <w:szCs w:val="24"/>
          <w:lang w:val="mk-MK"/>
        </w:rPr>
        <w:t>практиките</w:t>
      </w:r>
      <w:r w:rsidRPr="001C5B17">
        <w:rPr>
          <w:rFonts w:ascii="Times New Roman" w:hAnsi="Times New Roman"/>
          <w:sz w:val="24"/>
          <w:szCs w:val="24"/>
          <w:lang w:val="mk-MK"/>
        </w:rPr>
        <w:t xml:space="preserve">. </w:t>
      </w:r>
    </w:p>
    <w:p w14:paraId="68EE2E9A" w14:textId="77777777" w:rsidR="00025E8C" w:rsidRPr="007E7303" w:rsidRDefault="00702144" w:rsidP="00025E8C">
      <w:pPr>
        <w:spacing w:before="200"/>
        <w:jc w:val="both"/>
        <w:rPr>
          <w:rFonts w:ascii="Times New Roman" w:hAnsi="Times New Roman"/>
          <w:sz w:val="24"/>
          <w:szCs w:val="24"/>
          <w:lang w:val="mk-MK"/>
        </w:rPr>
      </w:pPr>
      <w:r w:rsidRPr="00702144">
        <w:rPr>
          <w:rFonts w:ascii="Times New Roman" w:hAnsi="Times New Roman"/>
          <w:sz w:val="24"/>
          <w:szCs w:val="24"/>
          <w:lang w:val="mk-MK"/>
        </w:rPr>
        <w:t xml:space="preserve">Во 2022 година, банкарскиот систем работеше во услови на зголемени ризици поради </w:t>
      </w:r>
      <w:r w:rsidR="002968D8">
        <w:rPr>
          <w:rFonts w:ascii="Times New Roman" w:hAnsi="Times New Roman"/>
          <w:sz w:val="24"/>
          <w:szCs w:val="24"/>
          <w:lang w:val="mk-MK"/>
        </w:rPr>
        <w:t>руско-украинската криза</w:t>
      </w:r>
      <w:r w:rsidRPr="00702144">
        <w:rPr>
          <w:rFonts w:ascii="Times New Roman" w:hAnsi="Times New Roman"/>
          <w:sz w:val="24"/>
          <w:szCs w:val="24"/>
          <w:lang w:val="mk-MK"/>
        </w:rPr>
        <w:t xml:space="preserve"> и инфлациските притисоци поврзани со енергетската криза. Неизвесноста од продолжен</w:t>
      </w:r>
      <w:r w:rsidR="002968D8">
        <w:rPr>
          <w:rFonts w:ascii="Times New Roman" w:hAnsi="Times New Roman"/>
          <w:sz w:val="24"/>
          <w:szCs w:val="24"/>
          <w:lang w:val="mk-MK"/>
        </w:rPr>
        <w:t>ата геополитичка криза</w:t>
      </w:r>
      <w:r w:rsidRPr="00702144">
        <w:rPr>
          <w:rFonts w:ascii="Times New Roman" w:hAnsi="Times New Roman"/>
          <w:sz w:val="24"/>
          <w:szCs w:val="24"/>
          <w:lang w:val="mk-MK"/>
        </w:rPr>
        <w:t xml:space="preserve"> и растот на инфлацијата, особено во делот на цените на храната и енергијата, предизвикуваат забавување на глобалната економска активност со </w:t>
      </w:r>
      <w:r w:rsidR="00C7373B">
        <w:rPr>
          <w:rFonts w:ascii="Times New Roman" w:hAnsi="Times New Roman"/>
          <w:sz w:val="24"/>
          <w:szCs w:val="24"/>
          <w:lang w:val="mk-MK"/>
        </w:rPr>
        <w:t xml:space="preserve">потенцијални </w:t>
      </w:r>
      <w:r w:rsidRPr="00702144">
        <w:rPr>
          <w:rFonts w:ascii="Times New Roman" w:hAnsi="Times New Roman"/>
          <w:sz w:val="24"/>
          <w:szCs w:val="24"/>
          <w:lang w:val="mk-MK"/>
        </w:rPr>
        <w:t xml:space="preserve">негативни економски прелевања. </w:t>
      </w:r>
      <w:r>
        <w:rPr>
          <w:rFonts w:ascii="Times New Roman" w:hAnsi="Times New Roman"/>
          <w:sz w:val="24"/>
          <w:szCs w:val="24"/>
          <w:lang w:val="mk-MK"/>
        </w:rPr>
        <w:t>Неизвесноста се очекув</w:t>
      </w:r>
      <w:r w:rsidR="00262E6F">
        <w:rPr>
          <w:rFonts w:ascii="Times New Roman" w:hAnsi="Times New Roman"/>
          <w:sz w:val="24"/>
          <w:szCs w:val="24"/>
          <w:lang w:val="mk-MK"/>
        </w:rPr>
        <w:t>а да продолжи и во 2023 година.</w:t>
      </w:r>
    </w:p>
    <w:p w14:paraId="147EBBD7" w14:textId="77777777" w:rsidR="00025E8C" w:rsidRPr="0090746B" w:rsidRDefault="00702144" w:rsidP="00025E8C">
      <w:pPr>
        <w:spacing w:before="200"/>
        <w:jc w:val="both"/>
        <w:rPr>
          <w:rFonts w:ascii="Times New Roman" w:hAnsi="Times New Roman"/>
          <w:sz w:val="24"/>
          <w:szCs w:val="24"/>
          <w:lang w:val="mk-MK"/>
        </w:rPr>
      </w:pPr>
      <w:r>
        <w:rPr>
          <w:rFonts w:ascii="Times New Roman" w:hAnsi="Times New Roman"/>
          <w:sz w:val="24"/>
          <w:szCs w:val="24"/>
          <w:lang w:val="mk-MK"/>
        </w:rPr>
        <w:t xml:space="preserve">Руско-украинската </w:t>
      </w:r>
      <w:r w:rsidR="00025E8C">
        <w:rPr>
          <w:rFonts w:ascii="Times New Roman" w:hAnsi="Times New Roman"/>
          <w:sz w:val="24"/>
          <w:szCs w:val="24"/>
          <w:lang w:val="mk-MK"/>
        </w:rPr>
        <w:t>криза</w:t>
      </w:r>
      <w:r w:rsidR="00025E8C" w:rsidRPr="001C5B17">
        <w:rPr>
          <w:rFonts w:ascii="Times New Roman" w:hAnsi="Times New Roman"/>
          <w:sz w:val="24"/>
          <w:szCs w:val="24"/>
          <w:lang w:val="mk-MK"/>
        </w:rPr>
        <w:t xml:space="preserve"> </w:t>
      </w:r>
      <w:r w:rsidR="00025E8C">
        <w:rPr>
          <w:rFonts w:ascii="Times New Roman" w:hAnsi="Times New Roman"/>
          <w:sz w:val="24"/>
          <w:szCs w:val="24"/>
          <w:lang w:val="mk-MK"/>
        </w:rPr>
        <w:t>донесе</w:t>
      </w:r>
      <w:r w:rsidR="00025E8C" w:rsidRPr="001C5B17">
        <w:rPr>
          <w:rFonts w:ascii="Times New Roman" w:hAnsi="Times New Roman"/>
          <w:sz w:val="24"/>
          <w:szCs w:val="24"/>
          <w:lang w:val="mk-MK"/>
        </w:rPr>
        <w:t xml:space="preserve"> </w:t>
      </w:r>
      <w:r w:rsidR="00025E8C">
        <w:rPr>
          <w:rFonts w:ascii="Times New Roman" w:hAnsi="Times New Roman"/>
          <w:sz w:val="24"/>
          <w:szCs w:val="24"/>
          <w:lang w:val="mk-MK"/>
        </w:rPr>
        <w:t>потреба за интензивно следење</w:t>
      </w:r>
      <w:r w:rsidR="00025E8C" w:rsidRPr="001C5B17">
        <w:rPr>
          <w:rFonts w:ascii="Times New Roman" w:hAnsi="Times New Roman"/>
          <w:sz w:val="24"/>
          <w:szCs w:val="24"/>
          <w:lang w:val="mk-MK"/>
        </w:rPr>
        <w:t xml:space="preserve"> </w:t>
      </w:r>
      <w:r w:rsidR="00025E8C">
        <w:rPr>
          <w:rFonts w:ascii="Times New Roman" w:hAnsi="Times New Roman"/>
          <w:sz w:val="24"/>
          <w:szCs w:val="24"/>
          <w:lang w:val="mk-MK"/>
        </w:rPr>
        <w:t>на кредитниот и ликвидносниот ризик</w:t>
      </w:r>
      <w:r w:rsidR="00025E8C" w:rsidRPr="001C5B17">
        <w:rPr>
          <w:rFonts w:ascii="Times New Roman" w:hAnsi="Times New Roman"/>
          <w:sz w:val="24"/>
          <w:szCs w:val="24"/>
          <w:lang w:val="mk-MK"/>
        </w:rPr>
        <w:t xml:space="preserve">. </w:t>
      </w:r>
      <w:r w:rsidR="002968D8">
        <w:rPr>
          <w:rFonts w:ascii="Times New Roman" w:hAnsi="Times New Roman"/>
          <w:sz w:val="24"/>
          <w:szCs w:val="24"/>
          <w:lang w:val="mk-MK"/>
        </w:rPr>
        <w:t>Во таа смисла</w:t>
      </w:r>
      <w:r w:rsidR="00025E8C" w:rsidRPr="001C5B17">
        <w:rPr>
          <w:rFonts w:ascii="Times New Roman" w:hAnsi="Times New Roman"/>
          <w:sz w:val="24"/>
          <w:szCs w:val="24"/>
          <w:lang w:val="mk-MK"/>
        </w:rPr>
        <w:t xml:space="preserve">, </w:t>
      </w:r>
      <w:r w:rsidR="002968D8">
        <w:rPr>
          <w:rFonts w:ascii="Times New Roman" w:hAnsi="Times New Roman"/>
          <w:sz w:val="24"/>
          <w:szCs w:val="24"/>
          <w:lang w:val="mk-MK"/>
        </w:rPr>
        <w:t xml:space="preserve">СБ </w:t>
      </w:r>
      <w:r w:rsidR="00025E8C">
        <w:rPr>
          <w:rFonts w:ascii="Times New Roman" w:hAnsi="Times New Roman"/>
          <w:sz w:val="24"/>
          <w:szCs w:val="24"/>
          <w:lang w:val="mk-MK"/>
        </w:rPr>
        <w:t>изврши неколку видови</w:t>
      </w:r>
      <w:r w:rsidR="00025E8C" w:rsidRPr="001C5B17">
        <w:rPr>
          <w:rFonts w:ascii="Times New Roman" w:hAnsi="Times New Roman"/>
          <w:sz w:val="24"/>
          <w:szCs w:val="24"/>
          <w:lang w:val="mk-MK"/>
        </w:rPr>
        <w:t xml:space="preserve"> </w:t>
      </w:r>
      <w:r w:rsidR="00025E8C">
        <w:rPr>
          <w:rFonts w:ascii="Times New Roman" w:hAnsi="Times New Roman"/>
          <w:sz w:val="24"/>
          <w:szCs w:val="24"/>
          <w:lang w:val="mk-MK"/>
        </w:rPr>
        <w:t>на</w:t>
      </w:r>
      <w:r w:rsidR="00025E8C" w:rsidRPr="001C5B17">
        <w:rPr>
          <w:rFonts w:ascii="Times New Roman" w:hAnsi="Times New Roman"/>
          <w:sz w:val="24"/>
          <w:szCs w:val="24"/>
          <w:lang w:val="mk-MK"/>
        </w:rPr>
        <w:t xml:space="preserve"> </w:t>
      </w:r>
      <w:r w:rsidR="00025E8C">
        <w:rPr>
          <w:rFonts w:ascii="Times New Roman" w:hAnsi="Times New Roman"/>
          <w:sz w:val="24"/>
          <w:szCs w:val="24"/>
          <w:lang w:val="mk-MK"/>
        </w:rPr>
        <w:t>стрес</w:t>
      </w:r>
      <w:r w:rsidR="00025E8C" w:rsidRPr="001C5B17">
        <w:rPr>
          <w:rFonts w:ascii="Times New Roman" w:hAnsi="Times New Roman"/>
          <w:sz w:val="24"/>
          <w:szCs w:val="24"/>
          <w:lang w:val="mk-MK"/>
        </w:rPr>
        <w:t>-</w:t>
      </w:r>
      <w:r w:rsidR="00025E8C">
        <w:rPr>
          <w:rFonts w:ascii="Times New Roman" w:hAnsi="Times New Roman"/>
          <w:sz w:val="24"/>
          <w:szCs w:val="24"/>
          <w:lang w:val="mk-MK"/>
        </w:rPr>
        <w:t>тестови</w:t>
      </w:r>
      <w:r w:rsidR="00025E8C" w:rsidRPr="001C5B17">
        <w:rPr>
          <w:rFonts w:ascii="Times New Roman" w:hAnsi="Times New Roman"/>
          <w:sz w:val="24"/>
          <w:szCs w:val="24"/>
          <w:lang w:val="mk-MK"/>
        </w:rPr>
        <w:t xml:space="preserve"> и </w:t>
      </w:r>
      <w:r w:rsidR="00025E8C">
        <w:rPr>
          <w:rFonts w:ascii="Times New Roman" w:hAnsi="Times New Roman"/>
          <w:sz w:val="24"/>
          <w:szCs w:val="24"/>
          <w:lang w:val="mk-MK"/>
        </w:rPr>
        <w:t>секторски анализи</w:t>
      </w:r>
      <w:r w:rsidR="00025E8C" w:rsidRPr="001C5B17">
        <w:rPr>
          <w:rFonts w:ascii="Times New Roman" w:hAnsi="Times New Roman"/>
          <w:sz w:val="24"/>
          <w:szCs w:val="24"/>
          <w:lang w:val="mk-MK"/>
        </w:rPr>
        <w:t xml:space="preserve"> </w:t>
      </w:r>
      <w:r w:rsidR="00025E8C">
        <w:rPr>
          <w:rFonts w:ascii="Times New Roman" w:hAnsi="Times New Roman"/>
          <w:sz w:val="24"/>
          <w:szCs w:val="24"/>
          <w:lang w:val="mk-MK"/>
        </w:rPr>
        <w:t>за</w:t>
      </w:r>
      <w:r w:rsidR="00025E8C" w:rsidRPr="001C5B17">
        <w:rPr>
          <w:rFonts w:ascii="Times New Roman" w:hAnsi="Times New Roman"/>
          <w:sz w:val="24"/>
          <w:szCs w:val="24"/>
          <w:lang w:val="mk-MK"/>
        </w:rPr>
        <w:t xml:space="preserve"> </w:t>
      </w:r>
      <w:r w:rsidR="00025E8C">
        <w:rPr>
          <w:rFonts w:ascii="Times New Roman" w:hAnsi="Times New Roman"/>
          <w:sz w:val="24"/>
          <w:szCs w:val="24"/>
          <w:lang w:val="mk-MK"/>
        </w:rPr>
        <w:t>да го процени</w:t>
      </w:r>
      <w:r w:rsidR="00025E8C" w:rsidRPr="001C5B17">
        <w:rPr>
          <w:rFonts w:ascii="Times New Roman" w:hAnsi="Times New Roman"/>
          <w:sz w:val="24"/>
          <w:szCs w:val="24"/>
          <w:lang w:val="mk-MK"/>
        </w:rPr>
        <w:t xml:space="preserve"> </w:t>
      </w:r>
      <w:r w:rsidR="00025E8C">
        <w:rPr>
          <w:rFonts w:ascii="Times New Roman" w:hAnsi="Times New Roman"/>
          <w:sz w:val="24"/>
          <w:szCs w:val="24"/>
          <w:lang w:val="mk-MK"/>
        </w:rPr>
        <w:t>потенцијалниот удар</w:t>
      </w:r>
      <w:r w:rsidR="00025E8C" w:rsidRPr="001C5B17">
        <w:rPr>
          <w:rFonts w:ascii="Times New Roman" w:hAnsi="Times New Roman"/>
          <w:sz w:val="24"/>
          <w:szCs w:val="24"/>
          <w:lang w:val="mk-MK"/>
        </w:rPr>
        <w:t xml:space="preserve"> </w:t>
      </w:r>
      <w:r w:rsidR="00025E8C">
        <w:rPr>
          <w:rFonts w:ascii="Times New Roman" w:hAnsi="Times New Roman"/>
          <w:sz w:val="24"/>
          <w:szCs w:val="24"/>
          <w:lang w:val="mk-MK"/>
        </w:rPr>
        <w:t>врз нејзината</w:t>
      </w:r>
      <w:r w:rsidR="00025E8C" w:rsidRPr="001C5B17">
        <w:rPr>
          <w:rFonts w:ascii="Times New Roman" w:hAnsi="Times New Roman"/>
          <w:sz w:val="24"/>
          <w:szCs w:val="24"/>
          <w:lang w:val="mk-MK"/>
        </w:rPr>
        <w:t xml:space="preserve"> </w:t>
      </w:r>
      <w:r w:rsidR="00025E8C">
        <w:rPr>
          <w:rFonts w:ascii="Times New Roman" w:hAnsi="Times New Roman"/>
          <w:sz w:val="24"/>
          <w:szCs w:val="24"/>
          <w:lang w:val="mk-MK"/>
        </w:rPr>
        <w:t>финансиска позиција</w:t>
      </w:r>
      <w:r w:rsidR="00025E8C" w:rsidRPr="001C5B17">
        <w:rPr>
          <w:rFonts w:ascii="Times New Roman" w:hAnsi="Times New Roman"/>
          <w:sz w:val="24"/>
          <w:szCs w:val="24"/>
          <w:lang w:val="mk-MK"/>
        </w:rPr>
        <w:t xml:space="preserve">, </w:t>
      </w:r>
      <w:r w:rsidR="00025E8C">
        <w:rPr>
          <w:rFonts w:ascii="Times New Roman" w:hAnsi="Times New Roman"/>
          <w:sz w:val="24"/>
          <w:szCs w:val="24"/>
          <w:lang w:val="mk-MK"/>
        </w:rPr>
        <w:t>што ѝ помогна на</w:t>
      </w:r>
      <w:r w:rsidR="00025E8C" w:rsidRPr="001C5B17">
        <w:rPr>
          <w:rFonts w:ascii="Times New Roman" w:hAnsi="Times New Roman"/>
          <w:sz w:val="24"/>
          <w:szCs w:val="24"/>
          <w:lang w:val="mk-MK"/>
        </w:rPr>
        <w:t xml:space="preserve"> Б</w:t>
      </w:r>
      <w:r w:rsidR="002968D8">
        <w:rPr>
          <w:rFonts w:ascii="Times New Roman" w:hAnsi="Times New Roman"/>
          <w:sz w:val="24"/>
          <w:szCs w:val="24"/>
          <w:lang w:val="mk-MK"/>
        </w:rPr>
        <w:t>анката да добие понатамошен увид во потенцијалното влијание и</w:t>
      </w:r>
      <w:r w:rsidR="00025E8C" w:rsidRPr="001C5B17">
        <w:rPr>
          <w:rFonts w:ascii="Times New Roman" w:hAnsi="Times New Roman"/>
          <w:sz w:val="24"/>
          <w:szCs w:val="24"/>
          <w:lang w:val="mk-MK"/>
        </w:rPr>
        <w:t xml:space="preserve"> </w:t>
      </w:r>
      <w:r w:rsidR="00025E8C">
        <w:rPr>
          <w:rFonts w:ascii="Times New Roman" w:hAnsi="Times New Roman"/>
          <w:sz w:val="24"/>
          <w:szCs w:val="24"/>
          <w:lang w:val="mk-MK"/>
        </w:rPr>
        <w:t>да дефинира</w:t>
      </w:r>
      <w:r w:rsidR="00025E8C" w:rsidRPr="001C5B17">
        <w:rPr>
          <w:rFonts w:ascii="Times New Roman" w:hAnsi="Times New Roman"/>
          <w:sz w:val="24"/>
          <w:szCs w:val="24"/>
          <w:lang w:val="mk-MK"/>
        </w:rPr>
        <w:t xml:space="preserve"> </w:t>
      </w:r>
      <w:r w:rsidR="00025E8C">
        <w:rPr>
          <w:rFonts w:ascii="Times New Roman" w:hAnsi="Times New Roman"/>
          <w:sz w:val="24"/>
          <w:szCs w:val="24"/>
          <w:lang w:val="mk-MK"/>
        </w:rPr>
        <w:t>соодветни митигирачки активности.</w:t>
      </w:r>
    </w:p>
    <w:p w14:paraId="5CF8DE2D" w14:textId="77777777" w:rsidR="002968D8" w:rsidRPr="001C5B17" w:rsidRDefault="00025E8C" w:rsidP="00025E8C">
      <w:pPr>
        <w:autoSpaceDE w:val="0"/>
        <w:autoSpaceDN w:val="0"/>
        <w:adjustRightInd w:val="0"/>
        <w:spacing w:before="240" w:after="0"/>
        <w:jc w:val="both"/>
        <w:rPr>
          <w:rFonts w:ascii="Times New Roman" w:hAnsi="Times New Roman"/>
          <w:sz w:val="24"/>
          <w:szCs w:val="24"/>
          <w:lang w:val="mk-MK"/>
        </w:rPr>
      </w:pPr>
      <w:r>
        <w:rPr>
          <w:rFonts w:ascii="Times New Roman" w:hAnsi="Times New Roman"/>
          <w:sz w:val="24"/>
          <w:szCs w:val="24"/>
          <w:lang w:val="mk-MK"/>
        </w:rPr>
        <w:t>Останува цел на Банката</w:t>
      </w:r>
      <w:r w:rsidRPr="001C5B17">
        <w:rPr>
          <w:rFonts w:ascii="Times New Roman" w:hAnsi="Times New Roman"/>
          <w:sz w:val="24"/>
          <w:szCs w:val="24"/>
          <w:lang w:val="mk-MK"/>
        </w:rPr>
        <w:t xml:space="preserve">, </w:t>
      </w:r>
      <w:r>
        <w:rPr>
          <w:rFonts w:ascii="Times New Roman" w:hAnsi="Times New Roman"/>
          <w:sz w:val="24"/>
          <w:szCs w:val="24"/>
          <w:lang w:val="mk-MK"/>
        </w:rPr>
        <w:t>дури и во овие тешки времиња</w:t>
      </w:r>
      <w:r w:rsidRPr="001C5B17">
        <w:rPr>
          <w:rFonts w:ascii="Times New Roman" w:hAnsi="Times New Roman"/>
          <w:sz w:val="24"/>
          <w:szCs w:val="24"/>
          <w:lang w:val="mk-MK"/>
        </w:rPr>
        <w:t xml:space="preserve">, </w:t>
      </w:r>
      <w:r>
        <w:rPr>
          <w:rFonts w:ascii="Times New Roman" w:hAnsi="Times New Roman"/>
          <w:sz w:val="24"/>
          <w:szCs w:val="24"/>
          <w:lang w:val="mk-MK"/>
        </w:rPr>
        <w:t>да се стреми кон</w:t>
      </w:r>
      <w:r w:rsidRPr="001C5B17">
        <w:rPr>
          <w:rFonts w:ascii="Times New Roman" w:hAnsi="Times New Roman"/>
          <w:sz w:val="24"/>
          <w:szCs w:val="24"/>
          <w:lang w:val="mk-MK"/>
        </w:rPr>
        <w:t xml:space="preserve"> </w:t>
      </w:r>
      <w:r>
        <w:rPr>
          <w:rFonts w:ascii="Times New Roman" w:hAnsi="Times New Roman"/>
          <w:sz w:val="24"/>
          <w:szCs w:val="24"/>
          <w:lang w:val="mk-MK"/>
        </w:rPr>
        <w:t>континуирано подобрување</w:t>
      </w:r>
      <w:r w:rsidRPr="001C5B17">
        <w:rPr>
          <w:rFonts w:ascii="Times New Roman" w:hAnsi="Times New Roman"/>
          <w:sz w:val="24"/>
          <w:szCs w:val="24"/>
          <w:lang w:val="mk-MK"/>
        </w:rPr>
        <w:t xml:space="preserve"> </w:t>
      </w:r>
      <w:r>
        <w:rPr>
          <w:rFonts w:ascii="Times New Roman" w:hAnsi="Times New Roman"/>
          <w:sz w:val="24"/>
          <w:szCs w:val="24"/>
          <w:lang w:val="mk-MK"/>
        </w:rPr>
        <w:t>на</w:t>
      </w:r>
      <w:r w:rsidRPr="001C5B17">
        <w:rPr>
          <w:rFonts w:ascii="Times New Roman" w:hAnsi="Times New Roman"/>
          <w:sz w:val="24"/>
          <w:szCs w:val="24"/>
          <w:lang w:val="mk-MK"/>
        </w:rPr>
        <w:t xml:space="preserve"> </w:t>
      </w:r>
      <w:r>
        <w:rPr>
          <w:rFonts w:ascii="Times New Roman" w:hAnsi="Times New Roman"/>
          <w:sz w:val="24"/>
          <w:szCs w:val="24"/>
          <w:lang w:val="mk-MK"/>
        </w:rPr>
        <w:t>рамката за управување со ризици</w:t>
      </w:r>
      <w:r w:rsidRPr="001C5B17">
        <w:rPr>
          <w:rFonts w:ascii="Times New Roman" w:hAnsi="Times New Roman"/>
          <w:sz w:val="24"/>
          <w:szCs w:val="24"/>
          <w:lang w:val="mk-MK"/>
        </w:rPr>
        <w:t xml:space="preserve"> </w:t>
      </w:r>
      <w:r>
        <w:rPr>
          <w:rFonts w:ascii="Times New Roman" w:hAnsi="Times New Roman"/>
          <w:sz w:val="24"/>
          <w:szCs w:val="24"/>
          <w:lang w:val="mk-MK"/>
        </w:rPr>
        <w:t>во согласност со</w:t>
      </w:r>
      <w:r w:rsidRPr="001C5B17">
        <w:rPr>
          <w:rFonts w:ascii="Times New Roman" w:hAnsi="Times New Roman"/>
          <w:sz w:val="24"/>
          <w:szCs w:val="24"/>
          <w:lang w:val="mk-MK"/>
        </w:rPr>
        <w:t xml:space="preserve"> </w:t>
      </w:r>
      <w:r>
        <w:rPr>
          <w:rFonts w:ascii="Times New Roman" w:hAnsi="Times New Roman"/>
          <w:sz w:val="24"/>
          <w:szCs w:val="24"/>
          <w:lang w:val="mk-MK"/>
        </w:rPr>
        <w:t>идните регулаторни барања</w:t>
      </w:r>
      <w:r w:rsidRPr="001C5B17">
        <w:rPr>
          <w:rFonts w:ascii="Times New Roman" w:hAnsi="Times New Roman"/>
          <w:sz w:val="24"/>
          <w:szCs w:val="24"/>
          <w:lang w:val="mk-MK"/>
        </w:rPr>
        <w:t xml:space="preserve"> и </w:t>
      </w:r>
      <w:r>
        <w:rPr>
          <w:rFonts w:ascii="Times New Roman" w:hAnsi="Times New Roman"/>
          <w:sz w:val="24"/>
          <w:szCs w:val="24"/>
          <w:lang w:val="mk-MK"/>
        </w:rPr>
        <w:t>меѓународните стандарди</w:t>
      </w:r>
      <w:r w:rsidRPr="001C5B17">
        <w:rPr>
          <w:rFonts w:ascii="Times New Roman" w:hAnsi="Times New Roman"/>
          <w:sz w:val="24"/>
          <w:szCs w:val="24"/>
          <w:lang w:val="mk-MK"/>
        </w:rPr>
        <w:t xml:space="preserve">, </w:t>
      </w:r>
      <w:r>
        <w:rPr>
          <w:rFonts w:ascii="Times New Roman" w:hAnsi="Times New Roman"/>
          <w:sz w:val="24"/>
          <w:szCs w:val="24"/>
          <w:lang w:val="mk-MK"/>
        </w:rPr>
        <w:t>најдобрите практики</w:t>
      </w:r>
      <w:r w:rsidRPr="001C5B17">
        <w:rPr>
          <w:rFonts w:ascii="Times New Roman" w:hAnsi="Times New Roman"/>
          <w:sz w:val="24"/>
          <w:szCs w:val="24"/>
          <w:lang w:val="mk-MK"/>
        </w:rPr>
        <w:t xml:space="preserve"> и </w:t>
      </w:r>
      <w:r>
        <w:rPr>
          <w:rFonts w:ascii="Times New Roman" w:hAnsi="Times New Roman"/>
          <w:sz w:val="24"/>
          <w:szCs w:val="24"/>
          <w:lang w:val="mk-MK"/>
        </w:rPr>
        <w:t>променливите услови на пазарот</w:t>
      </w:r>
      <w:r w:rsidRPr="001C5B17">
        <w:rPr>
          <w:rFonts w:ascii="Times New Roman" w:hAnsi="Times New Roman"/>
          <w:sz w:val="24"/>
          <w:szCs w:val="24"/>
          <w:lang w:val="mk-MK"/>
        </w:rPr>
        <w:t xml:space="preserve">. </w:t>
      </w:r>
    </w:p>
    <w:p w14:paraId="52705198" w14:textId="77777777" w:rsidR="00010884" w:rsidRPr="001C5B17" w:rsidRDefault="00025E8C" w:rsidP="00025E8C">
      <w:pPr>
        <w:autoSpaceDE w:val="0"/>
        <w:autoSpaceDN w:val="0"/>
        <w:adjustRightInd w:val="0"/>
        <w:spacing w:before="240" w:after="0"/>
        <w:jc w:val="both"/>
        <w:rPr>
          <w:rFonts w:ascii="Times New Roman" w:hAnsi="Times New Roman"/>
          <w:sz w:val="24"/>
          <w:szCs w:val="24"/>
          <w:lang w:val="mk-MK" w:eastAsia="en-GB"/>
        </w:rPr>
      </w:pPr>
      <w:r>
        <w:rPr>
          <w:rFonts w:ascii="Times New Roman" w:hAnsi="Times New Roman"/>
          <w:sz w:val="24"/>
          <w:szCs w:val="24"/>
          <w:lang w:val="mk-MK"/>
        </w:rPr>
        <w:t>Културата за ризик</w:t>
      </w:r>
      <w:r w:rsidRPr="001C5B17">
        <w:rPr>
          <w:rFonts w:ascii="Times New Roman" w:hAnsi="Times New Roman"/>
          <w:sz w:val="24"/>
          <w:szCs w:val="24"/>
          <w:lang w:val="mk-MK"/>
        </w:rPr>
        <w:t xml:space="preserve"> е </w:t>
      </w:r>
      <w:r>
        <w:rPr>
          <w:rFonts w:ascii="Times New Roman" w:hAnsi="Times New Roman"/>
          <w:sz w:val="24"/>
          <w:szCs w:val="24"/>
          <w:lang w:val="mk-MK"/>
        </w:rPr>
        <w:t>важна интегрална компонента</w:t>
      </w:r>
      <w:r w:rsidRPr="001C5B17">
        <w:rPr>
          <w:rFonts w:ascii="Times New Roman" w:hAnsi="Times New Roman"/>
          <w:sz w:val="24"/>
          <w:szCs w:val="24"/>
          <w:lang w:val="mk-MK"/>
        </w:rPr>
        <w:t xml:space="preserve"> </w:t>
      </w:r>
      <w:r>
        <w:rPr>
          <w:rFonts w:ascii="Times New Roman" w:hAnsi="Times New Roman"/>
          <w:sz w:val="24"/>
          <w:szCs w:val="24"/>
          <w:lang w:val="mk-MK"/>
        </w:rPr>
        <w:t>на</w:t>
      </w:r>
      <w:r w:rsidRPr="001C5B17">
        <w:rPr>
          <w:rFonts w:ascii="Times New Roman" w:hAnsi="Times New Roman"/>
          <w:sz w:val="24"/>
          <w:szCs w:val="24"/>
          <w:lang w:val="mk-MK"/>
        </w:rPr>
        <w:t xml:space="preserve"> </w:t>
      </w:r>
      <w:r>
        <w:rPr>
          <w:rFonts w:ascii="Times New Roman" w:hAnsi="Times New Roman"/>
          <w:sz w:val="24"/>
          <w:szCs w:val="24"/>
          <w:lang w:val="mk-MK"/>
        </w:rPr>
        <w:t>управувањето со ризиците</w:t>
      </w:r>
      <w:r w:rsidRPr="001C5B17">
        <w:rPr>
          <w:rFonts w:ascii="Times New Roman" w:hAnsi="Times New Roman"/>
          <w:sz w:val="24"/>
          <w:szCs w:val="24"/>
          <w:lang w:val="mk-MK"/>
        </w:rPr>
        <w:t xml:space="preserve"> и </w:t>
      </w:r>
      <w:r>
        <w:rPr>
          <w:rFonts w:ascii="Times New Roman" w:hAnsi="Times New Roman"/>
          <w:sz w:val="24"/>
          <w:szCs w:val="24"/>
          <w:lang w:val="mk-MK"/>
        </w:rPr>
        <w:t>Банката</w:t>
      </w:r>
      <w:r w:rsidRPr="001C5B17">
        <w:rPr>
          <w:rFonts w:ascii="Times New Roman" w:hAnsi="Times New Roman"/>
          <w:sz w:val="24"/>
          <w:szCs w:val="24"/>
          <w:lang w:val="mk-MK"/>
        </w:rPr>
        <w:t xml:space="preserve"> </w:t>
      </w:r>
      <w:r>
        <w:rPr>
          <w:rFonts w:ascii="Times New Roman" w:hAnsi="Times New Roman"/>
          <w:sz w:val="24"/>
          <w:szCs w:val="24"/>
          <w:lang w:val="mk-MK"/>
        </w:rPr>
        <w:t>има активен пристап</w:t>
      </w:r>
      <w:r w:rsidRPr="001C5B17">
        <w:rPr>
          <w:rFonts w:ascii="Times New Roman" w:hAnsi="Times New Roman"/>
          <w:sz w:val="24"/>
          <w:szCs w:val="24"/>
          <w:lang w:val="mk-MK"/>
        </w:rPr>
        <w:t xml:space="preserve"> </w:t>
      </w:r>
      <w:r>
        <w:rPr>
          <w:rFonts w:ascii="Times New Roman" w:hAnsi="Times New Roman"/>
          <w:sz w:val="24"/>
          <w:szCs w:val="24"/>
          <w:lang w:val="mk-MK"/>
        </w:rPr>
        <w:t>кон</w:t>
      </w:r>
      <w:r w:rsidRPr="001C5B17">
        <w:rPr>
          <w:rFonts w:ascii="Times New Roman" w:hAnsi="Times New Roman"/>
          <w:sz w:val="24"/>
          <w:szCs w:val="24"/>
          <w:lang w:val="mk-MK"/>
        </w:rPr>
        <w:t xml:space="preserve"> </w:t>
      </w:r>
      <w:r>
        <w:rPr>
          <w:rFonts w:ascii="Times New Roman" w:hAnsi="Times New Roman"/>
          <w:sz w:val="24"/>
          <w:szCs w:val="24"/>
          <w:lang w:val="mk-MK"/>
        </w:rPr>
        <w:t>зголемување</w:t>
      </w:r>
      <w:r w:rsidRPr="001C5B17">
        <w:rPr>
          <w:rFonts w:ascii="Times New Roman" w:hAnsi="Times New Roman"/>
          <w:sz w:val="24"/>
          <w:szCs w:val="24"/>
          <w:lang w:val="mk-MK"/>
        </w:rPr>
        <w:t xml:space="preserve"> </w:t>
      </w:r>
      <w:r>
        <w:rPr>
          <w:rFonts w:ascii="Times New Roman" w:hAnsi="Times New Roman"/>
          <w:sz w:val="24"/>
          <w:szCs w:val="24"/>
          <w:lang w:val="mk-MK"/>
        </w:rPr>
        <w:t>на</w:t>
      </w:r>
      <w:r w:rsidRPr="001C5B17">
        <w:rPr>
          <w:rFonts w:ascii="Times New Roman" w:hAnsi="Times New Roman"/>
          <w:sz w:val="24"/>
          <w:szCs w:val="24"/>
          <w:lang w:val="mk-MK"/>
        </w:rPr>
        <w:t xml:space="preserve"> </w:t>
      </w:r>
      <w:r>
        <w:rPr>
          <w:rFonts w:ascii="Times New Roman" w:hAnsi="Times New Roman"/>
          <w:sz w:val="24"/>
          <w:szCs w:val="24"/>
          <w:lang w:val="mk-MK"/>
        </w:rPr>
        <w:t>свесноста за ризик</w:t>
      </w:r>
      <w:r w:rsidRPr="001C5B17">
        <w:rPr>
          <w:rFonts w:ascii="Times New Roman" w:hAnsi="Times New Roman"/>
          <w:sz w:val="24"/>
          <w:szCs w:val="24"/>
          <w:lang w:val="mk-MK"/>
        </w:rPr>
        <w:t xml:space="preserve"> и </w:t>
      </w:r>
      <w:r>
        <w:rPr>
          <w:rFonts w:ascii="Times New Roman" w:hAnsi="Times New Roman"/>
          <w:sz w:val="24"/>
          <w:szCs w:val="24"/>
          <w:lang w:val="mk-MK"/>
        </w:rPr>
        <w:t>зајакнување</w:t>
      </w:r>
      <w:r w:rsidRPr="001C5B17">
        <w:rPr>
          <w:rFonts w:ascii="Times New Roman" w:hAnsi="Times New Roman"/>
          <w:sz w:val="24"/>
          <w:szCs w:val="24"/>
          <w:lang w:val="mk-MK"/>
        </w:rPr>
        <w:t xml:space="preserve"> </w:t>
      </w:r>
      <w:r>
        <w:rPr>
          <w:rFonts w:ascii="Times New Roman" w:hAnsi="Times New Roman"/>
          <w:sz w:val="24"/>
          <w:szCs w:val="24"/>
          <w:lang w:val="mk-MK"/>
        </w:rPr>
        <w:t>на</w:t>
      </w:r>
      <w:r w:rsidRPr="001C5B17">
        <w:rPr>
          <w:rFonts w:ascii="Times New Roman" w:hAnsi="Times New Roman"/>
          <w:sz w:val="24"/>
          <w:szCs w:val="24"/>
          <w:lang w:val="mk-MK"/>
        </w:rPr>
        <w:t xml:space="preserve"> </w:t>
      </w:r>
      <w:r>
        <w:rPr>
          <w:rFonts w:ascii="Times New Roman" w:hAnsi="Times New Roman"/>
          <w:sz w:val="24"/>
          <w:szCs w:val="24"/>
          <w:lang w:val="mk-MK"/>
        </w:rPr>
        <w:t>културата за ризик</w:t>
      </w:r>
      <w:r w:rsidRPr="001C5B17">
        <w:rPr>
          <w:rFonts w:ascii="Times New Roman" w:hAnsi="Times New Roman"/>
          <w:sz w:val="24"/>
          <w:szCs w:val="24"/>
          <w:lang w:val="mk-MK"/>
        </w:rPr>
        <w:t xml:space="preserve"> </w:t>
      </w:r>
      <w:r>
        <w:rPr>
          <w:rFonts w:ascii="Times New Roman" w:hAnsi="Times New Roman"/>
          <w:sz w:val="24"/>
          <w:szCs w:val="24"/>
          <w:lang w:val="mk-MK"/>
        </w:rPr>
        <w:t>на сите нивоа на работење</w:t>
      </w:r>
      <w:r w:rsidRPr="001C5B17">
        <w:rPr>
          <w:rFonts w:ascii="Times New Roman" w:hAnsi="Times New Roman"/>
          <w:sz w:val="24"/>
          <w:szCs w:val="24"/>
          <w:lang w:val="mk-MK"/>
        </w:rPr>
        <w:t xml:space="preserve">, </w:t>
      </w:r>
      <w:r>
        <w:rPr>
          <w:rFonts w:ascii="Times New Roman" w:hAnsi="Times New Roman"/>
          <w:sz w:val="24"/>
          <w:szCs w:val="24"/>
          <w:lang w:val="mk-MK"/>
        </w:rPr>
        <w:t>преку</w:t>
      </w:r>
      <w:r w:rsidRPr="001C5B17">
        <w:rPr>
          <w:rFonts w:ascii="Times New Roman" w:hAnsi="Times New Roman"/>
          <w:sz w:val="24"/>
          <w:szCs w:val="24"/>
          <w:lang w:val="mk-MK"/>
        </w:rPr>
        <w:t xml:space="preserve"> </w:t>
      </w:r>
      <w:r>
        <w:rPr>
          <w:rFonts w:ascii="Times New Roman" w:hAnsi="Times New Roman"/>
          <w:sz w:val="24"/>
          <w:szCs w:val="24"/>
          <w:lang w:val="mk-MK"/>
        </w:rPr>
        <w:t>соодветни обуки и работилници</w:t>
      </w:r>
      <w:r w:rsidRPr="001C5B17">
        <w:rPr>
          <w:rFonts w:ascii="Times New Roman" w:hAnsi="Times New Roman"/>
          <w:sz w:val="24"/>
          <w:szCs w:val="24"/>
          <w:lang w:val="mk-MK"/>
        </w:rPr>
        <w:t>.</w:t>
      </w:r>
    </w:p>
    <w:p w14:paraId="39F7079D" w14:textId="77777777" w:rsidR="00820FC8" w:rsidRPr="00A75476" w:rsidRDefault="00025E8C" w:rsidP="00A75476">
      <w:pPr>
        <w:pStyle w:val="Heading2"/>
        <w:rPr>
          <w:i/>
          <w:lang w:val="mk-MK"/>
        </w:rPr>
      </w:pPr>
      <w:bookmarkStart w:id="62" w:name="_Toc132974491"/>
      <w:bookmarkStart w:id="63" w:name="_Toc132978851"/>
      <w:r w:rsidRPr="00A75476">
        <w:rPr>
          <w:i/>
          <w:lang w:val="mk-MK"/>
        </w:rPr>
        <w:lastRenderedPageBreak/>
        <w:t>Управување со кредитен ризик</w:t>
      </w:r>
      <w:bookmarkEnd w:id="62"/>
      <w:bookmarkEnd w:id="63"/>
    </w:p>
    <w:p w14:paraId="54EBF23E" w14:textId="77777777" w:rsidR="00025E8C" w:rsidRPr="001C5B17" w:rsidRDefault="00025E8C" w:rsidP="00025E8C">
      <w:pPr>
        <w:autoSpaceDE w:val="0"/>
        <w:autoSpaceDN w:val="0"/>
        <w:adjustRightInd w:val="0"/>
        <w:spacing w:after="240"/>
        <w:jc w:val="both"/>
        <w:rPr>
          <w:rFonts w:ascii="Times New Roman" w:hAnsi="Times New Roman"/>
          <w:sz w:val="24"/>
          <w:szCs w:val="24"/>
          <w:lang w:val="mk-MK" w:eastAsia="en-GB"/>
        </w:rPr>
      </w:pPr>
      <w:r w:rsidRPr="005456E5">
        <w:rPr>
          <w:rFonts w:ascii="Times New Roman" w:hAnsi="Times New Roman"/>
          <w:sz w:val="24"/>
          <w:szCs w:val="24"/>
          <w:lang w:val="mk-MK" w:eastAsia="en-GB"/>
        </w:rPr>
        <w:t xml:space="preserve">Како еден од најзначајните ризици на кои Банката е изложена, кредитниот ризик е ризикот дека Банката ќе претрпи економски загуби доколку другата страна не може да ги исполни своите договорни или други финансиски обврски кои произлегуваат од договор за кредит. Од тие причини, за Банката е од суштинско значење да се потпре врз сеопфатно знаење и разбирање на дејноста на клиентот, секторот, управувањето, целите, финансиските показатели, можностите и предизвиците со цел да преземе соодветна одлука. </w:t>
      </w:r>
      <w:r w:rsidRPr="005456E5">
        <w:rPr>
          <w:rFonts w:ascii="Times New Roman" w:hAnsi="Times New Roman"/>
          <w:sz w:val="24"/>
          <w:szCs w:val="24"/>
          <w:lang w:val="mk-MK"/>
        </w:rPr>
        <w:t xml:space="preserve">За таа цел, кредитните политики на СБ за прудентно кредитирање вклучуваат детална проценка на ризиците пред која </w:t>
      </w:r>
      <w:r w:rsidR="00262E6F">
        <w:rPr>
          <w:rFonts w:ascii="Times New Roman" w:hAnsi="Times New Roman"/>
          <w:sz w:val="24"/>
          <w:szCs w:val="24"/>
          <w:lang w:val="mk-MK"/>
        </w:rPr>
        <w:t xml:space="preserve">било </w:t>
      </w:r>
      <w:r w:rsidRPr="005456E5">
        <w:rPr>
          <w:rFonts w:ascii="Times New Roman" w:hAnsi="Times New Roman"/>
          <w:sz w:val="24"/>
          <w:szCs w:val="24"/>
          <w:lang w:val="mk-MK"/>
        </w:rPr>
        <w:t xml:space="preserve">кредитна одлука и општ сет на минимум стандарди за проценка на кредитниот лимит, одобрувањето, обновувањето и следењето на кредитната изложеност. Извршените кредитни проценки се поддржани од систем за рангирање на ризиците и статистички модел на бодување кој, врз основа на разновидните инпути на квантитативни и квалитативни податоци, обезбедува квантификација на нивоата на кредитен ризик. Конечно, воспоставени се </w:t>
      </w:r>
      <w:r w:rsidR="00262E6F">
        <w:rPr>
          <w:rFonts w:ascii="Times New Roman" w:hAnsi="Times New Roman"/>
          <w:sz w:val="24"/>
          <w:szCs w:val="24"/>
          <w:lang w:val="mk-MK"/>
        </w:rPr>
        <w:t>о</w:t>
      </w:r>
      <w:r w:rsidRPr="005456E5">
        <w:rPr>
          <w:rFonts w:ascii="Times New Roman" w:hAnsi="Times New Roman"/>
          <w:sz w:val="24"/>
          <w:szCs w:val="24"/>
          <w:lang w:val="mk-MK"/>
        </w:rPr>
        <w:t xml:space="preserve">властени тела за кредитно одобрување со искусни и професионални членови за одобрување и обновување на кредитните изложености. </w:t>
      </w:r>
    </w:p>
    <w:p w14:paraId="7AB9170D" w14:textId="77777777" w:rsidR="00025E8C" w:rsidRPr="005456E5" w:rsidRDefault="00025E8C" w:rsidP="00025E8C">
      <w:pPr>
        <w:autoSpaceDE w:val="0"/>
        <w:autoSpaceDN w:val="0"/>
        <w:adjustRightInd w:val="0"/>
        <w:spacing w:before="240"/>
        <w:jc w:val="both"/>
        <w:rPr>
          <w:rFonts w:ascii="Times New Roman" w:hAnsi="Times New Roman"/>
          <w:sz w:val="24"/>
          <w:szCs w:val="24"/>
          <w:lang w:val="mk-MK" w:eastAsia="en-GB"/>
        </w:rPr>
      </w:pPr>
      <w:r w:rsidRPr="005456E5">
        <w:rPr>
          <w:rFonts w:ascii="Times New Roman" w:hAnsi="Times New Roman"/>
          <w:sz w:val="24"/>
          <w:szCs w:val="24"/>
          <w:lang w:val="mk-MK" w:eastAsia="en-GB"/>
        </w:rPr>
        <w:t xml:space="preserve">Откако ќе се воспостави кредитен однос, СБ применува процес на интензивно следење кој овозможува рана идентификација на какво </w:t>
      </w:r>
      <w:r w:rsidR="00262E6F">
        <w:rPr>
          <w:rFonts w:ascii="Times New Roman" w:hAnsi="Times New Roman"/>
          <w:sz w:val="24"/>
          <w:szCs w:val="24"/>
          <w:lang w:val="mk-MK" w:eastAsia="en-GB"/>
        </w:rPr>
        <w:t xml:space="preserve">било </w:t>
      </w:r>
      <w:r w:rsidRPr="005456E5">
        <w:rPr>
          <w:rFonts w:ascii="Times New Roman" w:hAnsi="Times New Roman"/>
          <w:sz w:val="24"/>
          <w:szCs w:val="24"/>
          <w:lang w:val="mk-MK" w:eastAsia="en-GB"/>
        </w:rPr>
        <w:t>влошување на профилот на ризик на клиентот или на група клиенти. Процесот на следење се состои од редовнo ревидирање на кредитите во текот на животниот циклус на производот, внатрешна класификација на ризиците</w:t>
      </w:r>
      <w:r w:rsidRPr="001C5B17">
        <w:rPr>
          <w:rFonts w:ascii="Times New Roman" w:hAnsi="Times New Roman"/>
          <w:sz w:val="24"/>
          <w:szCs w:val="24"/>
          <w:lang w:val="mk-MK" w:eastAsia="en-GB"/>
        </w:rPr>
        <w:t>,</w:t>
      </w:r>
      <w:r w:rsidRPr="005456E5">
        <w:rPr>
          <w:rFonts w:ascii="Times New Roman" w:hAnsi="Times New Roman"/>
          <w:sz w:val="24"/>
          <w:szCs w:val="24"/>
          <w:lang w:val="mk-MK" w:eastAsia="en-GB"/>
        </w:rPr>
        <w:t xml:space="preserve"> систем за рано предупредување и систем за идентификување на сигнали за значително зголемување на кредитниот ризик SICR (Significant Increase of Credit Risk) и неможност за наплата од клиентот UTP (Unlikely to Pay), кои заедно ги идентификуваат раните сигнали на влошување на кредитоспособноста на клиентите и се стремат кон обезбедување навремено преземање на потребни дејства со цел да се минимизира загубата. Кредитната изложеност исто така континуирано се следи според воспоставени лимити на концентрација по сектор, вид на обезбедување, рангирање на должникот итн., во </w:t>
      </w:r>
      <w:r w:rsidR="002968D8">
        <w:rPr>
          <w:rFonts w:ascii="Times New Roman" w:hAnsi="Times New Roman"/>
          <w:sz w:val="24"/>
          <w:szCs w:val="24"/>
          <w:lang w:val="mk-MK" w:eastAsia="en-GB"/>
        </w:rPr>
        <w:t>согласност</w:t>
      </w:r>
      <w:r w:rsidR="002968D8" w:rsidRPr="005456E5">
        <w:rPr>
          <w:rFonts w:ascii="Times New Roman" w:hAnsi="Times New Roman"/>
          <w:sz w:val="24"/>
          <w:szCs w:val="24"/>
          <w:lang w:val="mk-MK" w:eastAsia="en-GB"/>
        </w:rPr>
        <w:t xml:space="preserve"> </w:t>
      </w:r>
      <w:r w:rsidRPr="005456E5">
        <w:rPr>
          <w:rFonts w:ascii="Times New Roman" w:hAnsi="Times New Roman"/>
          <w:sz w:val="24"/>
          <w:szCs w:val="24"/>
          <w:lang w:val="mk-MK" w:eastAsia="en-GB"/>
        </w:rPr>
        <w:t>со Рамката за прифатливо ниво на ризик на Банката.</w:t>
      </w:r>
    </w:p>
    <w:p w14:paraId="29B64875" w14:textId="77777777" w:rsidR="00025E8C" w:rsidRPr="001C5B17" w:rsidRDefault="00025E8C" w:rsidP="00025E8C">
      <w:pPr>
        <w:autoSpaceDE w:val="0"/>
        <w:autoSpaceDN w:val="0"/>
        <w:adjustRightInd w:val="0"/>
        <w:spacing w:before="240"/>
        <w:jc w:val="both"/>
        <w:rPr>
          <w:rFonts w:ascii="Times New Roman" w:hAnsi="Times New Roman"/>
          <w:sz w:val="24"/>
          <w:szCs w:val="24"/>
          <w:lang w:val="mk-MK" w:eastAsia="en-GB"/>
        </w:rPr>
      </w:pPr>
      <w:r w:rsidRPr="005456E5">
        <w:rPr>
          <w:rFonts w:ascii="Times New Roman" w:hAnsi="Times New Roman"/>
          <w:sz w:val="24"/>
          <w:szCs w:val="24"/>
          <w:lang w:val="mk-MK" w:eastAsia="en-GB"/>
        </w:rPr>
        <w:t xml:space="preserve">Во линија со најдобрите меѓународни практики, и следејќи </w:t>
      </w:r>
      <w:r>
        <w:rPr>
          <w:rFonts w:ascii="Times New Roman" w:hAnsi="Times New Roman"/>
          <w:sz w:val="24"/>
          <w:szCs w:val="24"/>
          <w:lang w:val="mk-MK" w:eastAsia="en-GB"/>
        </w:rPr>
        <w:t>го процесот и</w:t>
      </w:r>
      <w:r w:rsidRPr="005456E5">
        <w:rPr>
          <w:rFonts w:ascii="Times New Roman" w:hAnsi="Times New Roman"/>
          <w:sz w:val="24"/>
          <w:szCs w:val="24"/>
          <w:lang w:val="mk-MK" w:eastAsia="en-GB"/>
        </w:rPr>
        <w:t xml:space="preserve"> методологијата</w:t>
      </w:r>
      <w:r>
        <w:rPr>
          <w:rFonts w:ascii="Times New Roman" w:hAnsi="Times New Roman"/>
          <w:sz w:val="24"/>
          <w:szCs w:val="24"/>
          <w:lang w:val="mk-MK" w:eastAsia="en-GB"/>
        </w:rPr>
        <w:t xml:space="preserve"> за исправка на вредноста и посебна резерва,</w:t>
      </w:r>
      <w:r w:rsidRPr="005456E5">
        <w:rPr>
          <w:rFonts w:ascii="Times New Roman" w:hAnsi="Times New Roman"/>
          <w:sz w:val="24"/>
          <w:szCs w:val="24"/>
          <w:lang w:val="mk-MK" w:eastAsia="en-GB"/>
        </w:rPr>
        <w:t xml:space="preserve"> Банката обезбедува адекватно ниво на резервации за потенцијални загуби по кредити. </w:t>
      </w:r>
    </w:p>
    <w:p w14:paraId="5106785C" w14:textId="77777777" w:rsidR="0060035E" w:rsidRDefault="0060035E" w:rsidP="00025E8C">
      <w:pPr>
        <w:spacing w:before="240"/>
        <w:jc w:val="both"/>
        <w:rPr>
          <w:rFonts w:ascii="Times New Roman" w:hAnsi="Times New Roman"/>
          <w:sz w:val="24"/>
          <w:szCs w:val="24"/>
          <w:lang w:val="mk-MK" w:eastAsia="en-GB"/>
        </w:rPr>
      </w:pPr>
      <w:r>
        <w:rPr>
          <w:rFonts w:ascii="Times New Roman" w:hAnsi="Times New Roman"/>
          <w:sz w:val="24"/>
          <w:szCs w:val="24"/>
          <w:lang w:val="mk-MK" w:eastAsia="en-GB"/>
        </w:rPr>
        <w:t>Во 2022 година, Б</w:t>
      </w:r>
      <w:r w:rsidRPr="0060035E">
        <w:rPr>
          <w:rFonts w:ascii="Times New Roman" w:hAnsi="Times New Roman"/>
          <w:sz w:val="24"/>
          <w:szCs w:val="24"/>
          <w:lang w:val="mk-MK" w:eastAsia="en-GB"/>
        </w:rPr>
        <w:t>анката с</w:t>
      </w:r>
      <w:r>
        <w:rPr>
          <w:rFonts w:ascii="Times New Roman" w:hAnsi="Times New Roman"/>
          <w:sz w:val="24"/>
          <w:szCs w:val="24"/>
          <w:lang w:val="mk-MK" w:eastAsia="en-GB"/>
        </w:rPr>
        <w:t xml:space="preserve">е справуваше со </w:t>
      </w:r>
      <w:r w:rsidRPr="002968D8">
        <w:rPr>
          <w:rFonts w:ascii="Times New Roman" w:hAnsi="Times New Roman"/>
          <w:sz w:val="24"/>
          <w:szCs w:val="24"/>
          <w:lang w:val="mk-MK" w:eastAsia="en-GB"/>
        </w:rPr>
        <w:t>продолжените</w:t>
      </w:r>
      <w:r>
        <w:rPr>
          <w:rFonts w:ascii="Times New Roman" w:hAnsi="Times New Roman"/>
          <w:sz w:val="24"/>
          <w:szCs w:val="24"/>
          <w:lang w:val="mk-MK" w:eastAsia="en-GB"/>
        </w:rPr>
        <w:t xml:space="preserve"> </w:t>
      </w:r>
      <w:r w:rsidRPr="0060035E">
        <w:rPr>
          <w:rFonts w:ascii="Times New Roman" w:hAnsi="Times New Roman"/>
          <w:sz w:val="24"/>
          <w:szCs w:val="24"/>
          <w:lang w:val="mk-MK" w:eastAsia="en-GB"/>
        </w:rPr>
        <w:t>ефекти на пандемијата</w:t>
      </w:r>
      <w:r w:rsidR="00D00018">
        <w:rPr>
          <w:rFonts w:ascii="Times New Roman" w:hAnsi="Times New Roman"/>
          <w:sz w:val="24"/>
          <w:szCs w:val="24"/>
          <w:lang w:val="mk-MK" w:eastAsia="en-GB"/>
        </w:rPr>
        <w:t>, истовремено соочувајќи се со</w:t>
      </w:r>
      <w:r w:rsidRPr="0060035E">
        <w:rPr>
          <w:rFonts w:ascii="Times New Roman" w:hAnsi="Times New Roman"/>
          <w:sz w:val="24"/>
          <w:szCs w:val="24"/>
          <w:lang w:val="mk-MK" w:eastAsia="en-GB"/>
        </w:rPr>
        <w:t xml:space="preserve"> нови предизвици во форма на инфлација и нејзиното влијание врз целокупната економија. Банката беше во блиска соработка со своите клиенти и сите релевантни заинтересирани страни со цел да помогне во успешното </w:t>
      </w:r>
      <w:r w:rsidRPr="007D625F">
        <w:rPr>
          <w:rFonts w:ascii="Times New Roman" w:hAnsi="Times New Roman"/>
          <w:sz w:val="24"/>
          <w:szCs w:val="24"/>
          <w:lang w:val="mk-MK" w:eastAsia="en-GB"/>
        </w:rPr>
        <w:t>совладување</w:t>
      </w:r>
      <w:r w:rsidRPr="0060035E">
        <w:rPr>
          <w:rFonts w:ascii="Times New Roman" w:hAnsi="Times New Roman"/>
          <w:sz w:val="24"/>
          <w:szCs w:val="24"/>
          <w:lang w:val="mk-MK" w:eastAsia="en-GB"/>
        </w:rPr>
        <w:t xml:space="preserve"> на овие </w:t>
      </w:r>
      <w:r w:rsidRPr="007D625F">
        <w:rPr>
          <w:rFonts w:ascii="Times New Roman" w:hAnsi="Times New Roman"/>
          <w:sz w:val="24"/>
          <w:szCs w:val="24"/>
          <w:lang w:val="mk-MK" w:eastAsia="en-GB"/>
        </w:rPr>
        <w:t>историски</w:t>
      </w:r>
      <w:r w:rsidRPr="0060035E">
        <w:rPr>
          <w:rFonts w:ascii="Times New Roman" w:hAnsi="Times New Roman"/>
          <w:sz w:val="24"/>
          <w:szCs w:val="24"/>
          <w:lang w:val="mk-MK" w:eastAsia="en-GB"/>
        </w:rPr>
        <w:t xml:space="preserve"> предизвици. Независно од негативните влијанија на пандемијата врз економиите во светот, како и инфлацијата и енергетската криза воглавно предизвикани од Руско-украинската војна, Банката успе</w:t>
      </w:r>
      <w:r w:rsidR="007D625F">
        <w:rPr>
          <w:rFonts w:ascii="Times New Roman" w:hAnsi="Times New Roman"/>
          <w:sz w:val="24"/>
          <w:szCs w:val="24"/>
          <w:lang w:val="mk-MK" w:eastAsia="en-GB"/>
        </w:rPr>
        <w:t xml:space="preserve">а да го надогради силниот раст </w:t>
      </w:r>
      <w:r w:rsidRPr="0060035E">
        <w:rPr>
          <w:rFonts w:ascii="Times New Roman" w:hAnsi="Times New Roman"/>
          <w:sz w:val="24"/>
          <w:szCs w:val="24"/>
          <w:lang w:val="mk-MK" w:eastAsia="en-GB"/>
        </w:rPr>
        <w:t>о</w:t>
      </w:r>
      <w:r w:rsidR="007D625F">
        <w:rPr>
          <w:rFonts w:ascii="Times New Roman" w:hAnsi="Times New Roman"/>
          <w:sz w:val="24"/>
          <w:szCs w:val="24"/>
          <w:lang w:val="mk-MK" w:eastAsia="en-GB"/>
        </w:rPr>
        <w:t>д</w:t>
      </w:r>
      <w:r w:rsidRPr="0060035E">
        <w:rPr>
          <w:rFonts w:ascii="Times New Roman" w:hAnsi="Times New Roman"/>
          <w:sz w:val="24"/>
          <w:szCs w:val="24"/>
          <w:lang w:val="mk-MK" w:eastAsia="en-GB"/>
        </w:rPr>
        <w:t xml:space="preserve"> 2021 година и во исто време да </w:t>
      </w:r>
      <w:r w:rsidR="007D625F">
        <w:rPr>
          <w:rFonts w:ascii="Times New Roman" w:hAnsi="Times New Roman"/>
          <w:sz w:val="24"/>
          <w:szCs w:val="24"/>
          <w:lang w:val="mk-MK" w:eastAsia="en-GB"/>
        </w:rPr>
        <w:t>го зајакне</w:t>
      </w:r>
      <w:r w:rsidRPr="0060035E">
        <w:rPr>
          <w:rFonts w:ascii="Times New Roman" w:hAnsi="Times New Roman"/>
          <w:sz w:val="24"/>
          <w:szCs w:val="24"/>
          <w:lang w:val="mk-MK" w:eastAsia="en-GB"/>
        </w:rPr>
        <w:t xml:space="preserve"> квалитетот на кредитното корпоративно </w:t>
      </w:r>
      <w:r w:rsidR="007D625F">
        <w:rPr>
          <w:rFonts w:ascii="Times New Roman" w:hAnsi="Times New Roman"/>
          <w:sz w:val="24"/>
          <w:szCs w:val="24"/>
          <w:lang w:val="mk-MK" w:eastAsia="en-GB"/>
        </w:rPr>
        <w:t>порфтолио</w:t>
      </w:r>
      <w:r w:rsidRPr="007D625F">
        <w:rPr>
          <w:rFonts w:ascii="Times New Roman" w:hAnsi="Times New Roman"/>
          <w:sz w:val="24"/>
          <w:szCs w:val="24"/>
          <w:lang w:val="mk-MK" w:eastAsia="en-GB"/>
        </w:rPr>
        <w:t>.</w:t>
      </w:r>
      <w:r w:rsidR="00025E8C" w:rsidRPr="005456E5">
        <w:rPr>
          <w:rFonts w:ascii="Times New Roman" w:hAnsi="Times New Roman"/>
          <w:sz w:val="24"/>
          <w:szCs w:val="24"/>
          <w:lang w:val="mk-MK" w:eastAsia="en-GB"/>
        </w:rPr>
        <w:t xml:space="preserve"> </w:t>
      </w:r>
    </w:p>
    <w:p w14:paraId="004442AF" w14:textId="77777777" w:rsidR="00F33125" w:rsidRPr="001C5B17" w:rsidRDefault="00025E8C" w:rsidP="00025E8C">
      <w:pPr>
        <w:spacing w:before="240"/>
        <w:jc w:val="both"/>
        <w:rPr>
          <w:rFonts w:ascii="Times New Roman" w:hAnsi="Times New Roman"/>
          <w:b/>
          <w:i/>
          <w:sz w:val="24"/>
          <w:szCs w:val="24"/>
          <w:lang w:val="mk-MK"/>
        </w:rPr>
      </w:pPr>
      <w:r w:rsidRPr="005456E5">
        <w:rPr>
          <w:rFonts w:ascii="Times New Roman" w:hAnsi="Times New Roman"/>
          <w:sz w:val="24"/>
          <w:szCs w:val="24"/>
          <w:lang w:val="mk-MK" w:eastAsia="en-GB"/>
        </w:rPr>
        <w:lastRenderedPageBreak/>
        <w:t>Сите нејзини цели во рамки на кредитниот ризик, алатки и јасната структура на процесите на управување со ризици се инкорпорирани во внатрешните кредитни политики и Рамката за прифатливо ниво на ризик на Банката, одобрени од страна на Надзорниот одбор.</w:t>
      </w:r>
    </w:p>
    <w:p w14:paraId="55BEDE35" w14:textId="77777777" w:rsidR="00CF028F" w:rsidRPr="00F972A7" w:rsidRDefault="00025E8C" w:rsidP="00F972A7">
      <w:pPr>
        <w:rPr>
          <w:rFonts w:ascii="Times New Roman" w:hAnsi="Times New Roman"/>
          <w:i/>
          <w:sz w:val="24"/>
          <w:szCs w:val="24"/>
          <w:lang w:val="mk-MK"/>
        </w:rPr>
      </w:pPr>
      <w:r w:rsidRPr="00F972A7">
        <w:rPr>
          <w:rFonts w:ascii="Times New Roman" w:hAnsi="Times New Roman"/>
          <w:i/>
          <w:sz w:val="24"/>
          <w:szCs w:val="24"/>
          <w:lang w:val="mk-MK"/>
        </w:rPr>
        <w:t>Квалитет на кредитното портфолио</w:t>
      </w:r>
    </w:p>
    <w:p w14:paraId="165F7EA9" w14:textId="77777777" w:rsidR="00025E8C" w:rsidRPr="001C5B17" w:rsidRDefault="00025E8C" w:rsidP="006C1FBD">
      <w:pPr>
        <w:spacing w:before="240"/>
        <w:jc w:val="both"/>
        <w:rPr>
          <w:noProof/>
          <w:lang w:val="mk-MK"/>
        </w:rPr>
      </w:pPr>
      <w:r>
        <w:rPr>
          <w:rFonts w:ascii="Times New Roman" w:hAnsi="Times New Roman"/>
          <w:sz w:val="24"/>
          <w:szCs w:val="24"/>
          <w:lang w:val="mk-MK"/>
        </w:rPr>
        <w:t xml:space="preserve">Во рамки на имплементираната солидна рамка за управување со кредитен ризик, СБ успеа да одржи солидно и разновидно кредитно портфолио во </w:t>
      </w:r>
      <w:r w:rsidRPr="001C5B17">
        <w:rPr>
          <w:rFonts w:ascii="Times New Roman" w:hAnsi="Times New Roman"/>
          <w:sz w:val="24"/>
          <w:szCs w:val="24"/>
          <w:lang w:val="mk-MK"/>
        </w:rPr>
        <w:t>202</w:t>
      </w:r>
      <w:r w:rsidR="00262E6F">
        <w:rPr>
          <w:rFonts w:ascii="Times New Roman" w:hAnsi="Times New Roman"/>
          <w:sz w:val="24"/>
          <w:szCs w:val="24"/>
          <w:lang w:val="mk-MK"/>
        </w:rPr>
        <w:t>2</w:t>
      </w:r>
      <w:r>
        <w:rPr>
          <w:rFonts w:ascii="Times New Roman" w:hAnsi="Times New Roman"/>
          <w:sz w:val="24"/>
          <w:szCs w:val="24"/>
          <w:lang w:val="mk-MK"/>
        </w:rPr>
        <w:t xml:space="preserve"> година</w:t>
      </w:r>
      <w:r w:rsidRPr="001C5B17">
        <w:rPr>
          <w:rFonts w:ascii="Times New Roman" w:hAnsi="Times New Roman"/>
          <w:sz w:val="24"/>
          <w:szCs w:val="24"/>
          <w:lang w:val="mk-MK" w:eastAsia="en-GB"/>
        </w:rPr>
        <w:t>.</w:t>
      </w:r>
      <w:r>
        <w:rPr>
          <w:rFonts w:ascii="Times New Roman" w:hAnsi="Times New Roman"/>
          <w:sz w:val="24"/>
          <w:szCs w:val="24"/>
          <w:lang w:val="mk-MK" w:eastAsia="en-GB"/>
        </w:rPr>
        <w:t xml:space="preserve"> Растот на кредитното портфолио, проследено со одржување на низок и контролиран коефициент на нефункционални пласмани е една од главните стратешки цели, којашто банката успеа да ја оствари во изминатата година и покрај </w:t>
      </w:r>
      <w:r w:rsidR="00657A15">
        <w:rPr>
          <w:rFonts w:ascii="Times New Roman" w:hAnsi="Times New Roman"/>
          <w:sz w:val="24"/>
          <w:szCs w:val="24"/>
          <w:lang w:val="mk-MK" w:eastAsia="en-GB"/>
        </w:rPr>
        <w:t>зголемените инфлатор</w:t>
      </w:r>
      <w:r w:rsidR="00657A15" w:rsidRPr="00657A15">
        <w:rPr>
          <w:rFonts w:ascii="Times New Roman" w:hAnsi="Times New Roman"/>
          <w:sz w:val="24"/>
          <w:szCs w:val="24"/>
          <w:lang w:val="mk-MK" w:eastAsia="en-GB"/>
        </w:rPr>
        <w:t>ни притисоци, енергетската криза и предизвиците во синџирите на снабдувањ</w:t>
      </w:r>
      <w:r w:rsidR="00657A15">
        <w:rPr>
          <w:rFonts w:ascii="Times New Roman" w:hAnsi="Times New Roman"/>
          <w:sz w:val="24"/>
          <w:szCs w:val="24"/>
          <w:lang w:val="mk-MK" w:eastAsia="en-GB"/>
        </w:rPr>
        <w:t>е</w:t>
      </w:r>
      <w:r w:rsidR="00657A15" w:rsidRPr="00657A15">
        <w:rPr>
          <w:rFonts w:ascii="Times New Roman" w:hAnsi="Times New Roman"/>
          <w:sz w:val="24"/>
          <w:szCs w:val="24"/>
          <w:lang w:val="mk-MK" w:eastAsia="en-GB"/>
        </w:rPr>
        <w:t>.</w:t>
      </w:r>
    </w:p>
    <w:p w14:paraId="688ACE5E" w14:textId="77777777" w:rsidR="00657A15" w:rsidRDefault="00657A15" w:rsidP="00372BD2">
      <w:pPr>
        <w:spacing w:before="240"/>
        <w:jc w:val="center"/>
        <w:rPr>
          <w:rFonts w:ascii="Times New Roman" w:hAnsi="Times New Roman"/>
          <w:sz w:val="24"/>
          <w:szCs w:val="24"/>
        </w:rPr>
      </w:pPr>
      <w:r w:rsidRPr="00E52C67">
        <w:rPr>
          <w:noProof/>
        </w:rPr>
        <w:drawing>
          <wp:inline distT="0" distB="0" distL="0" distR="0" wp14:anchorId="49250E85" wp14:editId="2DAAE2E1">
            <wp:extent cx="3867912" cy="2066544"/>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67912" cy="2066544"/>
                    </a:xfrm>
                    <a:prstGeom prst="rect">
                      <a:avLst/>
                    </a:prstGeom>
                    <a:noFill/>
                    <a:ln>
                      <a:noFill/>
                    </a:ln>
                  </pic:spPr>
                </pic:pic>
              </a:graphicData>
            </a:graphic>
          </wp:inline>
        </w:drawing>
      </w:r>
    </w:p>
    <w:p w14:paraId="301BD619" w14:textId="77777777" w:rsidR="006C1FBD" w:rsidRDefault="00657A15" w:rsidP="00025E8C">
      <w:pPr>
        <w:spacing w:before="600"/>
        <w:jc w:val="both"/>
        <w:rPr>
          <w:rFonts w:ascii="Times New Roman" w:hAnsi="Times New Roman"/>
          <w:sz w:val="24"/>
          <w:szCs w:val="24"/>
          <w:lang w:val="mk-MK"/>
        </w:rPr>
      </w:pPr>
      <w:r w:rsidRPr="00657A15">
        <w:rPr>
          <w:rFonts w:ascii="Times New Roman" w:hAnsi="Times New Roman"/>
          <w:sz w:val="24"/>
          <w:szCs w:val="24"/>
          <w:lang w:val="mk-MK"/>
        </w:rPr>
        <w:t>Согласно Методологијата на НБРСМ, секоја изложеност на кредитен ризик се класифицира во една од петте категории (А, Б, В, Г и Д). Изложеноста во рамки на најдобра</w:t>
      </w:r>
      <w:r w:rsidR="00E17001">
        <w:rPr>
          <w:rFonts w:ascii="Times New Roman" w:hAnsi="Times New Roman"/>
          <w:sz w:val="24"/>
          <w:szCs w:val="24"/>
          <w:lang w:val="mk-MK"/>
        </w:rPr>
        <w:t xml:space="preserve">та категорија на кредитен ризик „A“ </w:t>
      </w:r>
      <w:r w:rsidR="00B65033">
        <w:rPr>
          <w:rFonts w:ascii="Times New Roman" w:hAnsi="Times New Roman"/>
          <w:sz w:val="24"/>
          <w:szCs w:val="24"/>
          <w:lang w:val="mk-MK"/>
        </w:rPr>
        <w:t>е</w:t>
      </w:r>
      <w:r w:rsidR="00E17001">
        <w:rPr>
          <w:rFonts w:ascii="Times New Roman" w:hAnsi="Times New Roman"/>
          <w:sz w:val="24"/>
          <w:szCs w:val="24"/>
          <w:lang w:val="mk-MK"/>
        </w:rPr>
        <w:t xml:space="preserve"> 86,1% во 2022</w:t>
      </w:r>
      <w:r w:rsidR="00B65033">
        <w:rPr>
          <w:rFonts w:ascii="Times New Roman" w:hAnsi="Times New Roman"/>
          <w:sz w:val="24"/>
          <w:szCs w:val="24"/>
          <w:lang w:val="mk-MK"/>
        </w:rPr>
        <w:t xml:space="preserve"> година</w:t>
      </w:r>
      <w:r w:rsidRPr="00657A15">
        <w:rPr>
          <w:rFonts w:ascii="Times New Roman" w:hAnsi="Times New Roman"/>
          <w:sz w:val="24"/>
          <w:szCs w:val="24"/>
          <w:lang w:val="mk-MK"/>
        </w:rPr>
        <w:t xml:space="preserve">, најмногу за сметка на изложеноста класифицирана во „Б“ категорија, која </w:t>
      </w:r>
      <w:r w:rsidR="00E17001">
        <w:rPr>
          <w:rFonts w:ascii="Times New Roman" w:hAnsi="Times New Roman"/>
          <w:sz w:val="24"/>
          <w:szCs w:val="24"/>
          <w:lang w:val="mk-MK"/>
        </w:rPr>
        <w:t xml:space="preserve">достигна 9,9% во </w:t>
      </w:r>
      <w:r w:rsidR="00E17001" w:rsidRPr="001C5B17">
        <w:rPr>
          <w:rFonts w:ascii="Times New Roman" w:hAnsi="Times New Roman"/>
          <w:sz w:val="24"/>
          <w:szCs w:val="24"/>
          <w:lang w:val="mk-MK"/>
        </w:rPr>
        <w:t xml:space="preserve">2022 </w:t>
      </w:r>
      <w:r w:rsidRPr="00657A15">
        <w:rPr>
          <w:rFonts w:ascii="Times New Roman" w:hAnsi="Times New Roman"/>
          <w:sz w:val="24"/>
          <w:szCs w:val="24"/>
          <w:lang w:val="mk-MK"/>
        </w:rPr>
        <w:t>година со примена на попрудентен overlay пристап (постмодел прилагодувања) при пресметката на исправката на вредност, со цел антиципирање на неизвесноста предизвикана од геополитичката и енергетската криза. Изложеностите класифицирани во категорија „Г“ и „Д“ со в</w:t>
      </w:r>
      <w:r w:rsidR="00E17001">
        <w:rPr>
          <w:rFonts w:ascii="Times New Roman" w:hAnsi="Times New Roman"/>
          <w:sz w:val="24"/>
          <w:szCs w:val="24"/>
          <w:lang w:val="mk-MK"/>
        </w:rPr>
        <w:t>исок кредитен ризик сочинуваат 3</w:t>
      </w:r>
      <w:r w:rsidRPr="00657A15">
        <w:rPr>
          <w:rFonts w:ascii="Times New Roman" w:hAnsi="Times New Roman"/>
          <w:sz w:val="24"/>
          <w:szCs w:val="24"/>
          <w:lang w:val="mk-MK"/>
        </w:rPr>
        <w:t>,0% од кредитното портфолио на Банката.</w:t>
      </w:r>
    </w:p>
    <w:p w14:paraId="36F150C7" w14:textId="77777777" w:rsidR="00025E8C" w:rsidRPr="00F972A7" w:rsidRDefault="00025E8C" w:rsidP="00F972A7">
      <w:pPr>
        <w:rPr>
          <w:rFonts w:ascii="Times New Roman" w:hAnsi="Times New Roman"/>
          <w:i/>
          <w:sz w:val="24"/>
          <w:szCs w:val="24"/>
          <w:lang w:val="mk-MK"/>
        </w:rPr>
      </w:pPr>
      <w:r w:rsidRPr="00657A15">
        <w:rPr>
          <w:rFonts w:ascii="Times New Roman" w:hAnsi="Times New Roman"/>
          <w:i/>
          <w:sz w:val="24"/>
          <w:szCs w:val="24"/>
          <w:lang w:val="mk-MK"/>
        </w:rPr>
        <w:t>Структура на концентрацијата</w:t>
      </w:r>
      <w:r>
        <w:rPr>
          <w:rFonts w:ascii="Times New Roman" w:hAnsi="Times New Roman"/>
          <w:i/>
          <w:sz w:val="24"/>
          <w:szCs w:val="24"/>
          <w:lang w:val="mk-MK"/>
        </w:rPr>
        <w:t xml:space="preserve"> </w:t>
      </w:r>
    </w:p>
    <w:p w14:paraId="62B4B802" w14:textId="77777777" w:rsidR="00025E8C" w:rsidRPr="00DC6FDE" w:rsidRDefault="00025E8C" w:rsidP="00025E8C">
      <w:pPr>
        <w:spacing w:before="240"/>
        <w:jc w:val="both"/>
        <w:rPr>
          <w:rFonts w:asciiTheme="minorHAnsi" w:hAnsiTheme="minorHAnsi"/>
          <w:sz w:val="24"/>
          <w:szCs w:val="24"/>
          <w:lang w:val="mk-MK"/>
        </w:rPr>
      </w:pPr>
      <w:r w:rsidRPr="00DC6FDE">
        <w:rPr>
          <w:rFonts w:ascii="Times New Roman" w:hAnsi="Times New Roman"/>
          <w:sz w:val="24"/>
          <w:szCs w:val="24"/>
          <w:lang w:val="mk-MK"/>
        </w:rPr>
        <w:t>Кредитниот ризик од концентрација</w:t>
      </w:r>
      <w:r w:rsidRPr="001C5B17">
        <w:rPr>
          <w:rFonts w:ascii="Times New Roman" w:hAnsi="Times New Roman"/>
          <w:sz w:val="24"/>
          <w:szCs w:val="24"/>
          <w:lang w:val="mk-MK"/>
        </w:rPr>
        <w:t xml:space="preserve"> </w:t>
      </w:r>
      <w:r w:rsidRPr="00DC6FDE">
        <w:rPr>
          <w:rFonts w:ascii="Times New Roman" w:hAnsi="Times New Roman"/>
          <w:sz w:val="24"/>
          <w:szCs w:val="24"/>
          <w:lang w:val="mk-MK"/>
        </w:rPr>
        <w:t>е ризик од загуба</w:t>
      </w:r>
      <w:r w:rsidRPr="001C5B17">
        <w:rPr>
          <w:rFonts w:ascii="Times New Roman" w:hAnsi="Times New Roman"/>
          <w:sz w:val="24"/>
          <w:szCs w:val="24"/>
          <w:lang w:val="mk-MK"/>
        </w:rPr>
        <w:t xml:space="preserve"> </w:t>
      </w:r>
      <w:r w:rsidRPr="00DC6FDE">
        <w:rPr>
          <w:rFonts w:ascii="Times New Roman" w:hAnsi="Times New Roman"/>
          <w:sz w:val="24"/>
          <w:szCs w:val="24"/>
          <w:lang w:val="mk-MK"/>
        </w:rPr>
        <w:t>поради недостаток</w:t>
      </w:r>
      <w:r w:rsidRPr="001C5B17">
        <w:rPr>
          <w:rFonts w:ascii="Times New Roman" w:hAnsi="Times New Roman"/>
          <w:sz w:val="24"/>
          <w:szCs w:val="24"/>
          <w:lang w:val="mk-MK"/>
        </w:rPr>
        <w:t xml:space="preserve"> </w:t>
      </w:r>
      <w:r>
        <w:rPr>
          <w:rFonts w:ascii="Times New Roman" w:hAnsi="Times New Roman"/>
          <w:sz w:val="24"/>
          <w:szCs w:val="24"/>
          <w:lang w:val="mk-MK"/>
        </w:rPr>
        <w:t>на диверз</w:t>
      </w:r>
      <w:r w:rsidRPr="00DC6FDE">
        <w:rPr>
          <w:rFonts w:ascii="Times New Roman" w:hAnsi="Times New Roman"/>
          <w:sz w:val="24"/>
          <w:szCs w:val="24"/>
          <w:lang w:val="mk-MK"/>
        </w:rPr>
        <w:t>ификација</w:t>
      </w:r>
      <w:r w:rsidRPr="001C5B17">
        <w:rPr>
          <w:rFonts w:ascii="Times New Roman" w:hAnsi="Times New Roman"/>
          <w:sz w:val="24"/>
          <w:szCs w:val="24"/>
          <w:lang w:val="mk-MK"/>
        </w:rPr>
        <w:t xml:space="preserve"> </w:t>
      </w:r>
      <w:r w:rsidRPr="00DC6FDE">
        <w:rPr>
          <w:rFonts w:ascii="Times New Roman" w:hAnsi="Times New Roman"/>
          <w:sz w:val="24"/>
          <w:szCs w:val="24"/>
          <w:lang w:val="mk-MK"/>
        </w:rPr>
        <w:t>на ризиците</w:t>
      </w:r>
      <w:r w:rsidRPr="001C5B17">
        <w:rPr>
          <w:rFonts w:ascii="Times New Roman" w:hAnsi="Times New Roman"/>
          <w:sz w:val="24"/>
          <w:szCs w:val="24"/>
          <w:lang w:val="mk-MK"/>
        </w:rPr>
        <w:t xml:space="preserve"> </w:t>
      </w:r>
      <w:r w:rsidRPr="00DC6FDE">
        <w:rPr>
          <w:rFonts w:ascii="Times New Roman" w:hAnsi="Times New Roman"/>
          <w:sz w:val="24"/>
          <w:szCs w:val="24"/>
          <w:lang w:val="mk-MK"/>
        </w:rPr>
        <w:t>во портфолиото</w:t>
      </w:r>
      <w:r>
        <w:rPr>
          <w:rFonts w:ascii="Times New Roman" w:hAnsi="Times New Roman"/>
          <w:sz w:val="24"/>
          <w:szCs w:val="24"/>
          <w:lang w:val="mk-MK"/>
        </w:rPr>
        <w:t>,</w:t>
      </w:r>
      <w:r w:rsidRPr="001C5B17">
        <w:rPr>
          <w:rFonts w:ascii="Times New Roman" w:hAnsi="Times New Roman"/>
          <w:sz w:val="24"/>
          <w:szCs w:val="24"/>
          <w:lang w:val="mk-MK"/>
        </w:rPr>
        <w:t xml:space="preserve"> </w:t>
      </w:r>
      <w:r>
        <w:rPr>
          <w:rFonts w:ascii="Times New Roman" w:hAnsi="Times New Roman"/>
          <w:sz w:val="24"/>
          <w:szCs w:val="24"/>
          <w:lang w:val="mk-MK"/>
        </w:rPr>
        <w:t>предизвикан</w:t>
      </w:r>
      <w:r w:rsidRPr="00DC6FDE">
        <w:rPr>
          <w:rFonts w:ascii="Times New Roman" w:hAnsi="Times New Roman"/>
          <w:sz w:val="24"/>
          <w:szCs w:val="24"/>
          <w:lang w:val="mk-MK"/>
        </w:rPr>
        <w:t xml:space="preserve"> од релативно големи</w:t>
      </w:r>
      <w:r w:rsidRPr="001C5B17">
        <w:rPr>
          <w:rFonts w:ascii="Times New Roman" w:hAnsi="Times New Roman"/>
          <w:sz w:val="24"/>
          <w:szCs w:val="24"/>
          <w:lang w:val="mk-MK"/>
        </w:rPr>
        <w:t xml:space="preserve"> </w:t>
      </w:r>
      <w:r w:rsidRPr="00DC6FDE">
        <w:rPr>
          <w:rFonts w:ascii="Times New Roman" w:hAnsi="Times New Roman"/>
          <w:sz w:val="24"/>
          <w:szCs w:val="24"/>
          <w:lang w:val="mk-MK"/>
        </w:rPr>
        <w:t>концентрации на изложености</w:t>
      </w:r>
      <w:r w:rsidRPr="001C5B17">
        <w:rPr>
          <w:rFonts w:ascii="Times New Roman" w:hAnsi="Times New Roman"/>
          <w:sz w:val="24"/>
          <w:szCs w:val="24"/>
          <w:lang w:val="mk-MK"/>
        </w:rPr>
        <w:t xml:space="preserve"> </w:t>
      </w:r>
      <w:r w:rsidRPr="00DC6FDE">
        <w:rPr>
          <w:rFonts w:ascii="Times New Roman" w:hAnsi="Times New Roman"/>
          <w:sz w:val="24"/>
          <w:szCs w:val="24"/>
          <w:lang w:val="mk-MK"/>
        </w:rPr>
        <w:t>кон позитивни</w:t>
      </w:r>
      <w:r w:rsidRPr="001C5B17">
        <w:rPr>
          <w:rFonts w:ascii="Times New Roman" w:hAnsi="Times New Roman"/>
          <w:sz w:val="24"/>
          <w:szCs w:val="24"/>
          <w:lang w:val="mk-MK"/>
        </w:rPr>
        <w:t xml:space="preserve"> </w:t>
      </w:r>
      <w:r w:rsidRPr="00DC6FDE">
        <w:rPr>
          <w:rFonts w:ascii="Times New Roman" w:hAnsi="Times New Roman"/>
          <w:sz w:val="24"/>
          <w:szCs w:val="24"/>
          <w:lang w:val="mk-MK"/>
        </w:rPr>
        <w:t>и во голема мера</w:t>
      </w:r>
      <w:r w:rsidRPr="001C5B17">
        <w:rPr>
          <w:rFonts w:ascii="Times New Roman" w:hAnsi="Times New Roman"/>
          <w:sz w:val="24"/>
          <w:szCs w:val="24"/>
          <w:lang w:val="mk-MK"/>
        </w:rPr>
        <w:t xml:space="preserve"> </w:t>
      </w:r>
      <w:r w:rsidRPr="00DC6FDE">
        <w:rPr>
          <w:rFonts w:ascii="Times New Roman" w:hAnsi="Times New Roman"/>
          <w:sz w:val="24"/>
          <w:szCs w:val="24"/>
          <w:lang w:val="mk-MK"/>
        </w:rPr>
        <w:t>поврзани договорни страни</w:t>
      </w:r>
      <w:r w:rsidRPr="00DC6FDE">
        <w:rPr>
          <w:rFonts w:ascii="Macedonian Tms" w:hAnsi="Macedonian Tms"/>
          <w:sz w:val="24"/>
          <w:szCs w:val="24"/>
          <w:lang w:val="mk-MK"/>
        </w:rPr>
        <w:t xml:space="preserve"> (</w:t>
      </w:r>
      <w:r w:rsidRPr="00DC6FDE">
        <w:rPr>
          <w:rFonts w:ascii="Times New Roman" w:hAnsi="Times New Roman"/>
          <w:sz w:val="24"/>
          <w:szCs w:val="24"/>
          <w:lang w:val="mk-MK"/>
        </w:rPr>
        <w:t>коминтенти</w:t>
      </w:r>
      <w:r w:rsidRPr="00DC6FDE">
        <w:rPr>
          <w:rFonts w:ascii="Macedonian Tms" w:hAnsi="Macedonian Tms"/>
          <w:sz w:val="24"/>
          <w:szCs w:val="24"/>
          <w:lang w:val="mk-MK"/>
        </w:rPr>
        <w:t xml:space="preserve">). </w:t>
      </w:r>
      <w:r w:rsidRPr="00DC6FDE">
        <w:rPr>
          <w:rFonts w:ascii="Times New Roman" w:hAnsi="Times New Roman"/>
          <w:sz w:val="24"/>
          <w:szCs w:val="24"/>
          <w:lang w:val="mk-MK"/>
        </w:rPr>
        <w:t>Со цел да се избегнат</w:t>
      </w:r>
      <w:r w:rsidRPr="001C5B17">
        <w:rPr>
          <w:rFonts w:ascii="Times New Roman" w:hAnsi="Times New Roman"/>
          <w:sz w:val="24"/>
          <w:szCs w:val="24"/>
          <w:lang w:val="mk-MK"/>
        </w:rPr>
        <w:t xml:space="preserve"> </w:t>
      </w:r>
      <w:r w:rsidRPr="00DC6FDE">
        <w:rPr>
          <w:rFonts w:ascii="Times New Roman" w:hAnsi="Times New Roman"/>
          <w:sz w:val="24"/>
          <w:szCs w:val="24"/>
          <w:lang w:val="mk-MK"/>
        </w:rPr>
        <w:t>прекумерни концентрации</w:t>
      </w:r>
      <w:r w:rsidRPr="001C5B17">
        <w:rPr>
          <w:rFonts w:ascii="Times New Roman" w:hAnsi="Times New Roman"/>
          <w:sz w:val="24"/>
          <w:szCs w:val="24"/>
          <w:lang w:val="mk-MK"/>
        </w:rPr>
        <w:t xml:space="preserve"> </w:t>
      </w:r>
      <w:r w:rsidRPr="00DC6FDE">
        <w:rPr>
          <w:rFonts w:ascii="Times New Roman" w:hAnsi="Times New Roman"/>
          <w:sz w:val="24"/>
          <w:szCs w:val="24"/>
          <w:lang w:val="mk-MK"/>
        </w:rPr>
        <w:t>на кредитен ризик</w:t>
      </w:r>
      <w:r w:rsidRPr="00DC6FDE">
        <w:rPr>
          <w:rFonts w:ascii="Macedonian Tms" w:hAnsi="Macedonian Tms"/>
          <w:sz w:val="24"/>
          <w:szCs w:val="24"/>
          <w:lang w:val="mk-MK"/>
        </w:rPr>
        <w:t xml:space="preserve">, </w:t>
      </w:r>
      <w:r w:rsidRPr="00DC6FDE">
        <w:rPr>
          <w:rFonts w:ascii="Times New Roman" w:hAnsi="Times New Roman"/>
          <w:sz w:val="24"/>
          <w:szCs w:val="24"/>
          <w:lang w:val="mk-MK"/>
        </w:rPr>
        <w:t>СБ има за цел</w:t>
      </w:r>
      <w:r w:rsidRPr="001C5B17">
        <w:rPr>
          <w:rFonts w:ascii="Times New Roman" w:hAnsi="Times New Roman"/>
          <w:sz w:val="24"/>
          <w:szCs w:val="24"/>
          <w:lang w:val="mk-MK"/>
        </w:rPr>
        <w:t xml:space="preserve"> </w:t>
      </w:r>
      <w:r w:rsidRPr="00DC6FDE">
        <w:rPr>
          <w:rFonts w:ascii="Times New Roman" w:hAnsi="Times New Roman"/>
          <w:sz w:val="24"/>
          <w:szCs w:val="24"/>
          <w:lang w:val="mk-MK"/>
        </w:rPr>
        <w:t>да го диверзифицира</w:t>
      </w:r>
      <w:r w:rsidRPr="001C5B17">
        <w:rPr>
          <w:rFonts w:ascii="Times New Roman" w:hAnsi="Times New Roman"/>
          <w:sz w:val="24"/>
          <w:szCs w:val="24"/>
          <w:lang w:val="mk-MK"/>
        </w:rPr>
        <w:t xml:space="preserve"> </w:t>
      </w:r>
      <w:r w:rsidRPr="00DC6FDE">
        <w:rPr>
          <w:rFonts w:ascii="Times New Roman" w:hAnsi="Times New Roman"/>
          <w:sz w:val="24"/>
          <w:szCs w:val="24"/>
          <w:lang w:val="mk-MK"/>
        </w:rPr>
        <w:t>кредитниот ризик</w:t>
      </w:r>
      <w:r w:rsidRPr="001C5B17">
        <w:rPr>
          <w:rFonts w:ascii="Times New Roman" w:hAnsi="Times New Roman"/>
          <w:sz w:val="24"/>
          <w:szCs w:val="24"/>
          <w:lang w:val="mk-MK"/>
        </w:rPr>
        <w:t xml:space="preserve"> </w:t>
      </w:r>
      <w:r w:rsidRPr="00DC6FDE">
        <w:rPr>
          <w:rFonts w:ascii="Times New Roman" w:hAnsi="Times New Roman"/>
          <w:sz w:val="24"/>
          <w:szCs w:val="24"/>
          <w:lang w:val="mk-MK"/>
        </w:rPr>
        <w:t>и да утврди</w:t>
      </w:r>
      <w:r w:rsidRPr="001C5B17">
        <w:rPr>
          <w:rFonts w:ascii="Times New Roman" w:hAnsi="Times New Roman"/>
          <w:sz w:val="24"/>
          <w:szCs w:val="24"/>
          <w:lang w:val="mk-MK"/>
        </w:rPr>
        <w:t xml:space="preserve"> </w:t>
      </w:r>
      <w:r w:rsidRPr="00DC6FDE">
        <w:rPr>
          <w:rFonts w:ascii="Times New Roman" w:hAnsi="Times New Roman"/>
          <w:sz w:val="24"/>
          <w:szCs w:val="24"/>
          <w:lang w:val="mk-MK"/>
        </w:rPr>
        <w:t>лимити кон</w:t>
      </w:r>
      <w:r w:rsidRPr="001C5B17">
        <w:rPr>
          <w:rFonts w:ascii="Times New Roman" w:hAnsi="Times New Roman"/>
          <w:sz w:val="24"/>
          <w:szCs w:val="24"/>
          <w:lang w:val="mk-MK"/>
        </w:rPr>
        <w:t xml:space="preserve"> </w:t>
      </w:r>
      <w:r w:rsidRPr="00DC6FDE">
        <w:rPr>
          <w:rFonts w:ascii="Times New Roman" w:hAnsi="Times New Roman"/>
          <w:sz w:val="24"/>
          <w:szCs w:val="24"/>
          <w:lang w:val="mk-MK"/>
        </w:rPr>
        <w:t>клиенти поединци</w:t>
      </w:r>
      <w:r w:rsidRPr="001C5B17">
        <w:rPr>
          <w:rFonts w:ascii="Times New Roman" w:hAnsi="Times New Roman"/>
          <w:sz w:val="24"/>
          <w:szCs w:val="24"/>
          <w:lang w:val="mk-MK"/>
        </w:rPr>
        <w:t xml:space="preserve"> </w:t>
      </w:r>
      <w:r w:rsidRPr="00DC6FDE">
        <w:rPr>
          <w:rFonts w:ascii="Times New Roman" w:hAnsi="Times New Roman"/>
          <w:sz w:val="24"/>
          <w:szCs w:val="24"/>
          <w:lang w:val="mk-MK"/>
        </w:rPr>
        <w:t>и групи</w:t>
      </w:r>
      <w:r w:rsidRPr="001C5B17">
        <w:rPr>
          <w:rFonts w:ascii="Times New Roman" w:hAnsi="Times New Roman"/>
          <w:sz w:val="24"/>
          <w:szCs w:val="24"/>
          <w:lang w:val="mk-MK"/>
        </w:rPr>
        <w:t xml:space="preserve"> </w:t>
      </w:r>
      <w:r w:rsidRPr="00DC6FDE">
        <w:rPr>
          <w:rFonts w:ascii="Times New Roman" w:hAnsi="Times New Roman"/>
          <w:sz w:val="24"/>
          <w:szCs w:val="24"/>
          <w:lang w:val="mk-MK"/>
        </w:rPr>
        <w:t>на поврзани клиенти</w:t>
      </w:r>
      <w:r w:rsidRPr="00DC6FDE">
        <w:rPr>
          <w:rFonts w:ascii="Macedonian Tms" w:hAnsi="Macedonian Tms"/>
          <w:sz w:val="24"/>
          <w:szCs w:val="24"/>
          <w:lang w:val="mk-MK"/>
        </w:rPr>
        <w:t xml:space="preserve"> (</w:t>
      </w:r>
      <w:r w:rsidRPr="00DC6FDE">
        <w:rPr>
          <w:rFonts w:ascii="Times New Roman" w:hAnsi="Times New Roman"/>
          <w:sz w:val="24"/>
          <w:szCs w:val="24"/>
          <w:lang w:val="mk-MK"/>
        </w:rPr>
        <w:t>концентрација на должници</w:t>
      </w:r>
      <w:r w:rsidRPr="00DC6FDE">
        <w:rPr>
          <w:rFonts w:ascii="Macedonian Tms" w:hAnsi="Macedonian Tms"/>
          <w:sz w:val="24"/>
          <w:szCs w:val="24"/>
          <w:lang w:val="mk-MK"/>
        </w:rPr>
        <w:t xml:space="preserve">), </w:t>
      </w:r>
      <w:r w:rsidRPr="00DC6FDE">
        <w:rPr>
          <w:rFonts w:ascii="Times New Roman" w:hAnsi="Times New Roman"/>
          <w:sz w:val="24"/>
          <w:szCs w:val="24"/>
          <w:lang w:val="mk-MK"/>
        </w:rPr>
        <w:t>изложеност во</w:t>
      </w:r>
      <w:r w:rsidRPr="001C5B17">
        <w:rPr>
          <w:rFonts w:ascii="Times New Roman" w:hAnsi="Times New Roman"/>
          <w:sz w:val="24"/>
          <w:szCs w:val="24"/>
          <w:lang w:val="mk-MK"/>
        </w:rPr>
        <w:t xml:space="preserve"> </w:t>
      </w:r>
      <w:r w:rsidRPr="00DC6FDE">
        <w:rPr>
          <w:rFonts w:ascii="Times New Roman" w:hAnsi="Times New Roman"/>
          <w:sz w:val="24"/>
          <w:szCs w:val="24"/>
          <w:lang w:val="mk-MK"/>
        </w:rPr>
        <w:t xml:space="preserve">рамките на </w:t>
      </w:r>
      <w:r w:rsidRPr="00DC6FDE">
        <w:rPr>
          <w:rFonts w:ascii="Times New Roman" w:hAnsi="Times New Roman"/>
          <w:sz w:val="24"/>
          <w:szCs w:val="24"/>
          <w:lang w:val="mk-MK"/>
        </w:rPr>
        <w:lastRenderedPageBreak/>
        <w:t>одреден индустриски сектор</w:t>
      </w:r>
      <w:r w:rsidRPr="00DC6FDE">
        <w:rPr>
          <w:rFonts w:ascii="Macedonian Tms" w:hAnsi="Macedonian Tms"/>
          <w:sz w:val="24"/>
          <w:szCs w:val="24"/>
          <w:lang w:val="mk-MK"/>
        </w:rPr>
        <w:t xml:space="preserve"> (</w:t>
      </w:r>
      <w:r w:rsidRPr="00DC6FDE">
        <w:rPr>
          <w:rFonts w:ascii="Times New Roman" w:hAnsi="Times New Roman"/>
          <w:sz w:val="24"/>
          <w:szCs w:val="24"/>
          <w:lang w:val="mk-MK"/>
        </w:rPr>
        <w:t>концентрација на индустрија</w:t>
      </w:r>
      <w:r w:rsidRPr="00DC6FDE">
        <w:rPr>
          <w:rFonts w:ascii="Macedonian Tms" w:hAnsi="Macedonian Tms"/>
          <w:sz w:val="24"/>
          <w:szCs w:val="24"/>
          <w:lang w:val="mk-MK"/>
        </w:rPr>
        <w:t xml:space="preserve">), </w:t>
      </w:r>
      <w:r>
        <w:rPr>
          <w:rFonts w:ascii="Times New Roman" w:hAnsi="Times New Roman"/>
          <w:sz w:val="24"/>
          <w:szCs w:val="24"/>
          <w:lang w:val="mk-MK"/>
        </w:rPr>
        <w:t>вид на обезбедување</w:t>
      </w:r>
      <w:r w:rsidRPr="00DC6FDE">
        <w:rPr>
          <w:rFonts w:ascii="Times New Roman" w:hAnsi="Times New Roman"/>
          <w:sz w:val="24"/>
          <w:szCs w:val="24"/>
          <w:lang w:val="mk-MK"/>
        </w:rPr>
        <w:t xml:space="preserve"> итн</w:t>
      </w:r>
      <w:r w:rsidRPr="00DC6FDE">
        <w:rPr>
          <w:rFonts w:ascii="Macedonian Tms" w:hAnsi="Macedonian Tms"/>
          <w:sz w:val="24"/>
          <w:szCs w:val="24"/>
          <w:lang w:val="mk-MK"/>
        </w:rPr>
        <w:t xml:space="preserve">. </w:t>
      </w:r>
      <w:r w:rsidRPr="00DC6FDE">
        <w:rPr>
          <w:rFonts w:ascii="Times New Roman" w:hAnsi="Times New Roman"/>
          <w:sz w:val="24"/>
          <w:szCs w:val="24"/>
          <w:lang w:val="mk-MK"/>
        </w:rPr>
        <w:t>Утврдените лимити</w:t>
      </w:r>
      <w:r w:rsidRPr="001C5B17">
        <w:rPr>
          <w:rFonts w:ascii="Times New Roman" w:hAnsi="Times New Roman"/>
          <w:sz w:val="24"/>
          <w:szCs w:val="24"/>
          <w:lang w:val="mk-MK"/>
        </w:rPr>
        <w:t xml:space="preserve"> </w:t>
      </w:r>
      <w:r>
        <w:rPr>
          <w:rFonts w:ascii="Times New Roman" w:hAnsi="Times New Roman"/>
          <w:sz w:val="24"/>
          <w:szCs w:val="24"/>
          <w:lang w:val="mk-MK"/>
        </w:rPr>
        <w:t>се ревидираат</w:t>
      </w:r>
      <w:r w:rsidRPr="00DC6FDE">
        <w:rPr>
          <w:rFonts w:ascii="Times New Roman" w:hAnsi="Times New Roman"/>
          <w:sz w:val="24"/>
          <w:szCs w:val="24"/>
          <w:lang w:val="mk-MK"/>
        </w:rPr>
        <w:t xml:space="preserve"> најмалку</w:t>
      </w:r>
      <w:r w:rsidRPr="001C5B17">
        <w:rPr>
          <w:rFonts w:ascii="Times New Roman" w:hAnsi="Times New Roman"/>
          <w:sz w:val="24"/>
          <w:szCs w:val="24"/>
          <w:lang w:val="mk-MK"/>
        </w:rPr>
        <w:t xml:space="preserve"> </w:t>
      </w:r>
      <w:r w:rsidRPr="00DC6FDE">
        <w:rPr>
          <w:rFonts w:ascii="Times New Roman" w:hAnsi="Times New Roman"/>
          <w:sz w:val="24"/>
          <w:szCs w:val="24"/>
          <w:lang w:val="mk-MK"/>
        </w:rPr>
        <w:t>на годишна основа</w:t>
      </w:r>
      <w:r w:rsidRPr="001C5B17">
        <w:rPr>
          <w:rFonts w:ascii="Times New Roman" w:hAnsi="Times New Roman"/>
          <w:sz w:val="24"/>
          <w:szCs w:val="24"/>
          <w:lang w:val="mk-MK"/>
        </w:rPr>
        <w:t xml:space="preserve"> </w:t>
      </w:r>
      <w:r w:rsidRPr="00DC6FDE">
        <w:rPr>
          <w:rFonts w:ascii="Times New Roman" w:hAnsi="Times New Roman"/>
          <w:sz w:val="24"/>
          <w:szCs w:val="24"/>
          <w:lang w:val="mk-MK"/>
        </w:rPr>
        <w:t>како дел од</w:t>
      </w:r>
      <w:r w:rsidRPr="001C5B17">
        <w:rPr>
          <w:rFonts w:ascii="Times New Roman" w:hAnsi="Times New Roman"/>
          <w:sz w:val="24"/>
          <w:szCs w:val="24"/>
          <w:lang w:val="mk-MK"/>
        </w:rPr>
        <w:t xml:space="preserve"> </w:t>
      </w:r>
      <w:r w:rsidRPr="00DC6FDE">
        <w:rPr>
          <w:rFonts w:ascii="Times New Roman" w:hAnsi="Times New Roman"/>
          <w:sz w:val="24"/>
          <w:szCs w:val="24"/>
          <w:lang w:val="mk-MK"/>
        </w:rPr>
        <w:t>политиките</w:t>
      </w:r>
      <w:r w:rsidRPr="001C5B17">
        <w:rPr>
          <w:rFonts w:ascii="Times New Roman" w:hAnsi="Times New Roman"/>
          <w:sz w:val="24"/>
          <w:szCs w:val="24"/>
          <w:lang w:val="mk-MK"/>
        </w:rPr>
        <w:t xml:space="preserve"> </w:t>
      </w:r>
      <w:r w:rsidRPr="00DC6FDE">
        <w:rPr>
          <w:rFonts w:ascii="Times New Roman" w:hAnsi="Times New Roman"/>
          <w:sz w:val="24"/>
          <w:szCs w:val="24"/>
          <w:lang w:val="mk-MK"/>
        </w:rPr>
        <w:t>и</w:t>
      </w:r>
      <w:r w:rsidRPr="001C5B17">
        <w:rPr>
          <w:rFonts w:ascii="Times New Roman" w:hAnsi="Times New Roman"/>
          <w:sz w:val="24"/>
          <w:szCs w:val="24"/>
          <w:lang w:val="mk-MK"/>
        </w:rPr>
        <w:t xml:space="preserve"> </w:t>
      </w:r>
      <w:r w:rsidRPr="00DC6FDE">
        <w:rPr>
          <w:rFonts w:ascii="Times New Roman" w:hAnsi="Times New Roman"/>
          <w:sz w:val="24"/>
          <w:szCs w:val="24"/>
          <w:lang w:val="mk-MK"/>
        </w:rPr>
        <w:t>процедурите</w:t>
      </w:r>
      <w:r w:rsidRPr="001C5B17">
        <w:rPr>
          <w:rFonts w:ascii="Times New Roman" w:hAnsi="Times New Roman"/>
          <w:sz w:val="24"/>
          <w:szCs w:val="24"/>
          <w:lang w:val="mk-MK"/>
        </w:rPr>
        <w:t xml:space="preserve"> </w:t>
      </w:r>
      <w:r w:rsidRPr="00DC6FDE">
        <w:rPr>
          <w:rFonts w:ascii="Times New Roman" w:hAnsi="Times New Roman"/>
          <w:sz w:val="24"/>
          <w:szCs w:val="24"/>
          <w:lang w:val="mk-MK"/>
        </w:rPr>
        <w:t>за кредитен ризик</w:t>
      </w:r>
      <w:r w:rsidRPr="00DC6FDE">
        <w:rPr>
          <w:rFonts w:ascii="Macedonian Tms" w:hAnsi="Macedonian Tms"/>
          <w:sz w:val="24"/>
          <w:szCs w:val="24"/>
          <w:lang w:val="mk-MK"/>
        </w:rPr>
        <w:t xml:space="preserve">. </w:t>
      </w:r>
    </w:p>
    <w:p w14:paraId="4A041D23" w14:textId="77777777" w:rsidR="00025E8C" w:rsidRPr="00F972A7" w:rsidRDefault="00025E8C" w:rsidP="00F972A7">
      <w:pPr>
        <w:spacing w:before="240"/>
        <w:jc w:val="both"/>
        <w:rPr>
          <w:rFonts w:ascii="Times New Roman" w:hAnsi="Times New Roman"/>
          <w:b/>
          <w:bCs/>
          <w:i/>
          <w:iCs/>
          <w:sz w:val="24"/>
          <w:szCs w:val="24"/>
          <w:lang w:val="mk-MK"/>
        </w:rPr>
      </w:pPr>
      <w:r w:rsidRPr="00DC6FDE">
        <w:rPr>
          <w:rFonts w:ascii="Times New Roman" w:hAnsi="Times New Roman"/>
          <w:bCs/>
          <w:sz w:val="24"/>
          <w:szCs w:val="24"/>
          <w:lang w:val="mk-MK"/>
        </w:rPr>
        <w:t>СБ ја следи кредитната изложеност</w:t>
      </w:r>
      <w:r w:rsidRPr="001C5B17">
        <w:rPr>
          <w:rFonts w:ascii="Times New Roman" w:hAnsi="Times New Roman"/>
          <w:bCs/>
          <w:sz w:val="24"/>
          <w:szCs w:val="24"/>
          <w:lang w:val="mk-MK"/>
        </w:rPr>
        <w:t xml:space="preserve"> </w:t>
      </w:r>
      <w:r w:rsidRPr="00DC6FDE">
        <w:rPr>
          <w:rFonts w:ascii="Times New Roman" w:hAnsi="Times New Roman"/>
          <w:bCs/>
          <w:sz w:val="24"/>
          <w:szCs w:val="24"/>
          <w:lang w:val="mk-MK"/>
        </w:rPr>
        <w:t>во однос на поставените лимити</w:t>
      </w:r>
      <w:r w:rsidRPr="001C5B17">
        <w:rPr>
          <w:rFonts w:ascii="Times New Roman" w:hAnsi="Times New Roman"/>
          <w:bCs/>
          <w:sz w:val="24"/>
          <w:szCs w:val="24"/>
          <w:lang w:val="mk-MK"/>
        </w:rPr>
        <w:t xml:space="preserve"> </w:t>
      </w:r>
      <w:r w:rsidRPr="00DC6FDE">
        <w:rPr>
          <w:rFonts w:ascii="Times New Roman" w:hAnsi="Times New Roman"/>
          <w:bCs/>
          <w:sz w:val="24"/>
          <w:szCs w:val="24"/>
          <w:lang w:val="mk-MK"/>
        </w:rPr>
        <w:t>на концентрација</w:t>
      </w:r>
      <w:r w:rsidRPr="001C5B17">
        <w:rPr>
          <w:rFonts w:ascii="Times New Roman" w:hAnsi="Times New Roman"/>
          <w:bCs/>
          <w:sz w:val="24"/>
          <w:szCs w:val="24"/>
          <w:lang w:val="mk-MK"/>
        </w:rPr>
        <w:t xml:space="preserve"> </w:t>
      </w:r>
      <w:r w:rsidRPr="00DC6FDE">
        <w:rPr>
          <w:rFonts w:ascii="Times New Roman" w:hAnsi="Times New Roman"/>
          <w:bCs/>
          <w:sz w:val="24"/>
          <w:szCs w:val="24"/>
          <w:lang w:val="mk-MK"/>
        </w:rPr>
        <w:t>на редовна основа</w:t>
      </w:r>
      <w:r w:rsidRPr="00DC6FDE">
        <w:rPr>
          <w:rFonts w:ascii="Macedonian Tms" w:hAnsi="Macedonian Tms"/>
          <w:bCs/>
          <w:sz w:val="24"/>
          <w:szCs w:val="24"/>
          <w:lang w:val="mk-MK"/>
        </w:rPr>
        <w:t xml:space="preserve">, </w:t>
      </w:r>
      <w:r>
        <w:rPr>
          <w:rFonts w:ascii="Times New Roman" w:hAnsi="Times New Roman"/>
          <w:bCs/>
          <w:sz w:val="24"/>
          <w:szCs w:val="24"/>
          <w:lang w:val="mk-MK"/>
        </w:rPr>
        <w:t>пот</w:t>
      </w:r>
      <w:r w:rsidRPr="00DC6FDE">
        <w:rPr>
          <w:rFonts w:ascii="Times New Roman" w:hAnsi="Times New Roman"/>
          <w:bCs/>
          <w:sz w:val="24"/>
          <w:szCs w:val="24"/>
          <w:lang w:val="mk-MK"/>
        </w:rPr>
        <w:t>к</w:t>
      </w:r>
      <w:r>
        <w:rPr>
          <w:rFonts w:ascii="Times New Roman" w:hAnsi="Times New Roman"/>
          <w:bCs/>
          <w:sz w:val="24"/>
          <w:szCs w:val="24"/>
          <w:lang w:val="mk-MK"/>
        </w:rPr>
        <w:t>р</w:t>
      </w:r>
      <w:r w:rsidRPr="00DC6FDE">
        <w:rPr>
          <w:rFonts w:ascii="Times New Roman" w:hAnsi="Times New Roman"/>
          <w:bCs/>
          <w:sz w:val="24"/>
          <w:szCs w:val="24"/>
          <w:lang w:val="mk-MK"/>
        </w:rPr>
        <w:t>епувајќи ги заклучоците</w:t>
      </w:r>
      <w:r w:rsidRPr="001C5B17">
        <w:rPr>
          <w:rFonts w:ascii="Times New Roman" w:hAnsi="Times New Roman"/>
          <w:bCs/>
          <w:sz w:val="24"/>
          <w:szCs w:val="24"/>
          <w:lang w:val="mk-MK"/>
        </w:rPr>
        <w:t xml:space="preserve"> </w:t>
      </w:r>
      <w:r w:rsidRPr="00DC6FDE">
        <w:rPr>
          <w:rFonts w:ascii="Times New Roman" w:hAnsi="Times New Roman"/>
          <w:bCs/>
          <w:sz w:val="24"/>
          <w:szCs w:val="24"/>
          <w:lang w:val="mk-MK"/>
        </w:rPr>
        <w:t>со соодветни корективни мерки.</w:t>
      </w:r>
    </w:p>
    <w:p w14:paraId="1ADE9D96" w14:textId="77777777" w:rsidR="00025E8C" w:rsidRPr="001C5B17" w:rsidRDefault="00025E8C" w:rsidP="00025E8C">
      <w:pPr>
        <w:rPr>
          <w:noProof/>
          <w:lang w:val="mk-MK"/>
        </w:rPr>
      </w:pPr>
      <w:r w:rsidRPr="001C5B17">
        <w:rPr>
          <w:noProof/>
          <w:lang w:val="mk-MK"/>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64"/>
      </w:tblGrid>
      <w:tr w:rsidR="00657A15" w14:paraId="6BFAB8A0" w14:textId="77777777" w:rsidTr="00372BD2">
        <w:tc>
          <w:tcPr>
            <w:tcW w:w="4629" w:type="dxa"/>
          </w:tcPr>
          <w:p w14:paraId="69503D1C" w14:textId="77777777" w:rsidR="00657A15" w:rsidRDefault="00657A15" w:rsidP="00372BD2">
            <w:pPr>
              <w:jc w:val="center"/>
            </w:pPr>
            <w:r w:rsidRPr="00CB37F6">
              <w:rPr>
                <w:noProof/>
              </w:rPr>
              <w:drawing>
                <wp:inline distT="0" distB="0" distL="0" distR="0" wp14:anchorId="0FCE8E0F" wp14:editId="022C9165">
                  <wp:extent cx="2856881" cy="2157730"/>
                  <wp:effectExtent l="0" t="0" r="63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72041" cy="2169180"/>
                          </a:xfrm>
                          <a:prstGeom prst="rect">
                            <a:avLst/>
                          </a:prstGeom>
                          <a:noFill/>
                          <a:ln>
                            <a:noFill/>
                          </a:ln>
                        </pic:spPr>
                      </pic:pic>
                    </a:graphicData>
                  </a:graphic>
                </wp:inline>
              </w:drawing>
            </w:r>
          </w:p>
        </w:tc>
        <w:tc>
          <w:tcPr>
            <w:tcW w:w="4630" w:type="dxa"/>
          </w:tcPr>
          <w:p w14:paraId="46454F29" w14:textId="77777777" w:rsidR="00657A15" w:rsidRDefault="00657A15" w:rsidP="00372BD2">
            <w:pPr>
              <w:jc w:val="center"/>
            </w:pPr>
            <w:r w:rsidRPr="00CB37F6">
              <w:rPr>
                <w:noProof/>
              </w:rPr>
              <w:drawing>
                <wp:inline distT="0" distB="0" distL="0" distR="0" wp14:anchorId="02D28F29" wp14:editId="62CAC59A">
                  <wp:extent cx="2895600" cy="2173217"/>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02517" cy="2178409"/>
                          </a:xfrm>
                          <a:prstGeom prst="rect">
                            <a:avLst/>
                          </a:prstGeom>
                          <a:noFill/>
                          <a:ln>
                            <a:noFill/>
                          </a:ln>
                        </pic:spPr>
                      </pic:pic>
                    </a:graphicData>
                  </a:graphic>
                </wp:inline>
              </w:drawing>
            </w:r>
          </w:p>
        </w:tc>
      </w:tr>
    </w:tbl>
    <w:p w14:paraId="0C89BF13" w14:textId="77777777" w:rsidR="0079026D" w:rsidRPr="0079026D" w:rsidRDefault="0079026D" w:rsidP="0079026D"/>
    <w:p w14:paraId="1B73F394" w14:textId="77777777" w:rsidR="00010884" w:rsidRPr="00A75476" w:rsidRDefault="003B0248" w:rsidP="00A75476">
      <w:pPr>
        <w:pStyle w:val="Heading2"/>
        <w:rPr>
          <w:i/>
          <w:lang w:val="mk-MK"/>
        </w:rPr>
      </w:pPr>
      <w:bookmarkStart w:id="64" w:name="_Toc132974492"/>
      <w:bookmarkStart w:id="65" w:name="_Toc132978852"/>
      <w:r w:rsidRPr="00A75476">
        <w:rPr>
          <w:i/>
          <w:lang w:val="mk-MK"/>
        </w:rPr>
        <w:t>Управување со ликвидносен ризик</w:t>
      </w:r>
      <w:bookmarkEnd w:id="64"/>
      <w:bookmarkEnd w:id="65"/>
    </w:p>
    <w:p w14:paraId="4A5426AB" w14:textId="77777777" w:rsidR="00010884" w:rsidRPr="004A321F" w:rsidRDefault="00010884" w:rsidP="00010884">
      <w:pPr>
        <w:spacing w:after="0"/>
        <w:jc w:val="both"/>
        <w:rPr>
          <w:rFonts w:ascii="Times New Roman" w:hAnsi="Times New Roman"/>
          <w:i/>
          <w:iCs/>
          <w:sz w:val="24"/>
          <w:szCs w:val="24"/>
        </w:rPr>
      </w:pPr>
    </w:p>
    <w:p w14:paraId="195C46EA" w14:textId="77777777" w:rsidR="00C74FDF" w:rsidRDefault="003B0248" w:rsidP="003B0248">
      <w:pPr>
        <w:jc w:val="both"/>
        <w:rPr>
          <w:rFonts w:ascii="Times New Roman" w:hAnsi="Times New Roman"/>
          <w:bCs/>
          <w:iCs/>
          <w:sz w:val="24"/>
          <w:szCs w:val="24"/>
          <w:lang w:val="mk-MK"/>
        </w:rPr>
      </w:pPr>
      <w:r>
        <w:rPr>
          <w:rFonts w:ascii="Times New Roman" w:hAnsi="Times New Roman"/>
          <w:bCs/>
          <w:iCs/>
          <w:sz w:val="24"/>
          <w:szCs w:val="24"/>
          <w:lang w:val="mk-MK"/>
        </w:rPr>
        <w:t xml:space="preserve">Банката во континуитет ја одржува ликвидносната позиција на </w:t>
      </w:r>
      <w:r w:rsidR="00652733">
        <w:rPr>
          <w:rFonts w:ascii="Times New Roman" w:hAnsi="Times New Roman"/>
          <w:bCs/>
          <w:iCs/>
          <w:sz w:val="24"/>
          <w:szCs w:val="24"/>
          <w:lang w:val="mk-MK"/>
        </w:rPr>
        <w:t>соодветно</w:t>
      </w:r>
      <w:r>
        <w:rPr>
          <w:rFonts w:ascii="Times New Roman" w:hAnsi="Times New Roman"/>
          <w:bCs/>
          <w:iCs/>
          <w:sz w:val="24"/>
          <w:szCs w:val="24"/>
          <w:lang w:val="mk-MK"/>
        </w:rPr>
        <w:t xml:space="preserve"> ниво </w:t>
      </w:r>
      <w:r w:rsidR="00652733">
        <w:rPr>
          <w:rFonts w:ascii="Times New Roman" w:hAnsi="Times New Roman"/>
          <w:bCs/>
          <w:iCs/>
          <w:sz w:val="24"/>
          <w:szCs w:val="24"/>
          <w:lang w:val="mk-MK"/>
        </w:rPr>
        <w:t xml:space="preserve">во однос на сопствената големина и капацитет </w:t>
      </w:r>
      <w:r>
        <w:rPr>
          <w:rFonts w:ascii="Times New Roman" w:hAnsi="Times New Roman"/>
          <w:bCs/>
          <w:iCs/>
          <w:sz w:val="24"/>
          <w:szCs w:val="24"/>
          <w:lang w:val="mk-MK"/>
        </w:rPr>
        <w:t xml:space="preserve">и на тој начин овозможува непречено извршување на сите банкарски активности и </w:t>
      </w:r>
      <w:r w:rsidR="00B21D26">
        <w:rPr>
          <w:rFonts w:ascii="Times New Roman" w:hAnsi="Times New Roman"/>
          <w:bCs/>
          <w:iCs/>
          <w:sz w:val="24"/>
          <w:szCs w:val="24"/>
          <w:lang w:val="mk-MK"/>
        </w:rPr>
        <w:t>исполнување</w:t>
      </w:r>
      <w:r w:rsidR="00652733">
        <w:rPr>
          <w:rFonts w:ascii="Times New Roman" w:hAnsi="Times New Roman"/>
          <w:bCs/>
          <w:iCs/>
          <w:sz w:val="24"/>
          <w:szCs w:val="24"/>
          <w:lang w:val="mk-MK"/>
        </w:rPr>
        <w:t xml:space="preserve"> на </w:t>
      </w:r>
      <w:r>
        <w:rPr>
          <w:rFonts w:ascii="Times New Roman" w:hAnsi="Times New Roman"/>
          <w:bCs/>
          <w:iCs/>
          <w:sz w:val="24"/>
          <w:szCs w:val="24"/>
          <w:lang w:val="mk-MK"/>
        </w:rPr>
        <w:t>регулативни</w:t>
      </w:r>
      <w:r w:rsidR="005F61FF">
        <w:rPr>
          <w:rFonts w:ascii="Times New Roman" w:hAnsi="Times New Roman"/>
          <w:bCs/>
          <w:iCs/>
          <w:sz w:val="24"/>
          <w:szCs w:val="24"/>
          <w:lang w:val="mk-MK"/>
        </w:rPr>
        <w:t>те</w:t>
      </w:r>
      <w:r>
        <w:rPr>
          <w:rFonts w:ascii="Times New Roman" w:hAnsi="Times New Roman"/>
          <w:bCs/>
          <w:iCs/>
          <w:sz w:val="24"/>
          <w:szCs w:val="24"/>
          <w:lang w:val="mk-MK"/>
        </w:rPr>
        <w:t xml:space="preserve"> барања</w:t>
      </w:r>
      <w:r w:rsidR="00B21D26">
        <w:rPr>
          <w:rFonts w:ascii="Times New Roman" w:hAnsi="Times New Roman"/>
          <w:bCs/>
          <w:iCs/>
          <w:sz w:val="24"/>
          <w:szCs w:val="24"/>
          <w:lang w:val="mk-MK"/>
        </w:rPr>
        <w:t xml:space="preserve"> </w:t>
      </w:r>
      <w:r w:rsidR="002C3B10">
        <w:rPr>
          <w:rFonts w:ascii="Times New Roman" w:hAnsi="Times New Roman"/>
          <w:bCs/>
          <w:iCs/>
          <w:sz w:val="24"/>
          <w:szCs w:val="24"/>
          <w:lang w:val="mk-MK"/>
        </w:rPr>
        <w:t>од</w:t>
      </w:r>
      <w:r w:rsidR="00B21D26">
        <w:rPr>
          <w:rFonts w:ascii="Times New Roman" w:hAnsi="Times New Roman"/>
          <w:bCs/>
          <w:iCs/>
          <w:sz w:val="24"/>
          <w:szCs w:val="24"/>
          <w:lang w:val="mk-MK"/>
        </w:rPr>
        <w:t xml:space="preserve"> областа на управување со ликвидносниот ризик</w:t>
      </w:r>
      <w:r>
        <w:rPr>
          <w:rFonts w:ascii="Times New Roman" w:hAnsi="Times New Roman"/>
          <w:bCs/>
          <w:iCs/>
          <w:sz w:val="24"/>
          <w:szCs w:val="24"/>
          <w:lang w:val="mk-MK"/>
        </w:rPr>
        <w:t xml:space="preserve">. </w:t>
      </w:r>
      <w:r w:rsidR="00B21D26">
        <w:rPr>
          <w:rFonts w:ascii="Times New Roman" w:hAnsi="Times New Roman"/>
          <w:bCs/>
          <w:iCs/>
          <w:sz w:val="24"/>
          <w:szCs w:val="24"/>
          <w:lang w:val="mk-MK"/>
        </w:rPr>
        <w:t>Основен извор на средства т.е л</w:t>
      </w:r>
      <w:r>
        <w:rPr>
          <w:rFonts w:ascii="Times New Roman" w:hAnsi="Times New Roman"/>
          <w:bCs/>
          <w:iCs/>
          <w:sz w:val="24"/>
          <w:szCs w:val="24"/>
          <w:lang w:val="mk-MK"/>
        </w:rPr>
        <w:t xml:space="preserve">иквидност на Банката </w:t>
      </w:r>
      <w:r w:rsidR="00B21D26">
        <w:rPr>
          <w:rFonts w:ascii="Times New Roman" w:hAnsi="Times New Roman"/>
          <w:bCs/>
          <w:iCs/>
          <w:sz w:val="24"/>
          <w:szCs w:val="24"/>
          <w:lang w:val="mk-MK"/>
        </w:rPr>
        <w:t>се</w:t>
      </w:r>
      <w:r>
        <w:rPr>
          <w:rFonts w:ascii="Times New Roman" w:hAnsi="Times New Roman"/>
          <w:bCs/>
          <w:iCs/>
          <w:sz w:val="24"/>
          <w:szCs w:val="24"/>
          <w:lang w:val="mk-MK"/>
        </w:rPr>
        <w:t xml:space="preserve"> депозитите на населението и компаниите, </w:t>
      </w:r>
      <w:r w:rsidR="00CA3F72">
        <w:rPr>
          <w:rFonts w:ascii="Times New Roman" w:hAnsi="Times New Roman"/>
          <w:bCs/>
          <w:iCs/>
          <w:sz w:val="24"/>
          <w:szCs w:val="24"/>
          <w:lang w:val="mk-MK"/>
        </w:rPr>
        <w:t>во кои учеството на</w:t>
      </w:r>
      <w:r>
        <w:rPr>
          <w:rFonts w:ascii="Times New Roman" w:hAnsi="Times New Roman"/>
          <w:bCs/>
          <w:iCs/>
          <w:sz w:val="24"/>
          <w:szCs w:val="24"/>
          <w:lang w:val="mk-MK"/>
        </w:rPr>
        <w:t xml:space="preserve"> средствата по видување и </w:t>
      </w:r>
      <w:r w:rsidR="00CA3F72">
        <w:rPr>
          <w:rFonts w:ascii="Times New Roman" w:hAnsi="Times New Roman"/>
          <w:bCs/>
          <w:iCs/>
          <w:sz w:val="24"/>
          <w:szCs w:val="24"/>
          <w:lang w:val="mk-MK"/>
        </w:rPr>
        <w:t>платежните</w:t>
      </w:r>
      <w:r>
        <w:rPr>
          <w:rFonts w:ascii="Times New Roman" w:hAnsi="Times New Roman"/>
          <w:bCs/>
          <w:iCs/>
          <w:sz w:val="24"/>
          <w:szCs w:val="24"/>
          <w:lang w:val="mk-MK"/>
        </w:rPr>
        <w:t xml:space="preserve"> сметки </w:t>
      </w:r>
      <w:r w:rsidR="00CA3F72">
        <w:rPr>
          <w:rFonts w:ascii="Times New Roman" w:hAnsi="Times New Roman"/>
          <w:bCs/>
          <w:iCs/>
          <w:sz w:val="24"/>
          <w:szCs w:val="24"/>
          <w:lang w:val="mk-MK"/>
        </w:rPr>
        <w:t>изнесува</w:t>
      </w:r>
      <w:r>
        <w:rPr>
          <w:rFonts w:ascii="Times New Roman" w:hAnsi="Times New Roman"/>
          <w:bCs/>
          <w:iCs/>
          <w:sz w:val="24"/>
          <w:szCs w:val="24"/>
          <w:lang w:val="mk-MK"/>
        </w:rPr>
        <w:t xml:space="preserve"> </w:t>
      </w:r>
      <w:r w:rsidR="00C03881" w:rsidRPr="001C5B17">
        <w:rPr>
          <w:rFonts w:ascii="Times New Roman" w:hAnsi="Times New Roman"/>
          <w:bCs/>
          <w:iCs/>
          <w:sz w:val="24"/>
          <w:szCs w:val="24"/>
          <w:lang w:val="mk-MK"/>
        </w:rPr>
        <w:t>65</w:t>
      </w:r>
      <w:r>
        <w:rPr>
          <w:rFonts w:ascii="Times New Roman" w:hAnsi="Times New Roman"/>
          <w:bCs/>
          <w:iCs/>
          <w:sz w:val="24"/>
          <w:szCs w:val="24"/>
          <w:lang w:val="mk-MK"/>
        </w:rPr>
        <w:t>%</w:t>
      </w:r>
      <w:r w:rsidR="0065451E">
        <w:rPr>
          <w:rFonts w:ascii="Times New Roman" w:hAnsi="Times New Roman"/>
          <w:bCs/>
          <w:iCs/>
          <w:sz w:val="24"/>
          <w:szCs w:val="24"/>
          <w:lang w:val="mk-MK"/>
        </w:rPr>
        <w:t>. Овој</w:t>
      </w:r>
      <w:r>
        <w:rPr>
          <w:rFonts w:ascii="Times New Roman" w:hAnsi="Times New Roman"/>
          <w:bCs/>
          <w:iCs/>
          <w:sz w:val="24"/>
          <w:szCs w:val="24"/>
          <w:lang w:val="mk-MK"/>
        </w:rPr>
        <w:t xml:space="preserve"> </w:t>
      </w:r>
      <w:r w:rsidR="0065451E">
        <w:rPr>
          <w:rFonts w:ascii="Times New Roman" w:hAnsi="Times New Roman"/>
          <w:bCs/>
          <w:iCs/>
          <w:sz w:val="24"/>
          <w:szCs w:val="24"/>
          <w:lang w:val="mk-MK"/>
        </w:rPr>
        <w:t xml:space="preserve">дел </w:t>
      </w:r>
      <w:r>
        <w:rPr>
          <w:rFonts w:ascii="Times New Roman" w:hAnsi="Times New Roman"/>
          <w:bCs/>
          <w:iCs/>
          <w:sz w:val="24"/>
          <w:szCs w:val="24"/>
          <w:lang w:val="mk-MK"/>
        </w:rPr>
        <w:t>од депозитната основа се карактеризир</w:t>
      </w:r>
      <w:r w:rsidR="00C03881">
        <w:rPr>
          <w:rFonts w:ascii="Times New Roman" w:hAnsi="Times New Roman"/>
          <w:bCs/>
          <w:iCs/>
          <w:sz w:val="24"/>
          <w:szCs w:val="24"/>
          <w:lang w:val="mk-MK"/>
        </w:rPr>
        <w:t>а</w:t>
      </w:r>
      <w:r>
        <w:rPr>
          <w:rFonts w:ascii="Times New Roman" w:hAnsi="Times New Roman"/>
          <w:bCs/>
          <w:iCs/>
          <w:sz w:val="24"/>
          <w:szCs w:val="24"/>
          <w:lang w:val="mk-MK"/>
        </w:rPr>
        <w:t xml:space="preserve"> со </w:t>
      </w:r>
      <w:r w:rsidR="0065451E">
        <w:rPr>
          <w:rFonts w:ascii="Times New Roman" w:hAnsi="Times New Roman"/>
          <w:bCs/>
          <w:iCs/>
          <w:sz w:val="24"/>
          <w:szCs w:val="24"/>
          <w:lang w:val="mk-MK"/>
        </w:rPr>
        <w:t>движ</w:t>
      </w:r>
      <w:r w:rsidR="00F34006">
        <w:rPr>
          <w:rFonts w:ascii="Times New Roman" w:hAnsi="Times New Roman"/>
          <w:bCs/>
          <w:iCs/>
          <w:sz w:val="24"/>
          <w:szCs w:val="24"/>
          <w:lang w:val="mk-MK"/>
        </w:rPr>
        <w:t>е</w:t>
      </w:r>
      <w:r w:rsidR="0065451E">
        <w:rPr>
          <w:rFonts w:ascii="Times New Roman" w:hAnsi="Times New Roman"/>
          <w:bCs/>
          <w:iCs/>
          <w:sz w:val="24"/>
          <w:szCs w:val="24"/>
          <w:lang w:val="mk-MK"/>
        </w:rPr>
        <w:t>ња</w:t>
      </w:r>
      <w:r>
        <w:rPr>
          <w:rFonts w:ascii="Times New Roman" w:hAnsi="Times New Roman"/>
          <w:bCs/>
          <w:iCs/>
          <w:sz w:val="24"/>
          <w:szCs w:val="24"/>
          <w:lang w:val="mk-MK"/>
        </w:rPr>
        <w:t xml:space="preserve"> на дневна основа. </w:t>
      </w:r>
      <w:r w:rsidR="00F34006">
        <w:rPr>
          <w:rFonts w:ascii="Times New Roman" w:hAnsi="Times New Roman"/>
          <w:bCs/>
          <w:iCs/>
          <w:sz w:val="24"/>
          <w:szCs w:val="24"/>
          <w:lang w:val="mk-MK"/>
        </w:rPr>
        <w:t>Оттука</w:t>
      </w:r>
      <w:r w:rsidR="002C548E">
        <w:rPr>
          <w:rFonts w:ascii="Times New Roman" w:hAnsi="Times New Roman"/>
          <w:bCs/>
          <w:iCs/>
          <w:sz w:val="24"/>
          <w:szCs w:val="24"/>
          <w:lang w:val="mk-MK"/>
        </w:rPr>
        <w:t>,</w:t>
      </w:r>
      <w:r>
        <w:rPr>
          <w:rFonts w:ascii="Times New Roman" w:hAnsi="Times New Roman"/>
          <w:bCs/>
          <w:iCs/>
          <w:sz w:val="24"/>
          <w:szCs w:val="24"/>
          <w:lang w:val="mk-MK"/>
        </w:rPr>
        <w:t xml:space="preserve"> управувањето со ликвидноста </w:t>
      </w:r>
      <w:r w:rsidR="00641C83">
        <w:rPr>
          <w:rFonts w:ascii="Times New Roman" w:hAnsi="Times New Roman"/>
          <w:bCs/>
          <w:iCs/>
          <w:sz w:val="24"/>
          <w:szCs w:val="24"/>
          <w:lang w:val="mk-MK"/>
        </w:rPr>
        <w:t>наметнува потреба</w:t>
      </w:r>
      <w:r w:rsidR="00F34006">
        <w:rPr>
          <w:rFonts w:ascii="Times New Roman" w:hAnsi="Times New Roman"/>
          <w:bCs/>
          <w:iCs/>
          <w:sz w:val="24"/>
          <w:szCs w:val="24"/>
          <w:lang w:val="mk-MK"/>
        </w:rPr>
        <w:t xml:space="preserve"> </w:t>
      </w:r>
      <w:r w:rsidR="00641C83">
        <w:rPr>
          <w:rFonts w:ascii="Times New Roman" w:hAnsi="Times New Roman"/>
          <w:bCs/>
          <w:iCs/>
          <w:sz w:val="24"/>
          <w:szCs w:val="24"/>
          <w:lang w:val="mk-MK"/>
        </w:rPr>
        <w:t xml:space="preserve">за </w:t>
      </w:r>
      <w:r w:rsidR="00020D5E">
        <w:rPr>
          <w:rFonts w:ascii="Times New Roman" w:hAnsi="Times New Roman"/>
          <w:bCs/>
          <w:iCs/>
          <w:sz w:val="24"/>
          <w:szCs w:val="24"/>
          <w:lang w:val="mk-MK"/>
        </w:rPr>
        <w:t xml:space="preserve">одржување на </w:t>
      </w:r>
      <w:r w:rsidR="00641C83">
        <w:rPr>
          <w:rFonts w:ascii="Times New Roman" w:hAnsi="Times New Roman"/>
          <w:bCs/>
          <w:iCs/>
          <w:sz w:val="24"/>
          <w:szCs w:val="24"/>
          <w:lang w:val="mk-MK"/>
        </w:rPr>
        <w:t xml:space="preserve">квалитетна </w:t>
      </w:r>
      <w:r w:rsidR="00020D5E">
        <w:rPr>
          <w:rFonts w:ascii="Times New Roman" w:hAnsi="Times New Roman"/>
          <w:bCs/>
          <w:iCs/>
          <w:sz w:val="24"/>
          <w:szCs w:val="24"/>
          <w:lang w:val="mk-MK"/>
        </w:rPr>
        <w:t xml:space="preserve">ликвидна актива </w:t>
      </w:r>
      <w:r w:rsidR="00641C83">
        <w:rPr>
          <w:rFonts w:ascii="Times New Roman" w:hAnsi="Times New Roman"/>
          <w:bCs/>
          <w:iCs/>
          <w:sz w:val="24"/>
          <w:szCs w:val="24"/>
          <w:lang w:val="mk-MK"/>
        </w:rPr>
        <w:t xml:space="preserve">составена од </w:t>
      </w:r>
      <w:r w:rsidR="003C6E0E">
        <w:rPr>
          <w:rFonts w:ascii="Times New Roman" w:hAnsi="Times New Roman"/>
          <w:bCs/>
          <w:iCs/>
          <w:sz w:val="24"/>
          <w:szCs w:val="24"/>
          <w:lang w:val="mk-MK"/>
        </w:rPr>
        <w:t>разновидни инструменти</w:t>
      </w:r>
      <w:r w:rsidR="002C548E">
        <w:rPr>
          <w:rFonts w:ascii="Times New Roman" w:hAnsi="Times New Roman"/>
          <w:bCs/>
          <w:iCs/>
          <w:sz w:val="24"/>
          <w:szCs w:val="24"/>
          <w:lang w:val="mk-MK"/>
        </w:rPr>
        <w:t xml:space="preserve"> по вид, рок и валута,</w:t>
      </w:r>
      <w:r>
        <w:rPr>
          <w:rFonts w:ascii="Times New Roman" w:hAnsi="Times New Roman"/>
          <w:bCs/>
          <w:iCs/>
          <w:sz w:val="24"/>
          <w:szCs w:val="24"/>
          <w:lang w:val="mk-MK"/>
        </w:rPr>
        <w:t xml:space="preserve"> </w:t>
      </w:r>
      <w:r w:rsidR="00C32507">
        <w:rPr>
          <w:rFonts w:ascii="Times New Roman" w:hAnsi="Times New Roman"/>
          <w:bCs/>
          <w:iCs/>
          <w:sz w:val="24"/>
          <w:szCs w:val="24"/>
          <w:lang w:val="mk-MK"/>
        </w:rPr>
        <w:t xml:space="preserve">внимателно </w:t>
      </w:r>
      <w:r w:rsidR="00C449AB" w:rsidRPr="001C5B17">
        <w:rPr>
          <w:rFonts w:ascii="Times New Roman" w:hAnsi="Times New Roman"/>
          <w:bCs/>
          <w:iCs/>
          <w:sz w:val="24"/>
          <w:szCs w:val="24"/>
          <w:lang w:val="mk-MK"/>
        </w:rPr>
        <w:t xml:space="preserve">и </w:t>
      </w:r>
      <w:r>
        <w:rPr>
          <w:rFonts w:ascii="Times New Roman" w:hAnsi="Times New Roman"/>
          <w:bCs/>
          <w:iCs/>
          <w:sz w:val="24"/>
          <w:szCs w:val="24"/>
          <w:lang w:val="mk-MK"/>
        </w:rPr>
        <w:t>соодветно</w:t>
      </w:r>
      <w:r w:rsidR="00C449AB">
        <w:rPr>
          <w:rFonts w:ascii="Times New Roman" w:hAnsi="Times New Roman"/>
          <w:bCs/>
          <w:iCs/>
          <w:sz w:val="24"/>
          <w:szCs w:val="24"/>
          <w:lang w:val="mk-MK"/>
        </w:rPr>
        <w:t xml:space="preserve"> структурирана</w:t>
      </w:r>
      <w:r>
        <w:rPr>
          <w:rFonts w:ascii="Times New Roman" w:hAnsi="Times New Roman"/>
          <w:bCs/>
          <w:iCs/>
          <w:sz w:val="24"/>
          <w:szCs w:val="24"/>
          <w:lang w:val="mk-MK"/>
        </w:rPr>
        <w:t xml:space="preserve"> </w:t>
      </w:r>
      <w:r w:rsidR="009D040D">
        <w:rPr>
          <w:rFonts w:ascii="Times New Roman" w:hAnsi="Times New Roman"/>
          <w:bCs/>
          <w:iCs/>
          <w:sz w:val="24"/>
          <w:szCs w:val="24"/>
          <w:lang w:val="mk-MK"/>
        </w:rPr>
        <w:t xml:space="preserve">според </w:t>
      </w:r>
      <w:r>
        <w:rPr>
          <w:rFonts w:ascii="Times New Roman" w:hAnsi="Times New Roman"/>
          <w:bCs/>
          <w:iCs/>
          <w:sz w:val="24"/>
          <w:szCs w:val="24"/>
          <w:lang w:val="mk-MK"/>
        </w:rPr>
        <w:t>ликвидносните потреби</w:t>
      </w:r>
      <w:r w:rsidR="00C449AB">
        <w:rPr>
          <w:rFonts w:ascii="Times New Roman" w:hAnsi="Times New Roman"/>
          <w:bCs/>
          <w:iCs/>
          <w:sz w:val="24"/>
          <w:szCs w:val="24"/>
          <w:lang w:val="mk-MK"/>
        </w:rPr>
        <w:t xml:space="preserve"> на Банката</w:t>
      </w:r>
      <w:r>
        <w:rPr>
          <w:rFonts w:ascii="Times New Roman" w:hAnsi="Times New Roman"/>
          <w:bCs/>
          <w:iCs/>
          <w:sz w:val="24"/>
          <w:szCs w:val="24"/>
          <w:lang w:val="mk-MK"/>
        </w:rPr>
        <w:t>.</w:t>
      </w:r>
      <w:r w:rsidRPr="001C5B17">
        <w:rPr>
          <w:rFonts w:ascii="Times New Roman" w:hAnsi="Times New Roman"/>
          <w:bCs/>
          <w:iCs/>
          <w:sz w:val="24"/>
          <w:szCs w:val="24"/>
          <w:lang w:val="mk-MK"/>
        </w:rPr>
        <w:t xml:space="preserve"> </w:t>
      </w:r>
    </w:p>
    <w:p w14:paraId="04193BDB" w14:textId="77777777" w:rsidR="003B0248" w:rsidRDefault="000465F9" w:rsidP="003B0248">
      <w:pPr>
        <w:jc w:val="both"/>
        <w:rPr>
          <w:rFonts w:ascii="Times New Roman" w:hAnsi="Times New Roman"/>
          <w:bCs/>
          <w:iCs/>
          <w:sz w:val="24"/>
          <w:szCs w:val="24"/>
          <w:lang w:val="mk-MK"/>
        </w:rPr>
      </w:pPr>
      <w:r>
        <w:rPr>
          <w:rFonts w:ascii="Times New Roman" w:hAnsi="Times New Roman"/>
          <w:bCs/>
          <w:iCs/>
          <w:sz w:val="24"/>
          <w:szCs w:val="24"/>
          <w:lang w:val="mk-MK"/>
        </w:rPr>
        <w:t>Управувањето со</w:t>
      </w:r>
      <w:r w:rsidR="003B0248">
        <w:rPr>
          <w:rFonts w:ascii="Times New Roman" w:hAnsi="Times New Roman"/>
          <w:bCs/>
          <w:iCs/>
          <w:sz w:val="24"/>
          <w:szCs w:val="24"/>
          <w:lang w:val="mk-MK"/>
        </w:rPr>
        <w:t xml:space="preserve"> ликвидноста на Банката се заснова на подготовка на проекции на паричните текови и усогласување на </w:t>
      </w:r>
      <w:r w:rsidR="003B0248" w:rsidRPr="001C5B17">
        <w:rPr>
          <w:rFonts w:ascii="Times New Roman" w:hAnsi="Times New Roman"/>
          <w:bCs/>
          <w:iCs/>
          <w:sz w:val="24"/>
          <w:szCs w:val="24"/>
          <w:lang w:val="mk-MK"/>
        </w:rPr>
        <w:t xml:space="preserve">приливите и </w:t>
      </w:r>
      <w:r w:rsidR="003B0248">
        <w:rPr>
          <w:rFonts w:ascii="Times New Roman" w:hAnsi="Times New Roman"/>
          <w:bCs/>
          <w:iCs/>
          <w:sz w:val="24"/>
          <w:szCs w:val="24"/>
          <w:lang w:val="mk-MK"/>
        </w:rPr>
        <w:t xml:space="preserve">достасувањата на обврските. Планирањето и управувањето на ликвидноста се врши на дневна основа со мониторирање во реално време на оние позиции кои имаат најзначајно влијание. Во услови на </w:t>
      </w:r>
      <w:r w:rsidR="004A3E5F">
        <w:rPr>
          <w:rFonts w:ascii="Times New Roman" w:hAnsi="Times New Roman"/>
          <w:bCs/>
          <w:iCs/>
          <w:sz w:val="24"/>
          <w:szCs w:val="24"/>
          <w:lang w:val="mk-MK"/>
        </w:rPr>
        <w:t>меѓународна економска и енергетска криза</w:t>
      </w:r>
      <w:r w:rsidR="003B0248">
        <w:rPr>
          <w:rFonts w:ascii="Times New Roman" w:hAnsi="Times New Roman"/>
          <w:bCs/>
          <w:iCs/>
          <w:sz w:val="24"/>
          <w:szCs w:val="24"/>
          <w:lang w:val="mk-MK"/>
        </w:rPr>
        <w:t xml:space="preserve">, Банката успешно се справи со сите шокови што претставува потврда на капацитетот и отпорноста на Банката </w:t>
      </w:r>
      <w:r w:rsidR="000746B7">
        <w:rPr>
          <w:rFonts w:ascii="Times New Roman" w:hAnsi="Times New Roman"/>
          <w:bCs/>
          <w:iCs/>
          <w:sz w:val="24"/>
          <w:szCs w:val="24"/>
          <w:lang w:val="mk-MK"/>
        </w:rPr>
        <w:t>на</w:t>
      </w:r>
      <w:r w:rsidR="003B0248">
        <w:rPr>
          <w:rFonts w:ascii="Times New Roman" w:hAnsi="Times New Roman"/>
          <w:bCs/>
          <w:iCs/>
          <w:sz w:val="24"/>
          <w:szCs w:val="24"/>
          <w:lang w:val="mk-MK"/>
        </w:rPr>
        <w:t xml:space="preserve"> несакани влијанија. </w:t>
      </w:r>
    </w:p>
    <w:p w14:paraId="5719E08D" w14:textId="77777777" w:rsidR="00B24343" w:rsidRPr="001C5B17" w:rsidRDefault="003B0248" w:rsidP="003B0248">
      <w:pPr>
        <w:jc w:val="both"/>
        <w:rPr>
          <w:rFonts w:ascii="Times New Roman" w:hAnsi="Times New Roman"/>
          <w:sz w:val="24"/>
          <w:szCs w:val="24"/>
          <w:lang w:val="mk-MK"/>
        </w:rPr>
      </w:pPr>
      <w:r>
        <w:rPr>
          <w:rFonts w:ascii="Times New Roman" w:hAnsi="Times New Roman"/>
          <w:bCs/>
          <w:iCs/>
          <w:sz w:val="24"/>
          <w:szCs w:val="24"/>
          <w:lang w:val="mk-MK"/>
        </w:rPr>
        <w:lastRenderedPageBreak/>
        <w:t xml:space="preserve">Банката постојано го ревидира и унапредува системот на управување со ликвидноста кој е </w:t>
      </w:r>
      <w:r w:rsidR="00CF506F" w:rsidRPr="001C5B17">
        <w:rPr>
          <w:rFonts w:ascii="Times New Roman" w:hAnsi="Times New Roman"/>
          <w:bCs/>
          <w:iCs/>
          <w:sz w:val="24"/>
          <w:szCs w:val="24"/>
          <w:lang w:val="mk-MK"/>
        </w:rPr>
        <w:t>составен</w:t>
      </w:r>
      <w:r>
        <w:rPr>
          <w:rFonts w:ascii="Times New Roman" w:hAnsi="Times New Roman"/>
          <w:bCs/>
          <w:iCs/>
          <w:sz w:val="24"/>
          <w:szCs w:val="24"/>
          <w:lang w:val="mk-MK"/>
        </w:rPr>
        <w:t xml:space="preserve"> од воспоставени политики и процедури и механизми на одбрана поставени на три нивоа</w:t>
      </w:r>
      <w:r w:rsidR="00881673">
        <w:rPr>
          <w:rFonts w:ascii="Times New Roman" w:hAnsi="Times New Roman"/>
          <w:bCs/>
          <w:iCs/>
          <w:sz w:val="24"/>
          <w:szCs w:val="24"/>
          <w:lang w:val="mk-MK"/>
        </w:rPr>
        <w:t>: прво ниво</w:t>
      </w:r>
      <w:r w:rsidR="000746B7">
        <w:rPr>
          <w:rFonts w:ascii="Times New Roman" w:hAnsi="Times New Roman"/>
          <w:bCs/>
          <w:iCs/>
          <w:sz w:val="24"/>
          <w:szCs w:val="24"/>
          <w:lang w:val="mk-MK"/>
        </w:rPr>
        <w:t xml:space="preserve"> </w:t>
      </w:r>
      <w:r>
        <w:rPr>
          <w:rFonts w:ascii="Times New Roman" w:hAnsi="Times New Roman"/>
          <w:bCs/>
          <w:iCs/>
          <w:sz w:val="24"/>
          <w:szCs w:val="24"/>
          <w:lang w:val="mk-MK"/>
        </w:rPr>
        <w:t xml:space="preserve">- оперативно управување од страна на Секторот за средства и ликвидност, второ ниво </w:t>
      </w:r>
      <w:r w:rsidR="00051889">
        <w:rPr>
          <w:rFonts w:ascii="Times New Roman" w:hAnsi="Times New Roman"/>
          <w:bCs/>
          <w:iCs/>
          <w:sz w:val="24"/>
          <w:szCs w:val="24"/>
          <w:lang w:val="mk-MK"/>
        </w:rPr>
        <w:t>–</w:t>
      </w:r>
      <w:r>
        <w:rPr>
          <w:rFonts w:ascii="Times New Roman" w:hAnsi="Times New Roman"/>
          <w:bCs/>
          <w:iCs/>
          <w:sz w:val="24"/>
          <w:szCs w:val="24"/>
          <w:lang w:val="mk-MK"/>
        </w:rPr>
        <w:t xml:space="preserve"> </w:t>
      </w:r>
      <w:r w:rsidR="00051889">
        <w:rPr>
          <w:rFonts w:ascii="Times New Roman" w:hAnsi="Times New Roman"/>
          <w:bCs/>
          <w:iCs/>
          <w:sz w:val="24"/>
          <w:szCs w:val="24"/>
          <w:lang w:val="mk-MK"/>
        </w:rPr>
        <w:t xml:space="preserve">идентификување, мерење и контрола на ликвидносниот ризик од страна на </w:t>
      </w:r>
      <w:r>
        <w:rPr>
          <w:rFonts w:ascii="Times New Roman" w:hAnsi="Times New Roman"/>
          <w:bCs/>
          <w:iCs/>
          <w:sz w:val="24"/>
          <w:szCs w:val="24"/>
          <w:lang w:val="mk-MK"/>
        </w:rPr>
        <w:t xml:space="preserve">Секторот за </w:t>
      </w:r>
      <w:r w:rsidR="00BC6D77">
        <w:rPr>
          <w:rFonts w:ascii="Times New Roman" w:hAnsi="Times New Roman"/>
          <w:bCs/>
          <w:iCs/>
          <w:sz w:val="24"/>
          <w:szCs w:val="24"/>
          <w:lang w:val="mk-MK"/>
        </w:rPr>
        <w:t xml:space="preserve">управување со </w:t>
      </w:r>
      <w:r>
        <w:rPr>
          <w:rFonts w:ascii="Times New Roman" w:hAnsi="Times New Roman"/>
          <w:bCs/>
          <w:iCs/>
          <w:sz w:val="24"/>
          <w:szCs w:val="24"/>
          <w:lang w:val="mk-MK"/>
        </w:rPr>
        <w:t>ризици и трето ниво на одбрана и заштита</w:t>
      </w:r>
      <w:r w:rsidR="000746B7">
        <w:rPr>
          <w:rFonts w:ascii="Times New Roman" w:hAnsi="Times New Roman"/>
          <w:bCs/>
          <w:iCs/>
          <w:sz w:val="24"/>
          <w:szCs w:val="24"/>
          <w:lang w:val="mk-MK"/>
        </w:rPr>
        <w:t xml:space="preserve"> </w:t>
      </w:r>
      <w:r>
        <w:rPr>
          <w:rFonts w:ascii="Times New Roman" w:hAnsi="Times New Roman"/>
          <w:bCs/>
          <w:iCs/>
          <w:sz w:val="24"/>
          <w:szCs w:val="24"/>
          <w:lang w:val="mk-MK"/>
        </w:rPr>
        <w:t xml:space="preserve">- </w:t>
      </w:r>
      <w:r w:rsidR="00134B2A" w:rsidRPr="00134B2A">
        <w:rPr>
          <w:rFonts w:ascii="Times New Roman" w:hAnsi="Times New Roman"/>
          <w:bCs/>
          <w:iCs/>
          <w:sz w:val="24"/>
          <w:szCs w:val="24"/>
          <w:lang w:val="mk-MK"/>
        </w:rPr>
        <w:t>Внатрешната ревизија</w:t>
      </w:r>
      <w:r w:rsidR="00134B2A" w:rsidRPr="001C5B17">
        <w:rPr>
          <w:rFonts w:ascii="Times New Roman" w:hAnsi="Times New Roman"/>
          <w:bCs/>
          <w:iCs/>
          <w:sz w:val="24"/>
          <w:szCs w:val="24"/>
          <w:lang w:val="mk-MK"/>
        </w:rPr>
        <w:t xml:space="preserve"> </w:t>
      </w:r>
      <w:r w:rsidR="00134B2A">
        <w:rPr>
          <w:rFonts w:ascii="Times New Roman" w:hAnsi="Times New Roman"/>
          <w:bCs/>
          <w:iCs/>
          <w:sz w:val="24"/>
          <w:szCs w:val="24"/>
          <w:lang w:val="mk-MK"/>
        </w:rPr>
        <w:t>со с</w:t>
      </w:r>
      <w:r w:rsidR="00134B2A" w:rsidRPr="00134B2A">
        <w:rPr>
          <w:rFonts w:ascii="Times New Roman" w:hAnsi="Times New Roman"/>
          <w:bCs/>
          <w:iCs/>
          <w:sz w:val="24"/>
          <w:szCs w:val="24"/>
          <w:lang w:val="mk-MK"/>
        </w:rPr>
        <w:t>овети</w:t>
      </w:r>
      <w:r w:rsidR="00134B2A" w:rsidRPr="001C5B17">
        <w:rPr>
          <w:rFonts w:ascii="Times New Roman" w:hAnsi="Times New Roman"/>
          <w:bCs/>
          <w:iCs/>
          <w:sz w:val="24"/>
          <w:szCs w:val="24"/>
          <w:lang w:val="mk-MK"/>
        </w:rPr>
        <w:t xml:space="preserve"> и </w:t>
      </w:r>
      <w:r w:rsidR="00134B2A" w:rsidRPr="00134B2A">
        <w:rPr>
          <w:rFonts w:ascii="Times New Roman" w:hAnsi="Times New Roman"/>
          <w:bCs/>
          <w:iCs/>
          <w:sz w:val="24"/>
          <w:szCs w:val="24"/>
          <w:lang w:val="mk-MK"/>
        </w:rPr>
        <w:t>увид</w:t>
      </w:r>
      <w:r w:rsidR="00134B2A" w:rsidRPr="001C5B17">
        <w:rPr>
          <w:rFonts w:ascii="Times New Roman" w:hAnsi="Times New Roman"/>
          <w:bCs/>
          <w:iCs/>
          <w:sz w:val="24"/>
          <w:szCs w:val="24"/>
          <w:lang w:val="mk-MK"/>
        </w:rPr>
        <w:t xml:space="preserve"> </w:t>
      </w:r>
      <w:r w:rsidR="00134B2A" w:rsidRPr="00134B2A">
        <w:rPr>
          <w:rFonts w:ascii="Times New Roman" w:hAnsi="Times New Roman"/>
          <w:bCs/>
          <w:iCs/>
          <w:sz w:val="24"/>
          <w:szCs w:val="24"/>
          <w:lang w:val="mk-MK"/>
        </w:rPr>
        <w:t>во</w:t>
      </w:r>
      <w:r w:rsidR="00134B2A" w:rsidRPr="001C5B17">
        <w:rPr>
          <w:rFonts w:ascii="Times New Roman" w:hAnsi="Times New Roman"/>
          <w:bCs/>
          <w:iCs/>
          <w:sz w:val="24"/>
          <w:szCs w:val="24"/>
          <w:lang w:val="mk-MK"/>
        </w:rPr>
        <w:t xml:space="preserve"> </w:t>
      </w:r>
      <w:r w:rsidR="00134B2A" w:rsidRPr="00134B2A">
        <w:rPr>
          <w:rFonts w:ascii="Times New Roman" w:hAnsi="Times New Roman"/>
          <w:bCs/>
          <w:iCs/>
          <w:sz w:val="24"/>
          <w:szCs w:val="24"/>
          <w:lang w:val="mk-MK"/>
        </w:rPr>
        <w:t>квалитетот</w:t>
      </w:r>
      <w:r w:rsidR="00134B2A" w:rsidRPr="001C5B17">
        <w:rPr>
          <w:rFonts w:ascii="Times New Roman" w:hAnsi="Times New Roman"/>
          <w:bCs/>
          <w:iCs/>
          <w:sz w:val="24"/>
          <w:szCs w:val="24"/>
          <w:lang w:val="mk-MK"/>
        </w:rPr>
        <w:t xml:space="preserve"> и </w:t>
      </w:r>
      <w:r w:rsidR="00134B2A" w:rsidRPr="00134B2A">
        <w:rPr>
          <w:rFonts w:ascii="Times New Roman" w:hAnsi="Times New Roman"/>
          <w:bCs/>
          <w:iCs/>
          <w:sz w:val="24"/>
          <w:szCs w:val="24"/>
          <w:lang w:val="mk-MK"/>
        </w:rPr>
        <w:t>ефективноста</w:t>
      </w:r>
      <w:r w:rsidR="00134B2A" w:rsidRPr="001C5B17">
        <w:rPr>
          <w:rFonts w:ascii="Times New Roman" w:hAnsi="Times New Roman"/>
          <w:bCs/>
          <w:iCs/>
          <w:sz w:val="24"/>
          <w:szCs w:val="24"/>
          <w:lang w:val="mk-MK"/>
        </w:rPr>
        <w:t xml:space="preserve"> </w:t>
      </w:r>
      <w:r w:rsidR="00134B2A" w:rsidRPr="00134B2A">
        <w:rPr>
          <w:rFonts w:ascii="Times New Roman" w:hAnsi="Times New Roman"/>
          <w:bCs/>
          <w:iCs/>
          <w:sz w:val="24"/>
          <w:szCs w:val="24"/>
          <w:lang w:val="mk-MK"/>
        </w:rPr>
        <w:t>на</w:t>
      </w:r>
      <w:r w:rsidR="00134B2A" w:rsidRPr="001C5B17">
        <w:rPr>
          <w:rFonts w:ascii="Times New Roman" w:hAnsi="Times New Roman"/>
          <w:bCs/>
          <w:iCs/>
          <w:sz w:val="24"/>
          <w:szCs w:val="24"/>
          <w:lang w:val="mk-MK"/>
        </w:rPr>
        <w:t xml:space="preserve"> </w:t>
      </w:r>
      <w:r w:rsidR="00134B2A" w:rsidRPr="00134B2A">
        <w:rPr>
          <w:rFonts w:ascii="Times New Roman" w:hAnsi="Times New Roman"/>
          <w:bCs/>
          <w:iCs/>
          <w:sz w:val="24"/>
          <w:szCs w:val="24"/>
          <w:lang w:val="mk-MK"/>
        </w:rPr>
        <w:t>внатрешните</w:t>
      </w:r>
      <w:r>
        <w:rPr>
          <w:rFonts w:ascii="Times New Roman" w:hAnsi="Times New Roman"/>
          <w:bCs/>
          <w:iCs/>
          <w:sz w:val="24"/>
          <w:szCs w:val="24"/>
          <w:lang w:val="mk-MK"/>
        </w:rPr>
        <w:t xml:space="preserve"> контроли.</w:t>
      </w:r>
    </w:p>
    <w:p w14:paraId="16C87092" w14:textId="77777777" w:rsidR="00B24343" w:rsidRPr="00F972A7" w:rsidRDefault="003B0248" w:rsidP="00B24343">
      <w:pPr>
        <w:rPr>
          <w:rFonts w:ascii="Times New Roman" w:hAnsi="Times New Roman"/>
          <w:i/>
          <w:sz w:val="24"/>
          <w:szCs w:val="24"/>
          <w:lang w:val="mk-MK"/>
        </w:rPr>
      </w:pPr>
      <w:r w:rsidRPr="00F972A7">
        <w:rPr>
          <w:rFonts w:ascii="Times New Roman" w:hAnsi="Times New Roman"/>
          <w:i/>
          <w:sz w:val="24"/>
          <w:szCs w:val="24"/>
          <w:lang w:val="mk-MK"/>
        </w:rPr>
        <w:t>Регулаторни обврски</w:t>
      </w:r>
    </w:p>
    <w:p w14:paraId="2293415F" w14:textId="77777777" w:rsidR="008E64FB" w:rsidRDefault="003B0248" w:rsidP="003B0248">
      <w:pPr>
        <w:jc w:val="both"/>
        <w:rPr>
          <w:rFonts w:ascii="Times New Roman" w:hAnsi="Times New Roman"/>
          <w:bCs/>
          <w:iCs/>
          <w:sz w:val="24"/>
          <w:szCs w:val="24"/>
          <w:lang w:val="mk-MK"/>
        </w:rPr>
      </w:pPr>
      <w:r w:rsidRPr="00A60154">
        <w:rPr>
          <w:rFonts w:ascii="Times New Roman" w:hAnsi="Times New Roman"/>
          <w:bCs/>
          <w:iCs/>
          <w:sz w:val="24"/>
          <w:szCs w:val="24"/>
          <w:lang w:val="mk-MK"/>
        </w:rPr>
        <w:t xml:space="preserve">Просечното </w:t>
      </w:r>
      <w:r w:rsidR="002478CE">
        <w:rPr>
          <w:rFonts w:ascii="Times New Roman" w:hAnsi="Times New Roman"/>
          <w:bCs/>
          <w:iCs/>
          <w:sz w:val="24"/>
          <w:szCs w:val="24"/>
          <w:lang w:val="mk-MK"/>
        </w:rPr>
        <w:t>одржување</w:t>
      </w:r>
      <w:r w:rsidRPr="00A60154">
        <w:rPr>
          <w:rFonts w:ascii="Times New Roman" w:hAnsi="Times New Roman"/>
          <w:bCs/>
          <w:iCs/>
          <w:sz w:val="24"/>
          <w:szCs w:val="24"/>
          <w:lang w:val="mk-MK"/>
        </w:rPr>
        <w:t xml:space="preserve"> на денарската задолжителна резерва </w:t>
      </w:r>
      <w:r w:rsidR="002478CE">
        <w:rPr>
          <w:rFonts w:ascii="Times New Roman" w:hAnsi="Times New Roman"/>
          <w:bCs/>
          <w:iCs/>
          <w:sz w:val="24"/>
          <w:szCs w:val="24"/>
          <w:lang w:val="mk-MK"/>
        </w:rPr>
        <w:t xml:space="preserve">во текот на 2022 година </w:t>
      </w:r>
      <w:r w:rsidRPr="00A60154">
        <w:rPr>
          <w:rFonts w:ascii="Times New Roman" w:hAnsi="Times New Roman"/>
          <w:bCs/>
          <w:iCs/>
          <w:sz w:val="24"/>
          <w:szCs w:val="24"/>
          <w:lang w:val="mk-MK"/>
        </w:rPr>
        <w:t>изнесуваше 100,</w:t>
      </w:r>
      <w:r w:rsidR="002478CE">
        <w:rPr>
          <w:rFonts w:ascii="Times New Roman" w:hAnsi="Times New Roman"/>
          <w:bCs/>
          <w:iCs/>
          <w:sz w:val="24"/>
          <w:szCs w:val="24"/>
          <w:lang w:val="mk-MK"/>
        </w:rPr>
        <w:t>22</w:t>
      </w:r>
      <w:r w:rsidRPr="00A60154">
        <w:rPr>
          <w:rFonts w:ascii="Times New Roman" w:hAnsi="Times New Roman"/>
          <w:bCs/>
          <w:iCs/>
          <w:sz w:val="24"/>
          <w:szCs w:val="24"/>
          <w:lang w:val="mk-MK"/>
        </w:rPr>
        <w:t>%</w:t>
      </w:r>
      <w:r w:rsidRPr="001C5B17">
        <w:rPr>
          <w:rFonts w:ascii="Times New Roman" w:hAnsi="Times New Roman"/>
          <w:bCs/>
          <w:iCs/>
          <w:sz w:val="24"/>
          <w:szCs w:val="24"/>
          <w:lang w:val="mk-MK"/>
        </w:rPr>
        <w:t xml:space="preserve"> </w:t>
      </w:r>
      <w:r w:rsidR="00D877B6">
        <w:rPr>
          <w:rFonts w:ascii="Times New Roman" w:hAnsi="Times New Roman"/>
          <w:bCs/>
          <w:iCs/>
          <w:sz w:val="24"/>
          <w:szCs w:val="24"/>
          <w:lang w:val="mk-MK"/>
        </w:rPr>
        <w:t>при утврд</w:t>
      </w:r>
      <w:r w:rsidR="00294600">
        <w:rPr>
          <w:rFonts w:ascii="Times New Roman" w:hAnsi="Times New Roman"/>
          <w:bCs/>
          <w:iCs/>
          <w:sz w:val="24"/>
          <w:szCs w:val="24"/>
          <w:lang w:val="mk-MK"/>
        </w:rPr>
        <w:t>е</w:t>
      </w:r>
      <w:r w:rsidR="00D877B6">
        <w:rPr>
          <w:rFonts w:ascii="Times New Roman" w:hAnsi="Times New Roman"/>
          <w:bCs/>
          <w:iCs/>
          <w:sz w:val="24"/>
          <w:szCs w:val="24"/>
          <w:lang w:val="mk-MK"/>
        </w:rPr>
        <w:t xml:space="preserve">но регулаторно минимално ниво од 100% </w:t>
      </w:r>
      <w:r>
        <w:rPr>
          <w:rFonts w:ascii="Times New Roman" w:hAnsi="Times New Roman"/>
          <w:bCs/>
          <w:iCs/>
          <w:sz w:val="24"/>
          <w:szCs w:val="24"/>
          <w:lang w:val="mk-MK"/>
        </w:rPr>
        <w:t>што упатува на квалитетно управување со расположливата ликвидност</w:t>
      </w:r>
      <w:r w:rsidR="00D877B6">
        <w:rPr>
          <w:rFonts w:ascii="Times New Roman" w:hAnsi="Times New Roman"/>
          <w:bCs/>
          <w:iCs/>
          <w:sz w:val="24"/>
          <w:szCs w:val="24"/>
          <w:lang w:val="mk-MK"/>
        </w:rPr>
        <w:t xml:space="preserve"> и нејзино вложување во профитабилни </w:t>
      </w:r>
      <w:r w:rsidR="00765311">
        <w:rPr>
          <w:rFonts w:ascii="Times New Roman" w:hAnsi="Times New Roman"/>
          <w:bCs/>
          <w:iCs/>
          <w:sz w:val="24"/>
          <w:szCs w:val="24"/>
          <w:lang w:val="mk-MK"/>
        </w:rPr>
        <w:t>ликвидни средства</w:t>
      </w:r>
      <w:r w:rsidRPr="00A60154">
        <w:rPr>
          <w:rFonts w:ascii="Times New Roman" w:hAnsi="Times New Roman"/>
          <w:bCs/>
          <w:iCs/>
          <w:sz w:val="24"/>
          <w:szCs w:val="24"/>
          <w:lang w:val="mk-MK"/>
        </w:rPr>
        <w:t xml:space="preserve">. </w:t>
      </w:r>
    </w:p>
    <w:p w14:paraId="063F930F" w14:textId="77777777" w:rsidR="003B0248" w:rsidRPr="001C5B17" w:rsidRDefault="000E2CC5" w:rsidP="003B0248">
      <w:pPr>
        <w:jc w:val="both"/>
        <w:rPr>
          <w:lang w:val="mk-MK"/>
        </w:rPr>
      </w:pPr>
      <w:r>
        <w:rPr>
          <w:rFonts w:ascii="Times New Roman" w:hAnsi="Times New Roman"/>
          <w:bCs/>
          <w:iCs/>
          <w:sz w:val="24"/>
          <w:szCs w:val="24"/>
          <w:lang w:val="mk-MK"/>
        </w:rPr>
        <w:t>С</w:t>
      </w:r>
      <w:r w:rsidR="003B0248">
        <w:rPr>
          <w:rFonts w:ascii="Times New Roman" w:hAnsi="Times New Roman"/>
          <w:bCs/>
          <w:iCs/>
          <w:sz w:val="24"/>
          <w:szCs w:val="24"/>
          <w:lang w:val="mk-MK"/>
        </w:rPr>
        <w:t>тапка</w:t>
      </w:r>
      <w:r w:rsidRPr="001C5B17">
        <w:rPr>
          <w:rFonts w:ascii="Times New Roman" w:hAnsi="Times New Roman"/>
          <w:bCs/>
          <w:iCs/>
          <w:sz w:val="24"/>
          <w:szCs w:val="24"/>
          <w:lang w:val="mk-MK"/>
        </w:rPr>
        <w:t>та</w:t>
      </w:r>
      <w:r w:rsidR="003B0248">
        <w:rPr>
          <w:rFonts w:ascii="Times New Roman" w:hAnsi="Times New Roman"/>
          <w:bCs/>
          <w:iCs/>
          <w:sz w:val="24"/>
          <w:szCs w:val="24"/>
          <w:lang w:val="mk-MK"/>
        </w:rPr>
        <w:t xml:space="preserve"> на покриеност со ликвидност</w:t>
      </w:r>
      <w:r w:rsidRPr="001C5B17">
        <w:rPr>
          <w:rFonts w:ascii="Times New Roman" w:hAnsi="Times New Roman"/>
          <w:bCs/>
          <w:iCs/>
          <w:sz w:val="24"/>
          <w:szCs w:val="24"/>
          <w:lang w:val="mk-MK"/>
        </w:rPr>
        <w:t xml:space="preserve"> (LCR)</w:t>
      </w:r>
      <w:r w:rsidR="00BC6D77">
        <w:rPr>
          <w:rFonts w:ascii="Times New Roman" w:hAnsi="Times New Roman"/>
          <w:bCs/>
          <w:iCs/>
          <w:sz w:val="24"/>
          <w:szCs w:val="24"/>
          <w:lang w:val="mk-MK"/>
        </w:rPr>
        <w:t>,</w:t>
      </w:r>
      <w:r w:rsidR="008E64FB" w:rsidRPr="001C5B17">
        <w:rPr>
          <w:rFonts w:ascii="Times New Roman" w:hAnsi="Times New Roman"/>
          <w:bCs/>
          <w:iCs/>
          <w:sz w:val="24"/>
          <w:szCs w:val="24"/>
          <w:lang w:val="mk-MK"/>
        </w:rPr>
        <w:t xml:space="preserve"> </w:t>
      </w:r>
      <w:r>
        <w:rPr>
          <w:rFonts w:ascii="Times New Roman" w:hAnsi="Times New Roman"/>
          <w:bCs/>
          <w:iCs/>
          <w:sz w:val="24"/>
          <w:szCs w:val="24"/>
          <w:lang w:val="mk-MK"/>
        </w:rPr>
        <w:t xml:space="preserve">која претставува </w:t>
      </w:r>
      <w:r w:rsidR="003B0248">
        <w:rPr>
          <w:rFonts w:ascii="Times New Roman" w:hAnsi="Times New Roman"/>
          <w:bCs/>
          <w:iCs/>
          <w:sz w:val="24"/>
          <w:szCs w:val="24"/>
          <w:lang w:val="mk-MK"/>
        </w:rPr>
        <w:t xml:space="preserve">базелски ликвидносен стандард дизајниран </w:t>
      </w:r>
      <w:r w:rsidR="003B0248" w:rsidRPr="005740B3">
        <w:rPr>
          <w:rFonts w:ascii="Times New Roman" w:hAnsi="Times New Roman"/>
          <w:bCs/>
          <w:iCs/>
          <w:sz w:val="24"/>
          <w:szCs w:val="24"/>
          <w:lang w:val="mk-MK"/>
        </w:rPr>
        <w:t xml:space="preserve">да обезбеди банките да </w:t>
      </w:r>
      <w:r w:rsidR="003B0248">
        <w:rPr>
          <w:rFonts w:ascii="Times New Roman" w:hAnsi="Times New Roman"/>
          <w:bCs/>
          <w:iCs/>
          <w:sz w:val="24"/>
          <w:szCs w:val="24"/>
          <w:lang w:val="mk-MK"/>
        </w:rPr>
        <w:t>одржуваат</w:t>
      </w:r>
      <w:r w:rsidR="003B0248" w:rsidRPr="005740B3">
        <w:rPr>
          <w:rFonts w:ascii="Times New Roman" w:hAnsi="Times New Roman"/>
          <w:bCs/>
          <w:iCs/>
          <w:sz w:val="24"/>
          <w:szCs w:val="24"/>
          <w:lang w:val="mk-MK"/>
        </w:rPr>
        <w:t xml:space="preserve"> </w:t>
      </w:r>
      <w:r w:rsidR="003B0248">
        <w:rPr>
          <w:rFonts w:ascii="Times New Roman" w:hAnsi="Times New Roman"/>
          <w:bCs/>
          <w:iCs/>
          <w:sz w:val="24"/>
          <w:szCs w:val="24"/>
          <w:lang w:val="mk-MK"/>
        </w:rPr>
        <w:t xml:space="preserve">доволна </w:t>
      </w:r>
      <w:r w:rsidR="003B0248" w:rsidRPr="005740B3">
        <w:rPr>
          <w:rFonts w:ascii="Times New Roman" w:hAnsi="Times New Roman"/>
          <w:bCs/>
          <w:iCs/>
          <w:sz w:val="24"/>
          <w:szCs w:val="24"/>
          <w:lang w:val="mk-MK"/>
        </w:rPr>
        <w:t xml:space="preserve">резерва на висококвалитетни ликвидни средства </w:t>
      </w:r>
      <w:r w:rsidR="003B0248">
        <w:rPr>
          <w:rFonts w:ascii="Times New Roman" w:hAnsi="Times New Roman"/>
          <w:bCs/>
          <w:iCs/>
          <w:sz w:val="24"/>
          <w:szCs w:val="24"/>
          <w:lang w:val="mk-MK"/>
        </w:rPr>
        <w:t xml:space="preserve">која ќе </w:t>
      </w:r>
      <w:r w:rsidR="003B0248" w:rsidRPr="005740B3">
        <w:rPr>
          <w:rFonts w:ascii="Times New Roman" w:hAnsi="Times New Roman"/>
          <w:bCs/>
          <w:iCs/>
          <w:sz w:val="24"/>
          <w:szCs w:val="24"/>
          <w:lang w:val="mk-MK"/>
        </w:rPr>
        <w:t>им овозмож</w:t>
      </w:r>
      <w:r w:rsidR="003B0248">
        <w:rPr>
          <w:rFonts w:ascii="Times New Roman" w:hAnsi="Times New Roman"/>
          <w:bCs/>
          <w:iCs/>
          <w:sz w:val="24"/>
          <w:szCs w:val="24"/>
          <w:lang w:val="mk-MK"/>
        </w:rPr>
        <w:t>и</w:t>
      </w:r>
      <w:r w:rsidR="003B0248" w:rsidRPr="005740B3">
        <w:rPr>
          <w:rFonts w:ascii="Times New Roman" w:hAnsi="Times New Roman"/>
          <w:bCs/>
          <w:iCs/>
          <w:sz w:val="24"/>
          <w:szCs w:val="24"/>
          <w:lang w:val="mk-MK"/>
        </w:rPr>
        <w:t xml:space="preserve"> </w:t>
      </w:r>
      <w:r w:rsidR="003B0248">
        <w:rPr>
          <w:rFonts w:ascii="Times New Roman" w:hAnsi="Times New Roman"/>
          <w:bCs/>
          <w:iCs/>
          <w:sz w:val="24"/>
          <w:szCs w:val="24"/>
          <w:lang w:val="mk-MK"/>
        </w:rPr>
        <w:t>отпорност</w:t>
      </w:r>
      <w:r w:rsidR="003B0248" w:rsidRPr="005740B3">
        <w:rPr>
          <w:rFonts w:ascii="Times New Roman" w:hAnsi="Times New Roman"/>
          <w:bCs/>
          <w:iCs/>
          <w:sz w:val="24"/>
          <w:szCs w:val="24"/>
          <w:lang w:val="mk-MK"/>
        </w:rPr>
        <w:t xml:space="preserve"> на значителен ликвидносен стрес </w:t>
      </w:r>
      <w:r w:rsidR="003B0248">
        <w:rPr>
          <w:rFonts w:ascii="Times New Roman" w:hAnsi="Times New Roman"/>
          <w:bCs/>
          <w:iCs/>
          <w:sz w:val="24"/>
          <w:szCs w:val="24"/>
          <w:lang w:val="mk-MK"/>
        </w:rPr>
        <w:t>во период од</w:t>
      </w:r>
      <w:r w:rsidR="003B0248" w:rsidRPr="005740B3">
        <w:rPr>
          <w:rFonts w:ascii="Times New Roman" w:hAnsi="Times New Roman"/>
          <w:bCs/>
          <w:iCs/>
          <w:sz w:val="24"/>
          <w:szCs w:val="24"/>
          <w:lang w:val="mk-MK"/>
        </w:rPr>
        <w:t xml:space="preserve"> 30 календарски дена</w:t>
      </w:r>
      <w:r w:rsidR="00BC6D77">
        <w:rPr>
          <w:rFonts w:ascii="Times New Roman" w:hAnsi="Times New Roman"/>
          <w:bCs/>
          <w:iCs/>
          <w:sz w:val="24"/>
          <w:szCs w:val="24"/>
          <w:lang w:val="mk-MK"/>
        </w:rPr>
        <w:t>,</w:t>
      </w:r>
      <w:r w:rsidR="003B0248">
        <w:rPr>
          <w:rFonts w:ascii="Times New Roman" w:hAnsi="Times New Roman"/>
          <w:bCs/>
          <w:iCs/>
          <w:sz w:val="24"/>
          <w:szCs w:val="24"/>
          <w:lang w:val="mk-MK"/>
        </w:rPr>
        <w:t xml:space="preserve"> Банката </w:t>
      </w:r>
      <w:r w:rsidR="003305C5">
        <w:rPr>
          <w:rFonts w:ascii="Times New Roman" w:hAnsi="Times New Roman"/>
          <w:bCs/>
          <w:iCs/>
          <w:sz w:val="24"/>
          <w:szCs w:val="24"/>
          <w:lang w:val="mk-MK"/>
        </w:rPr>
        <w:t>ја</w:t>
      </w:r>
      <w:r w:rsidR="00C727E8">
        <w:rPr>
          <w:rFonts w:ascii="Times New Roman" w:hAnsi="Times New Roman"/>
          <w:bCs/>
          <w:iCs/>
          <w:sz w:val="24"/>
          <w:szCs w:val="24"/>
          <w:lang w:val="mk-MK"/>
        </w:rPr>
        <w:t xml:space="preserve"> одржуваше на просечно ниво од 180% споредено со</w:t>
      </w:r>
      <w:r w:rsidR="003B0248">
        <w:rPr>
          <w:rFonts w:ascii="Times New Roman" w:hAnsi="Times New Roman"/>
          <w:bCs/>
          <w:iCs/>
          <w:sz w:val="24"/>
          <w:szCs w:val="24"/>
          <w:lang w:val="mk-MK"/>
        </w:rPr>
        <w:t xml:space="preserve"> минимално пропишаното ниво кое изнесува 100%.</w:t>
      </w:r>
      <w:r w:rsidR="003B0248" w:rsidRPr="001C5B17">
        <w:rPr>
          <w:lang w:val="mk-MK"/>
        </w:rPr>
        <w:t xml:space="preserve"> </w:t>
      </w:r>
    </w:p>
    <w:p w14:paraId="4FF96D1B" w14:textId="77777777" w:rsidR="008E64FB" w:rsidRPr="008E64FB" w:rsidRDefault="008E64FB" w:rsidP="003B0248">
      <w:pPr>
        <w:jc w:val="both"/>
        <w:rPr>
          <w:rFonts w:ascii="Times New Roman" w:hAnsi="Times New Roman"/>
          <w:bCs/>
          <w:iCs/>
          <w:sz w:val="24"/>
          <w:szCs w:val="24"/>
          <w:lang w:val="mk-MK"/>
        </w:rPr>
      </w:pPr>
      <w:r>
        <w:rPr>
          <w:rFonts w:ascii="Times New Roman" w:hAnsi="Times New Roman"/>
          <w:bCs/>
          <w:iCs/>
          <w:sz w:val="24"/>
          <w:szCs w:val="24"/>
          <w:lang w:val="mk-MK"/>
        </w:rPr>
        <w:t xml:space="preserve">Интерните ликвидносни </w:t>
      </w:r>
      <w:r w:rsidR="00080C68" w:rsidRPr="001C5B17">
        <w:rPr>
          <w:rFonts w:ascii="Times New Roman" w:hAnsi="Times New Roman"/>
          <w:bCs/>
          <w:iCs/>
          <w:sz w:val="24"/>
          <w:szCs w:val="24"/>
          <w:lang w:val="mk-MK"/>
        </w:rPr>
        <w:t>показатели</w:t>
      </w:r>
      <w:r>
        <w:rPr>
          <w:rFonts w:ascii="Times New Roman" w:hAnsi="Times New Roman"/>
          <w:bCs/>
          <w:iCs/>
          <w:sz w:val="24"/>
          <w:szCs w:val="24"/>
          <w:lang w:val="mk-MK"/>
        </w:rPr>
        <w:t xml:space="preserve"> кои се известуваат во Народната банка</w:t>
      </w:r>
      <w:r w:rsidR="00BC6D77">
        <w:rPr>
          <w:rFonts w:ascii="Times New Roman" w:hAnsi="Times New Roman"/>
          <w:bCs/>
          <w:iCs/>
          <w:sz w:val="24"/>
          <w:szCs w:val="24"/>
          <w:lang w:val="mk-MK"/>
        </w:rPr>
        <w:t>,</w:t>
      </w:r>
      <w:r w:rsidR="002405E6">
        <w:rPr>
          <w:rFonts w:ascii="Times New Roman" w:hAnsi="Times New Roman"/>
          <w:bCs/>
          <w:iCs/>
          <w:sz w:val="24"/>
          <w:szCs w:val="24"/>
          <w:lang w:val="mk-MK"/>
        </w:rPr>
        <w:t xml:space="preserve"> исто така</w:t>
      </w:r>
      <w:r w:rsidR="00BC6D77">
        <w:rPr>
          <w:rFonts w:ascii="Times New Roman" w:hAnsi="Times New Roman"/>
          <w:bCs/>
          <w:iCs/>
          <w:sz w:val="24"/>
          <w:szCs w:val="24"/>
          <w:lang w:val="mk-MK"/>
        </w:rPr>
        <w:t>,</w:t>
      </w:r>
      <w:r w:rsidR="002405E6">
        <w:rPr>
          <w:rFonts w:ascii="Times New Roman" w:hAnsi="Times New Roman"/>
          <w:bCs/>
          <w:iCs/>
          <w:sz w:val="24"/>
          <w:szCs w:val="24"/>
          <w:lang w:val="mk-MK"/>
        </w:rPr>
        <w:t xml:space="preserve"> се одржуваа над утврдените интерни лимити.</w:t>
      </w:r>
    </w:p>
    <w:p w14:paraId="2EDB89AA" w14:textId="77777777" w:rsidR="00B24343" w:rsidRPr="00F972A7" w:rsidRDefault="003B0248" w:rsidP="00F972A7">
      <w:pPr>
        <w:rPr>
          <w:rFonts w:ascii="Times New Roman" w:hAnsi="Times New Roman"/>
          <w:i/>
          <w:sz w:val="24"/>
          <w:szCs w:val="24"/>
          <w:lang w:val="mk-MK"/>
        </w:rPr>
      </w:pPr>
      <w:r w:rsidRPr="00F972A7">
        <w:rPr>
          <w:rFonts w:ascii="Times New Roman" w:hAnsi="Times New Roman"/>
          <w:i/>
          <w:sz w:val="24"/>
          <w:szCs w:val="24"/>
          <w:lang w:val="mk-MK"/>
        </w:rPr>
        <w:t>Структура на ликвидни средства</w:t>
      </w:r>
    </w:p>
    <w:p w14:paraId="373D04F7" w14:textId="77777777" w:rsidR="003B0248" w:rsidRPr="001C5B17" w:rsidRDefault="003B0248" w:rsidP="003B0248">
      <w:pPr>
        <w:jc w:val="both"/>
        <w:rPr>
          <w:rFonts w:ascii="Times New Roman" w:hAnsi="Times New Roman"/>
          <w:bCs/>
          <w:iCs/>
          <w:sz w:val="24"/>
          <w:szCs w:val="24"/>
          <w:lang w:val="mk-MK"/>
        </w:rPr>
      </w:pPr>
      <w:r w:rsidRPr="005172BC">
        <w:rPr>
          <w:rFonts w:ascii="Times New Roman" w:hAnsi="Times New Roman"/>
          <w:bCs/>
          <w:iCs/>
          <w:sz w:val="24"/>
          <w:szCs w:val="24"/>
          <w:lang w:val="mk-MK"/>
        </w:rPr>
        <w:t xml:space="preserve">Банката одржува оптимална структура на ликвидни средства согласно </w:t>
      </w:r>
      <w:r w:rsidR="00793E05">
        <w:rPr>
          <w:rFonts w:ascii="Times New Roman" w:hAnsi="Times New Roman"/>
          <w:bCs/>
          <w:iCs/>
          <w:sz w:val="24"/>
          <w:szCs w:val="24"/>
          <w:lang w:val="mk-MK"/>
        </w:rPr>
        <w:t>ликвидносните</w:t>
      </w:r>
      <w:r w:rsidRPr="005172BC">
        <w:rPr>
          <w:rFonts w:ascii="Times New Roman" w:hAnsi="Times New Roman"/>
          <w:bCs/>
          <w:iCs/>
          <w:sz w:val="24"/>
          <w:szCs w:val="24"/>
          <w:lang w:val="mk-MK"/>
        </w:rPr>
        <w:t xml:space="preserve"> потреби и </w:t>
      </w:r>
      <w:r w:rsidR="00793E05">
        <w:rPr>
          <w:rFonts w:ascii="Times New Roman" w:hAnsi="Times New Roman"/>
          <w:bCs/>
          <w:iCs/>
          <w:sz w:val="24"/>
          <w:szCs w:val="24"/>
          <w:lang w:val="mk-MK"/>
        </w:rPr>
        <w:t>целите</w:t>
      </w:r>
      <w:r w:rsidRPr="005172BC">
        <w:rPr>
          <w:rFonts w:ascii="Times New Roman" w:hAnsi="Times New Roman"/>
          <w:bCs/>
          <w:iCs/>
          <w:sz w:val="24"/>
          <w:szCs w:val="24"/>
          <w:lang w:val="mk-MK"/>
        </w:rPr>
        <w:t xml:space="preserve"> </w:t>
      </w:r>
      <w:r w:rsidR="00793E05">
        <w:rPr>
          <w:rFonts w:ascii="Times New Roman" w:hAnsi="Times New Roman"/>
          <w:bCs/>
          <w:iCs/>
          <w:sz w:val="24"/>
          <w:szCs w:val="24"/>
          <w:lang w:val="mk-MK"/>
        </w:rPr>
        <w:t>на</w:t>
      </w:r>
      <w:r w:rsidRPr="005172BC">
        <w:rPr>
          <w:rFonts w:ascii="Times New Roman" w:hAnsi="Times New Roman"/>
          <w:bCs/>
          <w:iCs/>
          <w:sz w:val="24"/>
          <w:szCs w:val="24"/>
          <w:lang w:val="mk-MK"/>
        </w:rPr>
        <w:t xml:space="preserve"> управување со активата и пасивата. </w:t>
      </w:r>
    </w:p>
    <w:p w14:paraId="3AF45923" w14:textId="77777777" w:rsidR="003B0248" w:rsidRPr="001C5B17" w:rsidRDefault="000349C7" w:rsidP="003B0248">
      <w:pPr>
        <w:spacing w:after="480"/>
        <w:jc w:val="both"/>
        <w:rPr>
          <w:rFonts w:ascii="Times New Roman" w:hAnsi="Times New Roman"/>
          <w:bCs/>
          <w:iCs/>
          <w:sz w:val="24"/>
          <w:szCs w:val="24"/>
          <w:lang w:val="mk-MK"/>
        </w:rPr>
      </w:pPr>
      <w:r>
        <w:rPr>
          <w:rFonts w:ascii="Times New Roman" w:hAnsi="Times New Roman"/>
          <w:bCs/>
          <w:iCs/>
          <w:sz w:val="24"/>
          <w:szCs w:val="24"/>
          <w:lang w:val="mk-MK"/>
        </w:rPr>
        <w:t>На крајот на 2022 година</w:t>
      </w:r>
      <w:r w:rsidR="00BC6D77">
        <w:rPr>
          <w:rFonts w:ascii="Times New Roman" w:hAnsi="Times New Roman"/>
          <w:bCs/>
          <w:iCs/>
          <w:sz w:val="24"/>
          <w:szCs w:val="24"/>
          <w:lang w:val="mk-MK"/>
        </w:rPr>
        <w:t>,</w:t>
      </w:r>
      <w:r w:rsidR="003B0248">
        <w:rPr>
          <w:rFonts w:ascii="Times New Roman" w:hAnsi="Times New Roman"/>
          <w:bCs/>
          <w:iCs/>
          <w:sz w:val="24"/>
          <w:szCs w:val="24"/>
          <w:lang w:val="mk-MK"/>
        </w:rPr>
        <w:t xml:space="preserve"> структурата на ликвидносни средства е следна</w:t>
      </w:r>
      <w:r w:rsidR="003B0248" w:rsidRPr="001C5B17">
        <w:rPr>
          <w:rFonts w:ascii="Times New Roman" w:hAnsi="Times New Roman"/>
          <w:bCs/>
          <w:iCs/>
          <w:sz w:val="24"/>
          <w:szCs w:val="24"/>
          <w:lang w:val="mk-MK"/>
        </w:rPr>
        <w:t>:</w:t>
      </w:r>
    </w:p>
    <w:p w14:paraId="4B0C72A6" w14:textId="77777777" w:rsidR="003B0248" w:rsidRPr="001C5B17" w:rsidRDefault="003B0248" w:rsidP="007637D1">
      <w:pPr>
        <w:pStyle w:val="ListParagraph"/>
        <w:numPr>
          <w:ilvl w:val="0"/>
          <w:numId w:val="29"/>
        </w:numPr>
        <w:jc w:val="both"/>
        <w:rPr>
          <w:bCs/>
          <w:iCs/>
          <w:lang w:val="mk-MK"/>
        </w:rPr>
      </w:pPr>
      <w:r>
        <w:rPr>
          <w:bCs/>
          <w:iCs/>
          <w:lang w:val="mk-MK"/>
        </w:rPr>
        <w:t xml:space="preserve">Готовина и средства кај НБРСМ – </w:t>
      </w:r>
      <w:r w:rsidR="00DB5ECA">
        <w:rPr>
          <w:bCs/>
          <w:iCs/>
          <w:lang w:val="mk-MK"/>
        </w:rPr>
        <w:t>45</w:t>
      </w:r>
      <w:r>
        <w:rPr>
          <w:bCs/>
          <w:iCs/>
          <w:lang w:val="mk-MK"/>
        </w:rPr>
        <w:t xml:space="preserve">% </w:t>
      </w:r>
    </w:p>
    <w:p w14:paraId="37972977" w14:textId="77777777" w:rsidR="003B0248" w:rsidRPr="00A77B80" w:rsidRDefault="00DB5ECA" w:rsidP="007637D1">
      <w:pPr>
        <w:pStyle w:val="ListParagraph"/>
        <w:numPr>
          <w:ilvl w:val="0"/>
          <w:numId w:val="29"/>
        </w:numPr>
        <w:jc w:val="both"/>
        <w:rPr>
          <w:bCs/>
          <w:iCs/>
        </w:rPr>
      </w:pPr>
      <w:r>
        <w:rPr>
          <w:bCs/>
          <w:iCs/>
          <w:lang w:val="mk-MK"/>
        </w:rPr>
        <w:t>П</w:t>
      </w:r>
      <w:r w:rsidR="003B0248">
        <w:rPr>
          <w:bCs/>
          <w:iCs/>
          <w:lang w:val="mk-MK"/>
        </w:rPr>
        <w:t>ласмани</w:t>
      </w:r>
      <w:r>
        <w:rPr>
          <w:bCs/>
          <w:iCs/>
          <w:lang w:val="mk-MK"/>
        </w:rPr>
        <w:t xml:space="preserve"> во банки</w:t>
      </w:r>
      <w:r w:rsidR="003B0248">
        <w:rPr>
          <w:bCs/>
          <w:iCs/>
          <w:lang w:val="mk-MK"/>
        </w:rPr>
        <w:t xml:space="preserve"> - </w:t>
      </w:r>
      <w:r w:rsidR="00443374">
        <w:rPr>
          <w:bCs/>
          <w:iCs/>
          <w:lang w:val="mk-MK"/>
        </w:rPr>
        <w:t>2</w:t>
      </w:r>
      <w:r w:rsidR="005462A5">
        <w:rPr>
          <w:bCs/>
          <w:iCs/>
          <w:lang w:val="mk-MK"/>
        </w:rPr>
        <w:t>4</w:t>
      </w:r>
      <w:r w:rsidR="003B0248">
        <w:rPr>
          <w:bCs/>
          <w:iCs/>
          <w:lang w:val="mk-MK"/>
        </w:rPr>
        <w:t>%</w:t>
      </w:r>
    </w:p>
    <w:p w14:paraId="3D1E87EE" w14:textId="77777777" w:rsidR="003B0248" w:rsidRPr="00A77B80" w:rsidRDefault="003B0248" w:rsidP="007637D1">
      <w:pPr>
        <w:pStyle w:val="ListParagraph"/>
        <w:numPr>
          <w:ilvl w:val="0"/>
          <w:numId w:val="29"/>
        </w:numPr>
        <w:jc w:val="both"/>
        <w:rPr>
          <w:bCs/>
          <w:iCs/>
        </w:rPr>
      </w:pPr>
      <w:r>
        <w:rPr>
          <w:bCs/>
          <w:iCs/>
          <w:lang w:val="mk-MK"/>
        </w:rPr>
        <w:t xml:space="preserve">Хартии од вредност - </w:t>
      </w:r>
      <w:r w:rsidR="00443374">
        <w:rPr>
          <w:bCs/>
          <w:iCs/>
          <w:lang w:val="mk-MK"/>
        </w:rPr>
        <w:t>31</w:t>
      </w:r>
      <w:r>
        <w:rPr>
          <w:bCs/>
          <w:iCs/>
          <w:lang w:val="mk-MK"/>
        </w:rPr>
        <w:t>%</w:t>
      </w:r>
    </w:p>
    <w:p w14:paraId="57519D29" w14:textId="77777777" w:rsidR="003B0248" w:rsidRDefault="003B0248" w:rsidP="003B0248">
      <w:pPr>
        <w:rPr>
          <w:bCs/>
          <w:iCs/>
        </w:rPr>
      </w:pPr>
    </w:p>
    <w:p w14:paraId="710716B7" w14:textId="77777777" w:rsidR="003B0248" w:rsidRDefault="005462A5" w:rsidP="003B0248">
      <w:pPr>
        <w:jc w:val="center"/>
        <w:rPr>
          <w:bCs/>
          <w:iCs/>
        </w:rPr>
      </w:pPr>
      <w:r>
        <w:rPr>
          <w:noProof/>
        </w:rPr>
        <w:lastRenderedPageBreak/>
        <w:drawing>
          <wp:inline distT="0" distB="0" distL="0" distR="0" wp14:anchorId="180B8E25" wp14:editId="0E58CE2D">
            <wp:extent cx="4572000" cy="2623930"/>
            <wp:effectExtent l="0" t="0" r="0" b="50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noProof/>
        </w:rPr>
        <w:t xml:space="preserve"> </w:t>
      </w:r>
    </w:p>
    <w:p w14:paraId="37FF6F1B" w14:textId="77777777" w:rsidR="00B24343" w:rsidRDefault="003B0248" w:rsidP="003B0248">
      <w:pPr>
        <w:jc w:val="both"/>
        <w:rPr>
          <w:rFonts w:ascii="Times New Roman" w:hAnsi="Times New Roman"/>
          <w:bCs/>
          <w:iCs/>
          <w:sz w:val="24"/>
          <w:szCs w:val="24"/>
        </w:rPr>
      </w:pPr>
      <w:r w:rsidRPr="00A77B80">
        <w:rPr>
          <w:rFonts w:ascii="Times New Roman" w:hAnsi="Times New Roman"/>
          <w:bCs/>
          <w:iCs/>
          <w:sz w:val="24"/>
          <w:szCs w:val="24"/>
          <w:lang w:val="mk-MK"/>
        </w:rPr>
        <w:t>Нивото на високоликвидни средства</w:t>
      </w:r>
      <w:r>
        <w:rPr>
          <w:rFonts w:ascii="Times New Roman" w:hAnsi="Times New Roman"/>
          <w:bCs/>
          <w:iCs/>
          <w:sz w:val="24"/>
          <w:szCs w:val="24"/>
        </w:rPr>
        <w:t xml:space="preserve"> </w:t>
      </w:r>
      <w:r>
        <w:rPr>
          <w:rFonts w:ascii="Times New Roman" w:hAnsi="Times New Roman"/>
          <w:bCs/>
          <w:iCs/>
          <w:sz w:val="24"/>
          <w:szCs w:val="24"/>
          <w:lang w:val="mk-MK"/>
        </w:rPr>
        <w:t xml:space="preserve">кои се состојат од парични средства и парични еквиваленти, средства за тргување и вложувања во хартии од вредност </w:t>
      </w:r>
      <w:r w:rsidRPr="00A77B80">
        <w:rPr>
          <w:rFonts w:ascii="Times New Roman" w:hAnsi="Times New Roman"/>
          <w:bCs/>
          <w:iCs/>
          <w:sz w:val="24"/>
          <w:szCs w:val="24"/>
          <w:lang w:val="mk-MK"/>
        </w:rPr>
        <w:t xml:space="preserve">изнесува </w:t>
      </w:r>
      <w:r w:rsidR="00AF3D77">
        <w:rPr>
          <w:rFonts w:ascii="Times New Roman" w:hAnsi="Times New Roman"/>
          <w:bCs/>
          <w:iCs/>
          <w:sz w:val="24"/>
          <w:szCs w:val="24"/>
          <w:lang w:val="mk-MK"/>
        </w:rPr>
        <w:t>11%</w:t>
      </w:r>
      <w:r w:rsidRPr="00A77B80">
        <w:rPr>
          <w:rFonts w:ascii="Times New Roman" w:hAnsi="Times New Roman"/>
          <w:bCs/>
          <w:iCs/>
          <w:sz w:val="24"/>
          <w:szCs w:val="24"/>
          <w:lang w:val="mk-MK"/>
        </w:rPr>
        <w:t xml:space="preserve"> од вкупните средства на Банката.</w:t>
      </w:r>
    </w:p>
    <w:p w14:paraId="5D5625C4" w14:textId="77777777" w:rsidR="00B24343" w:rsidRPr="00F972A7" w:rsidRDefault="003B0248" w:rsidP="00B24343">
      <w:pPr>
        <w:rPr>
          <w:rFonts w:ascii="Times New Roman" w:hAnsi="Times New Roman"/>
          <w:i/>
          <w:sz w:val="24"/>
          <w:szCs w:val="24"/>
          <w:lang w:val="mk-MK"/>
        </w:rPr>
      </w:pPr>
      <w:r w:rsidRPr="00F972A7">
        <w:rPr>
          <w:rFonts w:ascii="Times New Roman" w:hAnsi="Times New Roman"/>
          <w:i/>
          <w:sz w:val="24"/>
          <w:szCs w:val="24"/>
          <w:lang w:val="mk-MK"/>
        </w:rPr>
        <w:t>Операции на финансиските пазари</w:t>
      </w:r>
    </w:p>
    <w:p w14:paraId="4CF3AA91" w14:textId="77777777" w:rsidR="00DB0A28" w:rsidRPr="006C1FBD" w:rsidRDefault="000F0A08" w:rsidP="000F0A08">
      <w:pPr>
        <w:spacing w:after="120"/>
        <w:jc w:val="both"/>
        <w:rPr>
          <w:rFonts w:ascii="Times New Roman" w:hAnsi="Times New Roman"/>
          <w:bCs/>
          <w:iCs/>
          <w:sz w:val="24"/>
          <w:szCs w:val="24"/>
          <w:lang w:val="mk-MK"/>
        </w:rPr>
      </w:pPr>
      <w:r w:rsidRPr="000F0A08">
        <w:rPr>
          <w:rFonts w:ascii="Times New Roman" w:hAnsi="Times New Roman"/>
          <w:bCs/>
          <w:iCs/>
          <w:sz w:val="24"/>
          <w:szCs w:val="24"/>
          <w:lang w:val="mk-MK"/>
        </w:rPr>
        <w:t>Банката</w:t>
      </w:r>
      <w:r w:rsidR="003D2D7F">
        <w:rPr>
          <w:rFonts w:ascii="Times New Roman" w:hAnsi="Times New Roman"/>
          <w:bCs/>
          <w:iCs/>
          <w:sz w:val="24"/>
          <w:szCs w:val="24"/>
          <w:lang w:val="mk-MK"/>
        </w:rPr>
        <w:t>,</w:t>
      </w:r>
      <w:r w:rsidRPr="000F0A08">
        <w:rPr>
          <w:rFonts w:ascii="Times New Roman" w:hAnsi="Times New Roman"/>
          <w:bCs/>
          <w:iCs/>
          <w:sz w:val="24"/>
          <w:szCs w:val="24"/>
          <w:lang w:val="mk-MK"/>
        </w:rPr>
        <w:t xml:space="preserve"> во текот на 2022 година</w:t>
      </w:r>
      <w:r w:rsidR="003D2D7F">
        <w:rPr>
          <w:rFonts w:ascii="Times New Roman" w:hAnsi="Times New Roman"/>
          <w:bCs/>
          <w:iCs/>
          <w:sz w:val="24"/>
          <w:szCs w:val="24"/>
          <w:lang w:val="mk-MK"/>
        </w:rPr>
        <w:t>,</w:t>
      </w:r>
      <w:r w:rsidRPr="000F0A08">
        <w:rPr>
          <w:rFonts w:ascii="Times New Roman" w:hAnsi="Times New Roman"/>
          <w:bCs/>
          <w:iCs/>
          <w:sz w:val="24"/>
          <w:szCs w:val="24"/>
          <w:lang w:val="mk-MK"/>
        </w:rPr>
        <w:t xml:space="preserve"> продолжи успешно да ги услужува компаниите и физичките лица со купопродажба на девизи остварувајќи поголем промет во однос на претходната година. Најголемиот дел од девизните средства</w:t>
      </w:r>
      <w:r w:rsidR="003D2D7F">
        <w:rPr>
          <w:rFonts w:ascii="Times New Roman" w:hAnsi="Times New Roman"/>
          <w:bCs/>
          <w:iCs/>
          <w:sz w:val="24"/>
          <w:szCs w:val="24"/>
          <w:lang w:val="mk-MK"/>
        </w:rPr>
        <w:t>,</w:t>
      </w:r>
      <w:r w:rsidRPr="000F0A08">
        <w:rPr>
          <w:rFonts w:ascii="Times New Roman" w:hAnsi="Times New Roman"/>
          <w:bCs/>
          <w:iCs/>
          <w:sz w:val="24"/>
          <w:szCs w:val="24"/>
          <w:lang w:val="mk-MK"/>
        </w:rPr>
        <w:t xml:space="preserve"> СБ ги обезбеди од сопствени извори</w:t>
      </w:r>
      <w:r w:rsidR="009F2C43">
        <w:rPr>
          <w:rFonts w:ascii="Times New Roman" w:hAnsi="Times New Roman"/>
          <w:bCs/>
          <w:iCs/>
          <w:sz w:val="24"/>
          <w:szCs w:val="24"/>
          <w:lang w:val="mk-MK"/>
        </w:rPr>
        <w:t>,</w:t>
      </w:r>
      <w:r w:rsidRPr="000F0A08">
        <w:rPr>
          <w:rFonts w:ascii="Times New Roman" w:hAnsi="Times New Roman"/>
          <w:bCs/>
          <w:iCs/>
          <w:sz w:val="24"/>
          <w:szCs w:val="24"/>
          <w:lang w:val="mk-MK"/>
        </w:rPr>
        <w:t xml:space="preserve"> а помал дел од останатите бан</w:t>
      </w:r>
      <w:r w:rsidR="009F2C43">
        <w:rPr>
          <w:rFonts w:ascii="Times New Roman" w:hAnsi="Times New Roman"/>
          <w:bCs/>
          <w:iCs/>
          <w:sz w:val="24"/>
          <w:szCs w:val="24"/>
          <w:lang w:val="mk-MK"/>
        </w:rPr>
        <w:t>к</w:t>
      </w:r>
      <w:r w:rsidRPr="000F0A08">
        <w:rPr>
          <w:rFonts w:ascii="Times New Roman" w:hAnsi="Times New Roman"/>
          <w:bCs/>
          <w:iCs/>
          <w:sz w:val="24"/>
          <w:szCs w:val="24"/>
          <w:lang w:val="mk-MK"/>
        </w:rPr>
        <w:t>и поддржувачи и НБРСМ. Вкупниот обем на девизниот пазар изнесуваше 1,</w:t>
      </w:r>
      <w:r w:rsidRPr="001C5B17">
        <w:rPr>
          <w:rFonts w:ascii="Times New Roman" w:hAnsi="Times New Roman"/>
          <w:bCs/>
          <w:iCs/>
          <w:sz w:val="24"/>
          <w:szCs w:val="24"/>
          <w:lang w:val="mk-MK"/>
        </w:rPr>
        <w:t>5</w:t>
      </w:r>
      <w:r w:rsidRPr="000F0A08">
        <w:rPr>
          <w:rFonts w:ascii="Times New Roman" w:hAnsi="Times New Roman"/>
          <w:bCs/>
          <w:iCs/>
          <w:sz w:val="24"/>
          <w:szCs w:val="24"/>
          <w:lang w:val="mk-MK"/>
        </w:rPr>
        <w:t xml:space="preserve"> милијарди евра, од кои 4</w:t>
      </w:r>
      <w:r w:rsidRPr="001C5B17">
        <w:rPr>
          <w:rFonts w:ascii="Times New Roman" w:hAnsi="Times New Roman"/>
          <w:bCs/>
          <w:iCs/>
          <w:sz w:val="24"/>
          <w:szCs w:val="24"/>
          <w:lang w:val="mk-MK"/>
        </w:rPr>
        <w:t>5</w:t>
      </w:r>
      <w:r w:rsidRPr="000F0A08">
        <w:rPr>
          <w:rFonts w:ascii="Times New Roman" w:hAnsi="Times New Roman"/>
          <w:bCs/>
          <w:iCs/>
          <w:sz w:val="24"/>
          <w:szCs w:val="24"/>
          <w:lang w:val="mk-MK"/>
        </w:rPr>
        <w:t>% беа трансакции за купување на девизи</w:t>
      </w:r>
      <w:r w:rsidRPr="001C5B17">
        <w:rPr>
          <w:rFonts w:ascii="Times New Roman" w:hAnsi="Times New Roman"/>
          <w:bCs/>
          <w:iCs/>
          <w:sz w:val="24"/>
          <w:szCs w:val="24"/>
          <w:lang w:val="mk-MK"/>
        </w:rPr>
        <w:t>,</w:t>
      </w:r>
      <w:r w:rsidRPr="000F0A08">
        <w:rPr>
          <w:rFonts w:ascii="Times New Roman" w:hAnsi="Times New Roman"/>
          <w:bCs/>
          <w:iCs/>
          <w:sz w:val="24"/>
          <w:szCs w:val="24"/>
          <w:lang w:val="mk-MK"/>
        </w:rPr>
        <w:t xml:space="preserve"> а 5</w:t>
      </w:r>
      <w:r w:rsidRPr="001C5B17">
        <w:rPr>
          <w:rFonts w:ascii="Times New Roman" w:hAnsi="Times New Roman"/>
          <w:bCs/>
          <w:iCs/>
          <w:sz w:val="24"/>
          <w:szCs w:val="24"/>
          <w:lang w:val="mk-MK"/>
        </w:rPr>
        <w:t>5</w:t>
      </w:r>
      <w:r w:rsidRPr="000F0A08">
        <w:rPr>
          <w:rFonts w:ascii="Times New Roman" w:hAnsi="Times New Roman"/>
          <w:bCs/>
          <w:iCs/>
          <w:sz w:val="24"/>
          <w:szCs w:val="24"/>
          <w:lang w:val="mk-MK"/>
        </w:rPr>
        <w:t>% бе</w:t>
      </w:r>
      <w:r w:rsidRPr="001C5B17">
        <w:rPr>
          <w:rFonts w:ascii="Times New Roman" w:hAnsi="Times New Roman"/>
          <w:bCs/>
          <w:iCs/>
          <w:sz w:val="24"/>
          <w:szCs w:val="24"/>
          <w:lang w:val="mk-MK"/>
        </w:rPr>
        <w:t xml:space="preserve">a </w:t>
      </w:r>
      <w:r w:rsidRPr="000F0A08">
        <w:rPr>
          <w:rFonts w:ascii="Times New Roman" w:hAnsi="Times New Roman"/>
          <w:bCs/>
          <w:iCs/>
          <w:sz w:val="24"/>
          <w:szCs w:val="24"/>
          <w:lang w:val="mk-MK"/>
        </w:rPr>
        <w:t xml:space="preserve">трансакции на страната на продажбата. Од аспект на валутната структура, </w:t>
      </w:r>
      <w:r w:rsidRPr="001C5B17">
        <w:rPr>
          <w:rFonts w:ascii="Times New Roman" w:hAnsi="Times New Roman"/>
          <w:bCs/>
          <w:iCs/>
          <w:sz w:val="24"/>
          <w:szCs w:val="24"/>
          <w:lang w:val="mk-MK"/>
        </w:rPr>
        <w:t>85</w:t>
      </w:r>
      <w:r w:rsidRPr="000F0A08">
        <w:rPr>
          <w:rFonts w:ascii="Times New Roman" w:hAnsi="Times New Roman"/>
          <w:bCs/>
          <w:iCs/>
          <w:sz w:val="24"/>
          <w:szCs w:val="24"/>
          <w:lang w:val="mk-MK"/>
        </w:rPr>
        <w:t>% бе</w:t>
      </w:r>
      <w:r w:rsidRPr="001C5B17">
        <w:rPr>
          <w:rFonts w:ascii="Times New Roman" w:hAnsi="Times New Roman"/>
          <w:bCs/>
          <w:iCs/>
          <w:sz w:val="24"/>
          <w:szCs w:val="24"/>
          <w:lang w:val="mk-MK"/>
        </w:rPr>
        <w:t>a</w:t>
      </w:r>
      <w:r w:rsidRPr="000F0A08">
        <w:rPr>
          <w:rFonts w:ascii="Times New Roman" w:hAnsi="Times New Roman"/>
          <w:bCs/>
          <w:iCs/>
          <w:sz w:val="24"/>
          <w:szCs w:val="24"/>
          <w:lang w:val="mk-MK"/>
        </w:rPr>
        <w:t xml:space="preserve"> трансакции во евра, 1</w:t>
      </w:r>
      <w:r w:rsidRPr="001C5B17">
        <w:rPr>
          <w:rFonts w:ascii="Times New Roman" w:hAnsi="Times New Roman"/>
          <w:bCs/>
          <w:iCs/>
          <w:sz w:val="24"/>
          <w:szCs w:val="24"/>
          <w:lang w:val="mk-MK"/>
        </w:rPr>
        <w:t>3</w:t>
      </w:r>
      <w:r w:rsidRPr="000F0A08">
        <w:rPr>
          <w:rFonts w:ascii="Times New Roman" w:hAnsi="Times New Roman"/>
          <w:bCs/>
          <w:iCs/>
          <w:sz w:val="24"/>
          <w:szCs w:val="24"/>
          <w:lang w:val="mk-MK"/>
        </w:rPr>
        <w:t xml:space="preserve">% трансакции во американски долари и само </w:t>
      </w:r>
      <w:r w:rsidRPr="001C5B17">
        <w:rPr>
          <w:rFonts w:ascii="Times New Roman" w:hAnsi="Times New Roman"/>
          <w:bCs/>
          <w:iCs/>
          <w:sz w:val="24"/>
          <w:szCs w:val="24"/>
          <w:lang w:val="mk-MK"/>
        </w:rPr>
        <w:t>2</w:t>
      </w:r>
      <w:r w:rsidRPr="000F0A08">
        <w:rPr>
          <w:rFonts w:ascii="Times New Roman" w:hAnsi="Times New Roman"/>
          <w:bCs/>
          <w:iCs/>
          <w:sz w:val="24"/>
          <w:szCs w:val="24"/>
          <w:lang w:val="mk-MK"/>
        </w:rPr>
        <w:t>% трансакции во останати валути.</w:t>
      </w:r>
    </w:p>
    <w:p w14:paraId="3AE358C3" w14:textId="77777777" w:rsidR="00C01273" w:rsidRPr="00A75476" w:rsidRDefault="00EC35AF" w:rsidP="00A75476">
      <w:pPr>
        <w:pStyle w:val="Heading2"/>
        <w:rPr>
          <w:i/>
          <w:lang w:val="mk-MK"/>
        </w:rPr>
      </w:pPr>
      <w:bookmarkStart w:id="66" w:name="_Toc132974493"/>
      <w:bookmarkStart w:id="67" w:name="_Toc132978853"/>
      <w:r w:rsidRPr="00A75476">
        <w:rPr>
          <w:i/>
          <w:lang w:val="mk-MK"/>
        </w:rPr>
        <w:t>Управување со ризикот од промен</w:t>
      </w:r>
      <w:r w:rsidR="00062564" w:rsidRPr="00A75476">
        <w:rPr>
          <w:i/>
          <w:lang w:val="mk-MK"/>
        </w:rPr>
        <w:t>а</w:t>
      </w:r>
      <w:r w:rsidRPr="00A75476">
        <w:rPr>
          <w:i/>
          <w:lang w:val="mk-MK"/>
        </w:rPr>
        <w:t xml:space="preserve"> </w:t>
      </w:r>
      <w:r w:rsidR="00062564" w:rsidRPr="00A75476">
        <w:rPr>
          <w:i/>
          <w:lang w:val="mk-MK"/>
        </w:rPr>
        <w:t xml:space="preserve">на </w:t>
      </w:r>
      <w:r w:rsidRPr="00A75476">
        <w:rPr>
          <w:i/>
          <w:lang w:val="mk-MK"/>
        </w:rPr>
        <w:t>каматните стапки</w:t>
      </w:r>
      <w:bookmarkEnd w:id="66"/>
      <w:bookmarkEnd w:id="67"/>
    </w:p>
    <w:p w14:paraId="3ED113BF" w14:textId="77777777" w:rsidR="00EC35AF" w:rsidRPr="00AB7DA5" w:rsidRDefault="00EC35AF" w:rsidP="00EC35AF">
      <w:pPr>
        <w:spacing w:after="120"/>
        <w:jc w:val="both"/>
        <w:rPr>
          <w:rFonts w:ascii="Times New Roman" w:hAnsi="Times New Roman"/>
          <w:sz w:val="24"/>
          <w:szCs w:val="24"/>
          <w:lang w:val="mk-MK"/>
        </w:rPr>
      </w:pPr>
      <w:r>
        <w:rPr>
          <w:rFonts w:ascii="Times New Roman" w:hAnsi="Times New Roman"/>
          <w:sz w:val="24"/>
          <w:szCs w:val="24"/>
          <w:lang w:val="mk-MK"/>
        </w:rPr>
        <w:t>Ризикот од промена на каматните стапки претставува веројатност промените во каматните стапки негативно да влијаат врз вредноста на финансискиот инструмент, портфолиото или Банката како целина.</w:t>
      </w:r>
    </w:p>
    <w:p w14:paraId="75EF573B" w14:textId="77777777" w:rsidR="00EC35AF" w:rsidRDefault="00EC35AF" w:rsidP="00EC35AF">
      <w:pPr>
        <w:spacing w:after="120"/>
        <w:jc w:val="both"/>
        <w:rPr>
          <w:rFonts w:ascii="Times New Roman" w:hAnsi="Times New Roman"/>
          <w:sz w:val="24"/>
          <w:szCs w:val="24"/>
          <w:lang w:val="mk-MK"/>
        </w:rPr>
      </w:pPr>
      <w:r w:rsidRPr="003A006D">
        <w:rPr>
          <w:rFonts w:ascii="Times New Roman" w:hAnsi="Times New Roman"/>
          <w:sz w:val="24"/>
          <w:szCs w:val="24"/>
          <w:lang w:val="mk-MK"/>
        </w:rPr>
        <w:t>Процесот на СБ за управување со ризикот од промена на каматни</w:t>
      </w:r>
      <w:r w:rsidR="00611FA6">
        <w:rPr>
          <w:rFonts w:ascii="Times New Roman" w:hAnsi="Times New Roman"/>
          <w:sz w:val="24"/>
          <w:szCs w:val="24"/>
          <w:lang w:val="mk-MK"/>
        </w:rPr>
        <w:t>те</w:t>
      </w:r>
      <w:r w:rsidRPr="003A006D">
        <w:rPr>
          <w:rFonts w:ascii="Times New Roman" w:hAnsi="Times New Roman"/>
          <w:sz w:val="24"/>
          <w:szCs w:val="24"/>
          <w:lang w:val="mk-MK"/>
        </w:rPr>
        <w:t xml:space="preserve"> стапки ја одразува стратегијата</w:t>
      </w:r>
      <w:r>
        <w:rPr>
          <w:rFonts w:ascii="Times New Roman" w:hAnsi="Times New Roman"/>
          <w:sz w:val="24"/>
          <w:szCs w:val="24"/>
          <w:lang w:val="mk-MK"/>
        </w:rPr>
        <w:t xml:space="preserve"> на Банката</w:t>
      </w:r>
      <w:r w:rsidRPr="003A006D">
        <w:rPr>
          <w:rFonts w:ascii="Times New Roman" w:hAnsi="Times New Roman"/>
          <w:sz w:val="24"/>
          <w:szCs w:val="24"/>
          <w:lang w:val="mk-MK"/>
        </w:rPr>
        <w:t xml:space="preserve"> за ризици, толеранцијата</w:t>
      </w:r>
      <w:r w:rsidRPr="0059310D">
        <w:rPr>
          <w:rFonts w:ascii="Macedonian Tms" w:hAnsi="Macedonian Tms"/>
          <w:sz w:val="24"/>
          <w:szCs w:val="24"/>
          <w:lang w:val="mk-MK"/>
        </w:rPr>
        <w:t xml:space="preserve"> </w:t>
      </w:r>
      <w:r w:rsidR="008559C4">
        <w:rPr>
          <w:rFonts w:ascii="Times New Roman" w:hAnsi="Times New Roman"/>
          <w:sz w:val="24"/>
          <w:szCs w:val="24"/>
          <w:lang w:val="mk-MK"/>
        </w:rPr>
        <w:t>н</w:t>
      </w:r>
      <w:r w:rsidRPr="0059310D">
        <w:rPr>
          <w:rFonts w:ascii="Times New Roman" w:hAnsi="Times New Roman"/>
          <w:sz w:val="24"/>
          <w:szCs w:val="24"/>
          <w:lang w:val="mk-MK"/>
        </w:rPr>
        <w:t>а</w:t>
      </w:r>
      <w:r w:rsidRPr="0059310D">
        <w:rPr>
          <w:rFonts w:ascii="Macedonian Tms" w:hAnsi="Macedonian Tms"/>
          <w:sz w:val="24"/>
          <w:szCs w:val="24"/>
          <w:lang w:val="mk-MK"/>
        </w:rPr>
        <w:t xml:space="preserve"> </w:t>
      </w:r>
      <w:r w:rsidRPr="0059310D">
        <w:rPr>
          <w:rFonts w:ascii="Times New Roman" w:hAnsi="Times New Roman"/>
          <w:sz w:val="24"/>
          <w:szCs w:val="24"/>
          <w:lang w:val="mk-MK"/>
        </w:rPr>
        <w:t>ризици</w:t>
      </w:r>
      <w:r w:rsidRPr="0059310D">
        <w:rPr>
          <w:rFonts w:ascii="Macedonian Tms" w:hAnsi="Macedonian Tms"/>
          <w:sz w:val="24"/>
          <w:szCs w:val="24"/>
          <w:lang w:val="mk-MK"/>
        </w:rPr>
        <w:t xml:space="preserve">, </w:t>
      </w:r>
      <w:r w:rsidRPr="0059310D">
        <w:rPr>
          <w:rFonts w:ascii="Times New Roman" w:hAnsi="Times New Roman"/>
          <w:sz w:val="24"/>
          <w:szCs w:val="24"/>
          <w:lang w:val="mk-MK"/>
        </w:rPr>
        <w:t>деловните</w:t>
      </w:r>
      <w:r w:rsidRPr="0059310D">
        <w:rPr>
          <w:rFonts w:ascii="Macedonian Tms" w:hAnsi="Macedonian Tms"/>
          <w:sz w:val="24"/>
          <w:szCs w:val="24"/>
          <w:lang w:val="mk-MK"/>
        </w:rPr>
        <w:t xml:space="preserve"> </w:t>
      </w:r>
      <w:r w:rsidRPr="0059310D">
        <w:rPr>
          <w:rFonts w:ascii="Times New Roman" w:hAnsi="Times New Roman"/>
          <w:sz w:val="24"/>
          <w:szCs w:val="24"/>
          <w:lang w:val="mk-MK"/>
        </w:rPr>
        <w:t>активности</w:t>
      </w:r>
      <w:r>
        <w:rPr>
          <w:rFonts w:ascii="Times New Roman" w:hAnsi="Times New Roman"/>
          <w:sz w:val="24"/>
          <w:szCs w:val="24"/>
          <w:lang w:val="mk-MK"/>
        </w:rPr>
        <w:t xml:space="preserve">, </w:t>
      </w:r>
      <w:r w:rsidRPr="0059310D">
        <w:rPr>
          <w:rFonts w:ascii="Times New Roman" w:hAnsi="Times New Roman"/>
          <w:sz w:val="24"/>
          <w:szCs w:val="24"/>
          <w:lang w:val="mk-MK"/>
        </w:rPr>
        <w:t>севкупното</w:t>
      </w:r>
      <w:r w:rsidRPr="0059310D">
        <w:rPr>
          <w:rFonts w:ascii="Macedonian Tms" w:hAnsi="Macedonian Tms"/>
          <w:sz w:val="24"/>
          <w:szCs w:val="24"/>
          <w:lang w:val="mk-MK"/>
        </w:rPr>
        <w:t xml:space="preserve"> </w:t>
      </w:r>
      <w:r w:rsidRPr="0059310D">
        <w:rPr>
          <w:rFonts w:ascii="Times New Roman" w:hAnsi="Times New Roman"/>
          <w:sz w:val="24"/>
          <w:szCs w:val="24"/>
          <w:lang w:val="mk-MK"/>
        </w:rPr>
        <w:t>оперативно</w:t>
      </w:r>
      <w:r w:rsidRPr="0059310D">
        <w:rPr>
          <w:rFonts w:ascii="Macedonian Tms" w:hAnsi="Macedonian Tms"/>
          <w:sz w:val="24"/>
          <w:szCs w:val="24"/>
          <w:lang w:val="mk-MK"/>
        </w:rPr>
        <w:t xml:space="preserve"> </w:t>
      </w:r>
      <w:r w:rsidRPr="0059310D">
        <w:rPr>
          <w:rFonts w:ascii="Times New Roman" w:hAnsi="Times New Roman"/>
          <w:sz w:val="24"/>
          <w:szCs w:val="24"/>
          <w:lang w:val="mk-MK"/>
        </w:rPr>
        <w:t>опкружување</w:t>
      </w:r>
      <w:r w:rsidRPr="0059310D">
        <w:rPr>
          <w:rFonts w:ascii="Macedonian Tms" w:hAnsi="Macedonian Tms"/>
          <w:sz w:val="24"/>
          <w:szCs w:val="24"/>
          <w:lang w:val="mk-MK"/>
        </w:rPr>
        <w:t xml:space="preserve"> </w:t>
      </w:r>
      <w:r w:rsidRPr="0059310D">
        <w:rPr>
          <w:rFonts w:ascii="Times New Roman" w:hAnsi="Times New Roman"/>
          <w:sz w:val="24"/>
          <w:szCs w:val="24"/>
          <w:lang w:val="mk-MK"/>
        </w:rPr>
        <w:t>и</w:t>
      </w:r>
      <w:r w:rsidRPr="0059310D">
        <w:rPr>
          <w:rFonts w:ascii="Macedonian Tms" w:hAnsi="Macedonian Tms"/>
          <w:sz w:val="24"/>
          <w:szCs w:val="24"/>
          <w:lang w:val="mk-MK"/>
        </w:rPr>
        <w:t xml:space="preserve"> </w:t>
      </w:r>
      <w:r w:rsidRPr="0059310D">
        <w:rPr>
          <w:rFonts w:ascii="Times New Roman" w:hAnsi="Times New Roman"/>
          <w:sz w:val="24"/>
          <w:szCs w:val="24"/>
          <w:lang w:val="mk-MK"/>
        </w:rPr>
        <w:t>пазарни</w:t>
      </w:r>
      <w:r>
        <w:rPr>
          <w:rFonts w:ascii="Times New Roman" w:hAnsi="Times New Roman"/>
          <w:sz w:val="24"/>
          <w:szCs w:val="24"/>
          <w:lang w:val="mk-MK"/>
        </w:rPr>
        <w:t>те</w:t>
      </w:r>
      <w:r w:rsidRPr="0059310D">
        <w:rPr>
          <w:rFonts w:ascii="Macedonian Tms" w:hAnsi="Macedonian Tms"/>
          <w:sz w:val="24"/>
          <w:szCs w:val="24"/>
          <w:lang w:val="mk-MK"/>
        </w:rPr>
        <w:t xml:space="preserve"> </w:t>
      </w:r>
      <w:r w:rsidRPr="0059310D">
        <w:rPr>
          <w:rFonts w:ascii="Times New Roman" w:hAnsi="Times New Roman"/>
          <w:sz w:val="24"/>
          <w:szCs w:val="24"/>
          <w:lang w:val="mk-MK"/>
        </w:rPr>
        <w:t>услови</w:t>
      </w:r>
      <w:r w:rsidRPr="0059310D">
        <w:rPr>
          <w:rFonts w:ascii="Macedonian Tms" w:hAnsi="Macedonian Tms"/>
          <w:sz w:val="24"/>
          <w:szCs w:val="24"/>
          <w:lang w:val="mk-MK"/>
        </w:rPr>
        <w:t xml:space="preserve">, </w:t>
      </w:r>
      <w:r w:rsidRPr="0059310D">
        <w:rPr>
          <w:rFonts w:ascii="Times New Roman" w:hAnsi="Times New Roman"/>
          <w:sz w:val="24"/>
          <w:szCs w:val="24"/>
          <w:lang w:val="mk-MK"/>
        </w:rPr>
        <w:t>имајќи</w:t>
      </w:r>
      <w:r w:rsidRPr="0059310D">
        <w:rPr>
          <w:rFonts w:ascii="Macedonian Tms" w:hAnsi="Macedonian Tms"/>
          <w:sz w:val="24"/>
          <w:szCs w:val="24"/>
          <w:lang w:val="mk-MK"/>
        </w:rPr>
        <w:t xml:space="preserve"> </w:t>
      </w:r>
      <w:r w:rsidRPr="0059310D">
        <w:rPr>
          <w:rFonts w:ascii="Times New Roman" w:hAnsi="Times New Roman"/>
          <w:sz w:val="24"/>
          <w:szCs w:val="24"/>
          <w:lang w:val="mk-MK"/>
        </w:rPr>
        <w:t>ги</w:t>
      </w:r>
      <w:r w:rsidRPr="0059310D">
        <w:rPr>
          <w:rFonts w:ascii="Macedonian Tms" w:hAnsi="Macedonian Tms"/>
          <w:sz w:val="24"/>
          <w:szCs w:val="24"/>
          <w:lang w:val="mk-MK"/>
        </w:rPr>
        <w:t xml:space="preserve"> </w:t>
      </w:r>
      <w:r>
        <w:rPr>
          <w:rFonts w:ascii="Times New Roman" w:hAnsi="Times New Roman"/>
          <w:sz w:val="24"/>
          <w:szCs w:val="24"/>
          <w:lang w:val="mk-MK"/>
        </w:rPr>
        <w:t>пред</w:t>
      </w:r>
      <w:r w:rsidRPr="0059310D">
        <w:rPr>
          <w:rFonts w:ascii="Times New Roman" w:hAnsi="Times New Roman"/>
          <w:sz w:val="24"/>
          <w:szCs w:val="24"/>
          <w:lang w:val="mk-MK"/>
        </w:rPr>
        <w:t>вид</w:t>
      </w:r>
      <w:r w:rsidRPr="0059310D">
        <w:rPr>
          <w:rFonts w:ascii="Macedonian Tms" w:hAnsi="Macedonian Tms"/>
          <w:sz w:val="24"/>
          <w:szCs w:val="24"/>
          <w:lang w:val="mk-MK"/>
        </w:rPr>
        <w:t xml:space="preserve"> </w:t>
      </w:r>
      <w:r w:rsidRPr="0059310D">
        <w:rPr>
          <w:rFonts w:ascii="Times New Roman" w:hAnsi="Times New Roman"/>
          <w:sz w:val="24"/>
          <w:szCs w:val="24"/>
          <w:lang w:val="mk-MK"/>
        </w:rPr>
        <w:t>можните</w:t>
      </w:r>
      <w:r w:rsidRPr="0059310D">
        <w:rPr>
          <w:rFonts w:ascii="Macedonian Tms" w:hAnsi="Macedonian Tms"/>
          <w:sz w:val="24"/>
          <w:szCs w:val="24"/>
          <w:lang w:val="mk-MK"/>
        </w:rPr>
        <w:t xml:space="preserve"> </w:t>
      </w:r>
      <w:r>
        <w:rPr>
          <w:rFonts w:ascii="Times New Roman" w:hAnsi="Times New Roman"/>
          <w:sz w:val="24"/>
          <w:szCs w:val="24"/>
          <w:lang w:val="mk-MK"/>
        </w:rPr>
        <w:t>про</w:t>
      </w:r>
      <w:r w:rsidRPr="0059310D">
        <w:rPr>
          <w:rFonts w:ascii="Times New Roman" w:hAnsi="Times New Roman"/>
          <w:sz w:val="24"/>
          <w:szCs w:val="24"/>
          <w:lang w:val="mk-MK"/>
        </w:rPr>
        <w:t>мени</w:t>
      </w:r>
      <w:r w:rsidRPr="0059310D">
        <w:rPr>
          <w:rFonts w:ascii="Macedonian Tms" w:hAnsi="Macedonian Tms"/>
          <w:sz w:val="24"/>
          <w:szCs w:val="24"/>
          <w:lang w:val="mk-MK"/>
        </w:rPr>
        <w:t xml:space="preserve"> </w:t>
      </w:r>
      <w:r w:rsidRPr="0059310D">
        <w:rPr>
          <w:rFonts w:ascii="Times New Roman" w:hAnsi="Times New Roman"/>
          <w:sz w:val="24"/>
          <w:szCs w:val="24"/>
          <w:lang w:val="mk-MK"/>
        </w:rPr>
        <w:t>на</w:t>
      </w:r>
      <w:r w:rsidRPr="0059310D">
        <w:rPr>
          <w:rFonts w:ascii="Macedonian Tms" w:hAnsi="Macedonian Tms"/>
          <w:sz w:val="24"/>
          <w:szCs w:val="24"/>
          <w:lang w:val="mk-MK"/>
        </w:rPr>
        <w:t xml:space="preserve"> </w:t>
      </w:r>
      <w:r w:rsidRPr="0059310D">
        <w:rPr>
          <w:rFonts w:ascii="Times New Roman" w:hAnsi="Times New Roman"/>
          <w:sz w:val="24"/>
          <w:szCs w:val="24"/>
          <w:lang w:val="mk-MK"/>
        </w:rPr>
        <w:t>каматните</w:t>
      </w:r>
      <w:r w:rsidRPr="0059310D">
        <w:rPr>
          <w:rFonts w:ascii="Macedonian Tms" w:hAnsi="Macedonian Tms"/>
          <w:sz w:val="24"/>
          <w:szCs w:val="24"/>
          <w:lang w:val="mk-MK"/>
        </w:rPr>
        <w:t xml:space="preserve"> </w:t>
      </w:r>
      <w:r w:rsidRPr="0059310D">
        <w:rPr>
          <w:rFonts w:ascii="Times New Roman" w:hAnsi="Times New Roman"/>
          <w:sz w:val="24"/>
          <w:szCs w:val="24"/>
          <w:lang w:val="mk-MK"/>
        </w:rPr>
        <w:t>стапки</w:t>
      </w:r>
      <w:r w:rsidRPr="0059310D">
        <w:rPr>
          <w:rFonts w:ascii="Macedonian Tms" w:hAnsi="Macedonian Tms"/>
          <w:sz w:val="24"/>
          <w:szCs w:val="24"/>
          <w:lang w:val="mk-MK"/>
        </w:rPr>
        <w:t xml:space="preserve"> </w:t>
      </w:r>
      <w:r w:rsidRPr="0059310D">
        <w:rPr>
          <w:rFonts w:ascii="Times New Roman" w:hAnsi="Times New Roman"/>
          <w:sz w:val="24"/>
          <w:szCs w:val="24"/>
          <w:lang w:val="mk-MK"/>
        </w:rPr>
        <w:t>и</w:t>
      </w:r>
      <w:r w:rsidRPr="0059310D">
        <w:rPr>
          <w:rFonts w:ascii="Macedonian Tms" w:hAnsi="Macedonian Tms"/>
          <w:sz w:val="24"/>
          <w:szCs w:val="24"/>
          <w:lang w:val="mk-MK"/>
        </w:rPr>
        <w:t xml:space="preserve"> </w:t>
      </w:r>
      <w:r w:rsidRPr="0059310D">
        <w:rPr>
          <w:rFonts w:ascii="Times New Roman" w:hAnsi="Times New Roman"/>
          <w:sz w:val="24"/>
          <w:szCs w:val="24"/>
          <w:lang w:val="mk-MK"/>
        </w:rPr>
        <w:t>нивното</w:t>
      </w:r>
      <w:r w:rsidRPr="0059310D">
        <w:rPr>
          <w:rFonts w:ascii="Macedonian Tms" w:hAnsi="Macedonian Tms"/>
          <w:sz w:val="24"/>
          <w:szCs w:val="24"/>
          <w:lang w:val="mk-MK"/>
        </w:rPr>
        <w:t xml:space="preserve"> </w:t>
      </w:r>
      <w:r w:rsidRPr="0059310D">
        <w:rPr>
          <w:rFonts w:ascii="Times New Roman" w:hAnsi="Times New Roman"/>
          <w:sz w:val="24"/>
          <w:szCs w:val="24"/>
          <w:lang w:val="mk-MK"/>
        </w:rPr>
        <w:t>влијание</w:t>
      </w:r>
      <w:r w:rsidRPr="0059310D">
        <w:rPr>
          <w:rFonts w:ascii="Macedonian Tms" w:hAnsi="Macedonian Tms"/>
          <w:sz w:val="24"/>
          <w:szCs w:val="24"/>
          <w:lang w:val="mk-MK"/>
        </w:rPr>
        <w:t xml:space="preserve"> </w:t>
      </w:r>
      <w:r w:rsidRPr="0059310D">
        <w:rPr>
          <w:rFonts w:ascii="Times New Roman" w:hAnsi="Times New Roman"/>
          <w:sz w:val="24"/>
          <w:szCs w:val="24"/>
          <w:lang w:val="mk-MK"/>
        </w:rPr>
        <w:t>врз</w:t>
      </w:r>
      <w:r w:rsidRPr="0059310D">
        <w:rPr>
          <w:rFonts w:ascii="Macedonian Tms" w:hAnsi="Macedonian Tms"/>
          <w:sz w:val="24"/>
          <w:szCs w:val="24"/>
          <w:lang w:val="mk-MK"/>
        </w:rPr>
        <w:t xml:space="preserve"> </w:t>
      </w:r>
      <w:r w:rsidRPr="0059310D">
        <w:rPr>
          <w:rFonts w:ascii="Times New Roman" w:hAnsi="Times New Roman"/>
          <w:sz w:val="24"/>
          <w:szCs w:val="24"/>
          <w:lang w:val="mk-MK"/>
        </w:rPr>
        <w:t>добивката</w:t>
      </w:r>
      <w:r w:rsidRPr="0059310D">
        <w:rPr>
          <w:rFonts w:ascii="Macedonian Tms" w:hAnsi="Macedonian Tms"/>
          <w:sz w:val="24"/>
          <w:szCs w:val="24"/>
          <w:lang w:val="mk-MK"/>
        </w:rPr>
        <w:t xml:space="preserve"> </w:t>
      </w:r>
      <w:r w:rsidRPr="0059310D">
        <w:rPr>
          <w:rFonts w:ascii="Times New Roman" w:hAnsi="Times New Roman"/>
          <w:sz w:val="24"/>
          <w:szCs w:val="24"/>
          <w:lang w:val="mk-MK"/>
        </w:rPr>
        <w:t>и</w:t>
      </w:r>
      <w:r w:rsidRPr="0059310D">
        <w:rPr>
          <w:rFonts w:ascii="Macedonian Tms" w:hAnsi="Macedonian Tms"/>
          <w:sz w:val="24"/>
          <w:szCs w:val="24"/>
          <w:lang w:val="mk-MK"/>
        </w:rPr>
        <w:t xml:space="preserve"> </w:t>
      </w:r>
      <w:r w:rsidRPr="0059310D">
        <w:rPr>
          <w:rFonts w:ascii="Times New Roman" w:hAnsi="Times New Roman"/>
          <w:sz w:val="24"/>
          <w:szCs w:val="24"/>
          <w:lang w:val="mk-MK"/>
        </w:rPr>
        <w:t>економската</w:t>
      </w:r>
      <w:r w:rsidRPr="0059310D">
        <w:rPr>
          <w:rFonts w:ascii="Macedonian Tms" w:hAnsi="Macedonian Tms"/>
          <w:sz w:val="24"/>
          <w:szCs w:val="24"/>
          <w:lang w:val="mk-MK"/>
        </w:rPr>
        <w:t xml:space="preserve"> </w:t>
      </w:r>
      <w:r w:rsidRPr="0059310D">
        <w:rPr>
          <w:rFonts w:ascii="Times New Roman" w:hAnsi="Times New Roman"/>
          <w:sz w:val="24"/>
          <w:szCs w:val="24"/>
          <w:lang w:val="mk-MK"/>
        </w:rPr>
        <w:t>вредност</w:t>
      </w:r>
      <w:r w:rsidRPr="0059310D">
        <w:rPr>
          <w:rFonts w:ascii="Macedonian Tms" w:hAnsi="Macedonian Tms"/>
          <w:sz w:val="24"/>
          <w:szCs w:val="24"/>
          <w:lang w:val="mk-MK"/>
        </w:rPr>
        <w:t xml:space="preserve"> </w:t>
      </w:r>
      <w:r w:rsidRPr="0059310D">
        <w:rPr>
          <w:rFonts w:ascii="Times New Roman" w:hAnsi="Times New Roman"/>
          <w:sz w:val="24"/>
          <w:szCs w:val="24"/>
          <w:lang w:val="mk-MK"/>
        </w:rPr>
        <w:t>на</w:t>
      </w:r>
      <w:r w:rsidRPr="0059310D">
        <w:rPr>
          <w:rFonts w:ascii="Macedonian Tms" w:hAnsi="Macedonian Tms"/>
          <w:sz w:val="24"/>
          <w:szCs w:val="24"/>
          <w:lang w:val="mk-MK"/>
        </w:rPr>
        <w:t xml:space="preserve"> </w:t>
      </w:r>
      <w:r w:rsidRPr="0059310D">
        <w:rPr>
          <w:rFonts w:ascii="Times New Roman" w:hAnsi="Times New Roman"/>
          <w:sz w:val="24"/>
          <w:szCs w:val="24"/>
          <w:lang w:val="mk-MK"/>
        </w:rPr>
        <w:t>капитал</w:t>
      </w:r>
      <w:r>
        <w:rPr>
          <w:rFonts w:ascii="Times New Roman" w:hAnsi="Times New Roman"/>
          <w:sz w:val="24"/>
          <w:szCs w:val="24"/>
          <w:lang w:val="mk-MK"/>
        </w:rPr>
        <w:t>от</w:t>
      </w:r>
      <w:r w:rsidRPr="007B2AC4">
        <w:rPr>
          <w:rFonts w:ascii="Times New Roman" w:hAnsi="Times New Roman"/>
          <w:sz w:val="24"/>
          <w:szCs w:val="24"/>
          <w:lang w:val="mk-MK"/>
        </w:rPr>
        <w:t xml:space="preserve"> </w:t>
      </w:r>
      <w:r w:rsidRPr="0059310D">
        <w:rPr>
          <w:rFonts w:ascii="Times New Roman" w:hAnsi="Times New Roman"/>
          <w:sz w:val="24"/>
          <w:szCs w:val="24"/>
          <w:lang w:val="mk-MK"/>
        </w:rPr>
        <w:t>на</w:t>
      </w:r>
      <w:r w:rsidRPr="0059310D">
        <w:rPr>
          <w:rFonts w:ascii="Macedonian Tms" w:hAnsi="Macedonian Tms"/>
          <w:sz w:val="24"/>
          <w:szCs w:val="24"/>
          <w:lang w:val="mk-MK"/>
        </w:rPr>
        <w:t xml:space="preserve"> </w:t>
      </w:r>
      <w:r w:rsidRPr="0059310D">
        <w:rPr>
          <w:rFonts w:ascii="Times New Roman" w:hAnsi="Times New Roman"/>
          <w:sz w:val="24"/>
          <w:szCs w:val="24"/>
          <w:lang w:val="mk-MK"/>
        </w:rPr>
        <w:t>Банката</w:t>
      </w:r>
      <w:r>
        <w:rPr>
          <w:rFonts w:ascii="Times New Roman" w:hAnsi="Times New Roman"/>
          <w:sz w:val="24"/>
          <w:szCs w:val="24"/>
          <w:lang w:val="mk-MK"/>
        </w:rPr>
        <w:t>.</w:t>
      </w:r>
    </w:p>
    <w:p w14:paraId="79F27242" w14:textId="77777777" w:rsidR="00EC35AF" w:rsidRDefault="00EC35AF" w:rsidP="00EC35AF">
      <w:pPr>
        <w:spacing w:after="120"/>
        <w:jc w:val="both"/>
        <w:rPr>
          <w:rFonts w:ascii="Times New Roman" w:hAnsi="Times New Roman"/>
          <w:sz w:val="24"/>
          <w:szCs w:val="24"/>
          <w:lang w:val="mk-MK"/>
        </w:rPr>
      </w:pPr>
      <w:r w:rsidRPr="00D27E35">
        <w:rPr>
          <w:rFonts w:ascii="Times New Roman" w:hAnsi="Times New Roman"/>
          <w:sz w:val="24"/>
          <w:szCs w:val="24"/>
          <w:lang w:val="mk-MK"/>
        </w:rPr>
        <w:t xml:space="preserve">СБ ja препознава </w:t>
      </w:r>
      <w:r w:rsidR="00611FA6">
        <w:rPr>
          <w:rFonts w:ascii="Times New Roman" w:hAnsi="Times New Roman"/>
          <w:sz w:val="24"/>
          <w:szCs w:val="24"/>
          <w:lang w:val="mk-MK"/>
        </w:rPr>
        <w:t>својата</w:t>
      </w:r>
      <w:r w:rsidR="00611FA6" w:rsidRPr="00D27E35">
        <w:rPr>
          <w:rFonts w:ascii="Times New Roman" w:hAnsi="Times New Roman"/>
          <w:sz w:val="24"/>
          <w:szCs w:val="24"/>
          <w:lang w:val="mk-MK"/>
        </w:rPr>
        <w:t xml:space="preserve"> </w:t>
      </w:r>
      <w:r w:rsidRPr="00D27E35">
        <w:rPr>
          <w:rFonts w:ascii="Times New Roman" w:hAnsi="Times New Roman"/>
          <w:sz w:val="24"/>
          <w:szCs w:val="24"/>
          <w:lang w:val="mk-MK"/>
        </w:rPr>
        <w:t xml:space="preserve">изложеност на ризикот од промена на каматните стапки во портфолиото на банкарските активности (РПКСПБА) и потребата за негово ефикасно управување како интегрален дел од посветеноста на Банката да ги штити интересите на своите клиенти и акционерите. Во тој поглед, СБ ја препознава важноста </w:t>
      </w:r>
      <w:r w:rsidR="008559C4">
        <w:rPr>
          <w:rFonts w:ascii="Times New Roman" w:hAnsi="Times New Roman"/>
          <w:sz w:val="24"/>
          <w:szCs w:val="24"/>
          <w:lang w:val="mk-MK"/>
        </w:rPr>
        <w:t>н</w:t>
      </w:r>
      <w:r w:rsidRPr="00D27E35">
        <w:rPr>
          <w:rFonts w:ascii="Times New Roman" w:hAnsi="Times New Roman"/>
          <w:sz w:val="24"/>
          <w:szCs w:val="24"/>
          <w:lang w:val="mk-MK"/>
        </w:rPr>
        <w:t>а управување</w:t>
      </w:r>
      <w:r w:rsidR="008559C4">
        <w:rPr>
          <w:rFonts w:ascii="Times New Roman" w:hAnsi="Times New Roman"/>
          <w:sz w:val="24"/>
          <w:szCs w:val="24"/>
          <w:lang w:val="mk-MK"/>
        </w:rPr>
        <w:t>то</w:t>
      </w:r>
      <w:r w:rsidRPr="00D27E35">
        <w:rPr>
          <w:rFonts w:ascii="Times New Roman" w:hAnsi="Times New Roman"/>
          <w:sz w:val="24"/>
          <w:szCs w:val="24"/>
          <w:lang w:val="mk-MK"/>
        </w:rPr>
        <w:t xml:space="preserve"> </w:t>
      </w:r>
      <w:r w:rsidRPr="00D27E35">
        <w:rPr>
          <w:rFonts w:ascii="Times New Roman" w:hAnsi="Times New Roman"/>
          <w:sz w:val="24"/>
          <w:szCs w:val="24"/>
          <w:lang w:val="mk-MK"/>
        </w:rPr>
        <w:lastRenderedPageBreak/>
        <w:t>со РПКСПБА во ефикасното управување со нејзиниот биланс на состојба, нејзиниот капитал и нејзиниот тек на заработка.</w:t>
      </w:r>
    </w:p>
    <w:p w14:paraId="651649AE" w14:textId="77777777" w:rsidR="00EC35AF" w:rsidRPr="00EF3D24" w:rsidRDefault="00EC35AF" w:rsidP="00EC35AF">
      <w:pPr>
        <w:spacing w:after="120"/>
        <w:jc w:val="both"/>
        <w:rPr>
          <w:rFonts w:asciiTheme="minorHAnsi" w:hAnsiTheme="minorHAnsi"/>
          <w:sz w:val="24"/>
          <w:szCs w:val="24"/>
          <w:lang w:val="mk-MK"/>
        </w:rPr>
      </w:pPr>
      <w:r>
        <w:rPr>
          <w:rFonts w:ascii="Times New Roman" w:hAnsi="Times New Roman"/>
          <w:sz w:val="24"/>
          <w:szCs w:val="24"/>
          <w:lang w:val="mk-MK"/>
        </w:rPr>
        <w:t>Банката ја анализира чувствителноста на нето каматните приходи и вредноста на капиталот од промената на каматните стапки. Оваа чувствителност произлегува од различните периоди на достасување како и од периодот на преоценка на различните позиции во билансот на состојба.</w:t>
      </w:r>
      <w:r w:rsidRPr="00F25CFE">
        <w:rPr>
          <w:rFonts w:ascii="Times New Roman" w:hAnsi="Times New Roman"/>
          <w:sz w:val="24"/>
          <w:szCs w:val="24"/>
          <w:lang w:val="mk-MK"/>
        </w:rPr>
        <w:t xml:space="preserve"> </w:t>
      </w:r>
      <w:r>
        <w:rPr>
          <w:rFonts w:ascii="Times New Roman" w:hAnsi="Times New Roman"/>
          <w:sz w:val="24"/>
          <w:szCs w:val="24"/>
          <w:lang w:val="mk-MK"/>
        </w:rPr>
        <w:t>О</w:t>
      </w:r>
      <w:r w:rsidRPr="0059310D">
        <w:rPr>
          <w:rFonts w:ascii="Times New Roman" w:hAnsi="Times New Roman"/>
          <w:sz w:val="24"/>
          <w:szCs w:val="24"/>
          <w:lang w:val="mk-MK"/>
        </w:rPr>
        <w:t>ценката на ризикот од промена на каматните стапки се врши преку следење на изложеностите кои произлегуваат од портфолиото на банкарски активности</w:t>
      </w:r>
      <w:r>
        <w:rPr>
          <w:rFonts w:ascii="Times New Roman" w:hAnsi="Times New Roman"/>
          <w:sz w:val="24"/>
          <w:szCs w:val="24"/>
          <w:lang w:val="mk-MK"/>
        </w:rPr>
        <w:t>, з</w:t>
      </w:r>
      <w:r w:rsidRPr="0059310D">
        <w:rPr>
          <w:rFonts w:ascii="Times New Roman" w:hAnsi="Times New Roman"/>
          <w:sz w:val="24"/>
          <w:szCs w:val="24"/>
          <w:lang w:val="mk-MK"/>
        </w:rPr>
        <w:t xml:space="preserve">емајќи го предвид </w:t>
      </w:r>
      <w:r>
        <w:rPr>
          <w:rFonts w:ascii="Times New Roman" w:hAnsi="Times New Roman"/>
          <w:sz w:val="24"/>
          <w:szCs w:val="24"/>
          <w:lang w:val="mk-MK"/>
        </w:rPr>
        <w:t xml:space="preserve">фактот дека нема </w:t>
      </w:r>
      <w:r w:rsidRPr="0059310D">
        <w:rPr>
          <w:rFonts w:ascii="Times New Roman" w:hAnsi="Times New Roman"/>
          <w:sz w:val="24"/>
          <w:szCs w:val="24"/>
          <w:lang w:val="mk-MK"/>
        </w:rPr>
        <w:t xml:space="preserve">портфолио на тргување </w:t>
      </w:r>
      <w:r>
        <w:rPr>
          <w:rFonts w:ascii="Times New Roman" w:hAnsi="Times New Roman"/>
          <w:sz w:val="24"/>
          <w:szCs w:val="24"/>
          <w:lang w:val="mk-MK"/>
        </w:rPr>
        <w:t>чувствително на каматни стапки во билансот на состојба на СБ.</w:t>
      </w:r>
    </w:p>
    <w:p w14:paraId="23159438" w14:textId="77777777" w:rsidR="00EC35AF" w:rsidRDefault="00EC35AF" w:rsidP="00EC35AF">
      <w:pPr>
        <w:spacing w:before="240"/>
        <w:jc w:val="both"/>
        <w:rPr>
          <w:rFonts w:ascii="Times New Roman" w:hAnsi="Times New Roman"/>
          <w:sz w:val="24"/>
          <w:szCs w:val="24"/>
          <w:lang w:val="mk-MK"/>
        </w:rPr>
      </w:pPr>
      <w:r w:rsidRPr="0059310D">
        <w:rPr>
          <w:rFonts w:ascii="Times New Roman" w:hAnsi="Times New Roman"/>
          <w:sz w:val="24"/>
          <w:szCs w:val="24"/>
          <w:lang w:val="mk-MK"/>
        </w:rPr>
        <w:t>Банката има воспоставено рамка за управување со ризикот од промена на каматн</w:t>
      </w:r>
      <w:r w:rsidR="00A44CFA">
        <w:rPr>
          <w:rFonts w:ascii="Times New Roman" w:hAnsi="Times New Roman"/>
          <w:sz w:val="24"/>
          <w:szCs w:val="24"/>
          <w:lang w:val="mk-MK"/>
        </w:rPr>
        <w:t>ите</w:t>
      </w:r>
      <w:r w:rsidRPr="0059310D">
        <w:rPr>
          <w:rFonts w:ascii="Times New Roman" w:hAnsi="Times New Roman"/>
          <w:sz w:val="24"/>
          <w:szCs w:val="24"/>
          <w:lang w:val="mk-MK"/>
        </w:rPr>
        <w:t xml:space="preserve"> стапк</w:t>
      </w:r>
      <w:r w:rsidR="00A44CFA">
        <w:rPr>
          <w:rFonts w:ascii="Times New Roman" w:hAnsi="Times New Roman"/>
          <w:sz w:val="24"/>
          <w:szCs w:val="24"/>
          <w:lang w:val="mk-MK"/>
        </w:rPr>
        <w:t>и</w:t>
      </w:r>
      <w:r w:rsidRPr="0059310D">
        <w:rPr>
          <w:rFonts w:ascii="Times New Roman" w:hAnsi="Times New Roman"/>
          <w:sz w:val="24"/>
          <w:szCs w:val="24"/>
          <w:lang w:val="mk-MK"/>
        </w:rPr>
        <w:t xml:space="preserve"> со цел да се минимизираат ефектите од негативни промени во идните каматни стапки и да се обезбеди навремено идентификување, мерење, следење и ублажување на изложеностите на ризик од промена на каматн</w:t>
      </w:r>
      <w:r w:rsidR="00A44CFA">
        <w:rPr>
          <w:rFonts w:ascii="Times New Roman" w:hAnsi="Times New Roman"/>
          <w:sz w:val="24"/>
          <w:szCs w:val="24"/>
          <w:lang w:val="mk-MK"/>
        </w:rPr>
        <w:t>и</w:t>
      </w:r>
      <w:r w:rsidRPr="0059310D">
        <w:rPr>
          <w:rFonts w:ascii="Times New Roman" w:hAnsi="Times New Roman"/>
          <w:sz w:val="24"/>
          <w:szCs w:val="24"/>
          <w:lang w:val="mk-MK"/>
        </w:rPr>
        <w:t>т</w:t>
      </w:r>
      <w:r w:rsidR="00A44CFA">
        <w:rPr>
          <w:rFonts w:ascii="Times New Roman" w:hAnsi="Times New Roman"/>
          <w:sz w:val="24"/>
          <w:szCs w:val="24"/>
          <w:lang w:val="mk-MK"/>
        </w:rPr>
        <w:t>е</w:t>
      </w:r>
      <w:r w:rsidRPr="0059310D">
        <w:rPr>
          <w:rFonts w:ascii="Times New Roman" w:hAnsi="Times New Roman"/>
          <w:sz w:val="24"/>
          <w:szCs w:val="24"/>
          <w:lang w:val="mk-MK"/>
        </w:rPr>
        <w:t xml:space="preserve"> стапк</w:t>
      </w:r>
      <w:r w:rsidR="00A44CFA">
        <w:rPr>
          <w:rFonts w:ascii="Times New Roman" w:hAnsi="Times New Roman"/>
          <w:sz w:val="24"/>
          <w:szCs w:val="24"/>
          <w:lang w:val="mk-MK"/>
        </w:rPr>
        <w:t>и</w:t>
      </w:r>
      <w:r w:rsidRPr="0059310D">
        <w:rPr>
          <w:rFonts w:ascii="Times New Roman" w:hAnsi="Times New Roman"/>
          <w:sz w:val="24"/>
          <w:szCs w:val="24"/>
          <w:lang w:val="mk-MK"/>
        </w:rPr>
        <w:t xml:space="preserve">. Рамката ги опфаќа факторите на ризик и нивна оценка, методологиите за мерење, методологијата за </w:t>
      </w:r>
      <w:r>
        <w:rPr>
          <w:rFonts w:ascii="Times New Roman" w:hAnsi="Times New Roman"/>
          <w:sz w:val="24"/>
          <w:szCs w:val="24"/>
          <w:lang w:val="mk-MK"/>
        </w:rPr>
        <w:t xml:space="preserve">стрес </w:t>
      </w:r>
      <w:r w:rsidRPr="0059310D">
        <w:rPr>
          <w:rFonts w:ascii="Times New Roman" w:hAnsi="Times New Roman"/>
          <w:sz w:val="24"/>
          <w:szCs w:val="24"/>
          <w:lang w:val="mk-MK"/>
        </w:rPr>
        <w:t>тестирање, ризикот од промена на каматн</w:t>
      </w:r>
      <w:r w:rsidR="00A44CFA">
        <w:rPr>
          <w:rFonts w:ascii="Times New Roman" w:hAnsi="Times New Roman"/>
          <w:sz w:val="24"/>
          <w:szCs w:val="24"/>
          <w:lang w:val="mk-MK"/>
        </w:rPr>
        <w:t>и</w:t>
      </w:r>
      <w:r w:rsidRPr="0059310D">
        <w:rPr>
          <w:rFonts w:ascii="Times New Roman" w:hAnsi="Times New Roman"/>
          <w:sz w:val="24"/>
          <w:szCs w:val="24"/>
          <w:lang w:val="mk-MK"/>
        </w:rPr>
        <w:t>т</w:t>
      </w:r>
      <w:r w:rsidR="00A44CFA">
        <w:rPr>
          <w:rFonts w:ascii="Times New Roman" w:hAnsi="Times New Roman"/>
          <w:sz w:val="24"/>
          <w:szCs w:val="24"/>
          <w:lang w:val="mk-MK"/>
        </w:rPr>
        <w:t>е</w:t>
      </w:r>
      <w:r w:rsidRPr="0059310D">
        <w:rPr>
          <w:rFonts w:ascii="Times New Roman" w:hAnsi="Times New Roman"/>
          <w:sz w:val="24"/>
          <w:szCs w:val="24"/>
          <w:lang w:val="mk-MK"/>
        </w:rPr>
        <w:t xml:space="preserve"> стапк</w:t>
      </w:r>
      <w:r w:rsidR="00A44CFA">
        <w:rPr>
          <w:rFonts w:ascii="Times New Roman" w:hAnsi="Times New Roman"/>
          <w:sz w:val="24"/>
          <w:szCs w:val="24"/>
          <w:lang w:val="mk-MK"/>
        </w:rPr>
        <w:t>и</w:t>
      </w:r>
      <w:r w:rsidRPr="0059310D">
        <w:rPr>
          <w:rFonts w:ascii="Times New Roman" w:hAnsi="Times New Roman"/>
          <w:sz w:val="24"/>
          <w:szCs w:val="24"/>
          <w:lang w:val="mk-MK"/>
        </w:rPr>
        <w:t xml:space="preserve"> во портфолиото на банкарски активности</w:t>
      </w:r>
      <w:r>
        <w:rPr>
          <w:rFonts w:ascii="Times New Roman" w:hAnsi="Times New Roman"/>
          <w:sz w:val="24"/>
          <w:szCs w:val="24"/>
          <w:lang w:val="mk-MK"/>
        </w:rPr>
        <w:t>,</w:t>
      </w:r>
      <w:r w:rsidRPr="0059310D">
        <w:rPr>
          <w:rFonts w:ascii="Macedonian Tms" w:hAnsi="Macedonian Tms"/>
          <w:sz w:val="23"/>
          <w:szCs w:val="23"/>
          <w:lang w:val="mk-MK"/>
        </w:rPr>
        <w:t xml:space="preserve"> </w:t>
      </w:r>
      <w:r w:rsidRPr="0059310D">
        <w:rPr>
          <w:rFonts w:ascii="Times New Roman" w:hAnsi="Times New Roman"/>
          <w:sz w:val="24"/>
          <w:szCs w:val="24"/>
          <w:lang w:val="mk-MK"/>
        </w:rPr>
        <w:t>неговата метрика и лимити со цел да се о</w:t>
      </w:r>
      <w:r>
        <w:rPr>
          <w:rFonts w:ascii="Times New Roman" w:hAnsi="Times New Roman"/>
          <w:sz w:val="24"/>
          <w:szCs w:val="24"/>
          <w:lang w:val="mk-MK"/>
        </w:rPr>
        <w:t>сигури</w:t>
      </w:r>
      <w:r w:rsidRPr="0059310D">
        <w:rPr>
          <w:rFonts w:ascii="Times New Roman" w:hAnsi="Times New Roman"/>
          <w:sz w:val="24"/>
          <w:szCs w:val="24"/>
          <w:lang w:val="mk-MK"/>
        </w:rPr>
        <w:t xml:space="preserve"> </w:t>
      </w:r>
      <w:r>
        <w:rPr>
          <w:rFonts w:ascii="Times New Roman" w:hAnsi="Times New Roman"/>
          <w:sz w:val="24"/>
          <w:szCs w:val="24"/>
          <w:lang w:val="mk-MK"/>
        </w:rPr>
        <w:t>негово соодветно мерење, следење и контрола</w:t>
      </w:r>
      <w:r w:rsidRPr="0059310D">
        <w:rPr>
          <w:rFonts w:ascii="Times New Roman" w:hAnsi="Times New Roman"/>
          <w:sz w:val="24"/>
          <w:szCs w:val="24"/>
          <w:lang w:val="mk-MK"/>
        </w:rPr>
        <w:t xml:space="preserve">. </w:t>
      </w:r>
    </w:p>
    <w:p w14:paraId="0DE3F36D" w14:textId="77777777" w:rsidR="00EC35AF" w:rsidRDefault="00EC35AF" w:rsidP="00EC35AF">
      <w:pPr>
        <w:spacing w:after="120"/>
        <w:jc w:val="both"/>
        <w:rPr>
          <w:rFonts w:ascii="Times New Roman" w:hAnsi="Times New Roman"/>
          <w:sz w:val="24"/>
          <w:szCs w:val="24"/>
          <w:lang w:val="mk-MK"/>
        </w:rPr>
      </w:pPr>
      <w:r>
        <w:rPr>
          <w:rFonts w:ascii="Times New Roman" w:hAnsi="Times New Roman"/>
          <w:sz w:val="24"/>
          <w:szCs w:val="24"/>
          <w:lang w:val="mk-MK"/>
        </w:rPr>
        <w:t xml:space="preserve">Главната цел на управувањето со ризикот од промена на каматните стапки е да се ублажи ризикот од создавање загуби кои произлегуваат од промените на пазарните каматни стапки до прифатливо ниво преку соодветно моделирање на структурата на каматочувствителните позиции во билансот на состојба и вонбилансните позиции. </w:t>
      </w:r>
    </w:p>
    <w:p w14:paraId="7CFE5038" w14:textId="77777777" w:rsidR="00EC35AF" w:rsidRPr="001C5B17" w:rsidRDefault="00EC35AF" w:rsidP="00EC35AF">
      <w:pPr>
        <w:spacing w:before="240"/>
        <w:jc w:val="both"/>
        <w:rPr>
          <w:rFonts w:ascii="Times New Roman" w:hAnsi="Times New Roman"/>
          <w:sz w:val="24"/>
          <w:szCs w:val="24"/>
          <w:lang w:val="mk-MK"/>
        </w:rPr>
      </w:pPr>
      <w:r>
        <w:rPr>
          <w:rFonts w:ascii="Times New Roman" w:hAnsi="Times New Roman"/>
          <w:sz w:val="24"/>
          <w:szCs w:val="24"/>
          <w:lang w:val="mk-MK"/>
        </w:rPr>
        <w:t>На крајот од  202</w:t>
      </w:r>
      <w:r w:rsidR="00EC0BFE">
        <w:rPr>
          <w:rFonts w:ascii="Times New Roman" w:hAnsi="Times New Roman"/>
          <w:sz w:val="24"/>
          <w:szCs w:val="24"/>
          <w:lang w:val="mk-MK"/>
        </w:rPr>
        <w:t>2</w:t>
      </w:r>
      <w:r>
        <w:rPr>
          <w:rFonts w:ascii="Times New Roman" w:hAnsi="Times New Roman"/>
          <w:sz w:val="24"/>
          <w:szCs w:val="24"/>
          <w:lang w:val="mk-MK"/>
        </w:rPr>
        <w:t xml:space="preserve"> година,</w:t>
      </w:r>
      <w:r w:rsidRPr="001C5B17">
        <w:rPr>
          <w:rFonts w:ascii="Times New Roman" w:hAnsi="Times New Roman"/>
          <w:sz w:val="24"/>
          <w:szCs w:val="24"/>
          <w:lang w:val="mk-MK"/>
        </w:rPr>
        <w:t xml:space="preserve"> </w:t>
      </w:r>
      <w:r>
        <w:rPr>
          <w:rFonts w:ascii="Times New Roman" w:hAnsi="Times New Roman"/>
          <w:sz w:val="24"/>
          <w:szCs w:val="24"/>
          <w:lang w:val="mk-MK"/>
        </w:rPr>
        <w:t xml:space="preserve">коефициентот на вкупната нето пондерирана позиција во однос на регулаторниот капитал беше под регулаторниот максимум од </w:t>
      </w:r>
      <w:r w:rsidRPr="001C5B17">
        <w:rPr>
          <w:rFonts w:ascii="Times New Roman" w:hAnsi="Times New Roman"/>
          <w:sz w:val="24"/>
          <w:szCs w:val="24"/>
          <w:lang w:val="mk-MK"/>
        </w:rPr>
        <w:t xml:space="preserve">20% </w:t>
      </w:r>
      <w:r>
        <w:rPr>
          <w:rFonts w:ascii="Times New Roman" w:hAnsi="Times New Roman"/>
          <w:sz w:val="24"/>
          <w:szCs w:val="24"/>
          <w:lang w:val="mk-MK"/>
        </w:rPr>
        <w:t>и резултираше во незначителна изложеност кон</w:t>
      </w:r>
      <w:r w:rsidRPr="0059310D">
        <w:rPr>
          <w:rFonts w:ascii="Times New Roman" w:hAnsi="Times New Roman"/>
          <w:sz w:val="24"/>
          <w:szCs w:val="24"/>
          <w:lang w:val="mk-MK"/>
        </w:rPr>
        <w:t xml:space="preserve"> ризикот од промена на каматн</w:t>
      </w:r>
      <w:r>
        <w:rPr>
          <w:rFonts w:ascii="Times New Roman" w:hAnsi="Times New Roman"/>
          <w:sz w:val="24"/>
          <w:szCs w:val="24"/>
          <w:lang w:val="mk-MK"/>
        </w:rPr>
        <w:t>ите</w:t>
      </w:r>
      <w:r w:rsidRPr="0059310D">
        <w:rPr>
          <w:rFonts w:ascii="Times New Roman" w:hAnsi="Times New Roman"/>
          <w:sz w:val="24"/>
          <w:szCs w:val="24"/>
          <w:lang w:val="mk-MK"/>
        </w:rPr>
        <w:t xml:space="preserve"> стапк</w:t>
      </w:r>
      <w:r>
        <w:rPr>
          <w:rFonts w:ascii="Times New Roman" w:hAnsi="Times New Roman"/>
          <w:sz w:val="24"/>
          <w:szCs w:val="24"/>
          <w:lang w:val="mk-MK"/>
        </w:rPr>
        <w:t>и</w:t>
      </w:r>
      <w:r w:rsidRPr="0059310D">
        <w:rPr>
          <w:rFonts w:ascii="Times New Roman" w:hAnsi="Times New Roman"/>
          <w:sz w:val="24"/>
          <w:szCs w:val="24"/>
          <w:lang w:val="mk-MK"/>
        </w:rPr>
        <w:t xml:space="preserve"> во портфолиото на банкарски активности</w:t>
      </w:r>
      <w:r>
        <w:rPr>
          <w:rFonts w:ascii="Times New Roman" w:hAnsi="Times New Roman"/>
          <w:sz w:val="24"/>
          <w:szCs w:val="24"/>
          <w:lang w:val="mk-MK"/>
        </w:rPr>
        <w:t xml:space="preserve">. </w:t>
      </w:r>
      <w:r w:rsidRPr="001C5B17">
        <w:rPr>
          <w:rFonts w:ascii="Times New Roman" w:hAnsi="Times New Roman"/>
          <w:color w:val="0000FF"/>
          <w:sz w:val="24"/>
          <w:szCs w:val="24"/>
          <w:lang w:val="mk-MK"/>
        </w:rPr>
        <w:t xml:space="preserve"> </w:t>
      </w:r>
    </w:p>
    <w:p w14:paraId="43587A51" w14:textId="77777777" w:rsidR="0003797B" w:rsidRPr="001C5B17" w:rsidRDefault="00EC35AF" w:rsidP="00EC35AF">
      <w:pPr>
        <w:spacing w:before="240"/>
        <w:jc w:val="both"/>
        <w:rPr>
          <w:rFonts w:ascii="Times New Roman" w:hAnsi="Times New Roman"/>
          <w:sz w:val="24"/>
          <w:szCs w:val="24"/>
          <w:lang w:val="mk-MK"/>
        </w:rPr>
      </w:pPr>
      <w:r>
        <w:rPr>
          <w:rFonts w:ascii="Times New Roman" w:hAnsi="Times New Roman"/>
          <w:sz w:val="24"/>
          <w:szCs w:val="24"/>
          <w:lang w:val="mk-MK"/>
        </w:rPr>
        <w:t>СБ продолжува да управува со изложеностите кон</w:t>
      </w:r>
      <w:r w:rsidRPr="0059310D">
        <w:rPr>
          <w:rFonts w:ascii="Times New Roman" w:hAnsi="Times New Roman"/>
          <w:sz w:val="24"/>
          <w:szCs w:val="24"/>
          <w:lang w:val="mk-MK"/>
        </w:rPr>
        <w:t xml:space="preserve"> ризикот од промена на каматната стапка во портфолиото на банкарски активности</w:t>
      </w:r>
      <w:r w:rsidRPr="003636EF">
        <w:rPr>
          <w:rFonts w:ascii="Times New Roman" w:hAnsi="Times New Roman"/>
          <w:sz w:val="24"/>
          <w:szCs w:val="24"/>
          <w:lang w:val="mk-MK"/>
        </w:rPr>
        <w:t xml:space="preserve"> </w:t>
      </w:r>
      <w:r>
        <w:rPr>
          <w:rFonts w:ascii="Times New Roman" w:hAnsi="Times New Roman"/>
          <w:sz w:val="24"/>
          <w:szCs w:val="24"/>
          <w:lang w:val="mk-MK"/>
        </w:rPr>
        <w:t xml:space="preserve">преку воспоставување соодветна структура на позиции чувствителни на промени на каматните стапки, со цел тие средства и обврски да бидат во силна корелација, што резултира во незначителен </w:t>
      </w:r>
      <w:r w:rsidRPr="00830F5F">
        <w:rPr>
          <w:rFonts w:ascii="Times New Roman" w:hAnsi="Times New Roman"/>
          <w:sz w:val="24"/>
          <w:szCs w:val="24"/>
          <w:lang w:val="mk-MK"/>
        </w:rPr>
        <w:t xml:space="preserve">јаз помеѓу </w:t>
      </w:r>
      <w:r>
        <w:rPr>
          <w:rFonts w:ascii="Times New Roman" w:hAnsi="Times New Roman"/>
          <w:sz w:val="24"/>
          <w:szCs w:val="24"/>
          <w:lang w:val="mk-MK"/>
        </w:rPr>
        <w:t>преоценката и достасаноста, а со тоа и ниско ниво на изложеност на ризик од промена на каматните стапки</w:t>
      </w:r>
      <w:r w:rsidRPr="003636EF">
        <w:rPr>
          <w:rFonts w:ascii="Times New Roman" w:hAnsi="Times New Roman"/>
          <w:sz w:val="24"/>
          <w:szCs w:val="24"/>
          <w:lang w:val="mk-MK"/>
        </w:rPr>
        <w:t>.</w:t>
      </w:r>
    </w:p>
    <w:p w14:paraId="34594693" w14:textId="77777777" w:rsidR="007E6589" w:rsidRPr="00A75476" w:rsidRDefault="00EC35AF" w:rsidP="00A75476">
      <w:pPr>
        <w:pStyle w:val="Heading2"/>
        <w:rPr>
          <w:i/>
          <w:lang w:val="mk-MK"/>
        </w:rPr>
      </w:pPr>
      <w:bookmarkStart w:id="68" w:name="_Toc132974494"/>
      <w:bookmarkStart w:id="69" w:name="_Toc132978854"/>
      <w:r w:rsidRPr="00A75476">
        <w:rPr>
          <w:i/>
          <w:lang w:val="mk-MK"/>
        </w:rPr>
        <w:t>Управување со валутен ризик</w:t>
      </w:r>
      <w:bookmarkEnd w:id="68"/>
      <w:bookmarkEnd w:id="69"/>
    </w:p>
    <w:p w14:paraId="5FF54460" w14:textId="77777777" w:rsidR="0085154F" w:rsidRPr="001C5B17" w:rsidRDefault="0085154F" w:rsidP="0085154F">
      <w:pPr>
        <w:spacing w:before="240"/>
        <w:jc w:val="both"/>
        <w:rPr>
          <w:rFonts w:ascii="Times New Roman" w:hAnsi="Times New Roman"/>
          <w:sz w:val="24"/>
          <w:szCs w:val="24"/>
          <w:lang w:val="mk-MK"/>
        </w:rPr>
      </w:pPr>
      <w:r w:rsidRPr="00684FE6">
        <w:rPr>
          <w:rFonts w:ascii="Times New Roman" w:hAnsi="Times New Roman"/>
          <w:sz w:val="24"/>
          <w:szCs w:val="24"/>
          <w:lang w:val="mk-MK"/>
        </w:rPr>
        <w:t xml:space="preserve">Во рамките на дневното управување со </w:t>
      </w:r>
      <w:r w:rsidR="00611FA6">
        <w:rPr>
          <w:rFonts w:ascii="Times New Roman" w:hAnsi="Times New Roman"/>
          <w:sz w:val="24"/>
          <w:szCs w:val="24"/>
          <w:lang w:val="mk-MK"/>
        </w:rPr>
        <w:t>пазарен ризик</w:t>
      </w:r>
      <w:r w:rsidRPr="00684FE6">
        <w:rPr>
          <w:rFonts w:ascii="Times New Roman" w:hAnsi="Times New Roman"/>
          <w:sz w:val="24"/>
          <w:szCs w:val="24"/>
          <w:lang w:val="mk-MK"/>
        </w:rPr>
        <w:t>, Банката води сметка и за управување со валутниот ризик, односно отворен</w:t>
      </w:r>
      <w:r>
        <w:rPr>
          <w:rFonts w:ascii="Times New Roman" w:hAnsi="Times New Roman"/>
          <w:sz w:val="24"/>
          <w:szCs w:val="24"/>
          <w:lang w:val="mk-MK"/>
        </w:rPr>
        <w:t>ите</w:t>
      </w:r>
      <w:r w:rsidRPr="00684FE6">
        <w:rPr>
          <w:rFonts w:ascii="Times New Roman" w:hAnsi="Times New Roman"/>
          <w:sz w:val="24"/>
          <w:szCs w:val="24"/>
          <w:lang w:val="mk-MK"/>
        </w:rPr>
        <w:t xml:space="preserve"> девизн</w:t>
      </w:r>
      <w:r>
        <w:rPr>
          <w:rFonts w:ascii="Times New Roman" w:hAnsi="Times New Roman"/>
          <w:sz w:val="24"/>
          <w:szCs w:val="24"/>
          <w:lang w:val="mk-MK"/>
        </w:rPr>
        <w:t>и</w:t>
      </w:r>
      <w:r w:rsidRPr="00684FE6">
        <w:rPr>
          <w:rFonts w:ascii="Times New Roman" w:hAnsi="Times New Roman"/>
          <w:sz w:val="24"/>
          <w:szCs w:val="24"/>
          <w:lang w:val="mk-MK"/>
        </w:rPr>
        <w:t xml:space="preserve"> позици</w:t>
      </w:r>
      <w:r>
        <w:rPr>
          <w:rFonts w:ascii="Times New Roman" w:hAnsi="Times New Roman"/>
          <w:sz w:val="24"/>
          <w:szCs w:val="24"/>
          <w:lang w:val="mk-MK"/>
        </w:rPr>
        <w:t>и во странски валути</w:t>
      </w:r>
      <w:r w:rsidRPr="00684FE6">
        <w:rPr>
          <w:rFonts w:ascii="Times New Roman" w:hAnsi="Times New Roman"/>
          <w:sz w:val="24"/>
          <w:szCs w:val="24"/>
          <w:lang w:val="mk-MK"/>
        </w:rPr>
        <w:t xml:space="preserve">. Валутниот ризик е ризикот од загуба заради промена на меѓувалутните курсеви и/или промена на вредноста на денарот во однос на вредноста на другите странски валути. </w:t>
      </w:r>
      <w:r w:rsidRPr="00684FE6">
        <w:rPr>
          <w:rFonts w:ascii="Times New Roman" w:hAnsi="Times New Roman"/>
          <w:sz w:val="24"/>
          <w:szCs w:val="24"/>
          <w:lang w:val="mk-MK"/>
        </w:rPr>
        <w:lastRenderedPageBreak/>
        <w:t>Примарна цел на управувањето со структурата на валутната изложеност на Банката е да се намали влијанието од флуктуациите на девизните курсеви</w:t>
      </w:r>
      <w:r w:rsidRPr="001C5B17">
        <w:rPr>
          <w:rFonts w:ascii="Times New Roman" w:hAnsi="Times New Roman"/>
          <w:sz w:val="24"/>
          <w:szCs w:val="24"/>
          <w:lang w:val="mk-MK"/>
        </w:rPr>
        <w:t>.</w:t>
      </w:r>
    </w:p>
    <w:p w14:paraId="5F4D01F2" w14:textId="77777777" w:rsidR="0085154F" w:rsidRPr="001C5B17" w:rsidRDefault="0085154F" w:rsidP="0085154F">
      <w:pPr>
        <w:spacing w:before="240"/>
        <w:jc w:val="both"/>
        <w:rPr>
          <w:rFonts w:ascii="Times New Roman" w:hAnsi="Times New Roman"/>
          <w:sz w:val="24"/>
          <w:szCs w:val="24"/>
          <w:lang w:val="mk-MK"/>
        </w:rPr>
      </w:pPr>
      <w:r w:rsidRPr="00684FE6">
        <w:rPr>
          <w:rFonts w:ascii="Times New Roman" w:hAnsi="Times New Roman"/>
          <w:sz w:val="24"/>
          <w:szCs w:val="24"/>
          <w:lang w:val="mk-MK"/>
        </w:rPr>
        <w:t>Системот за идентификација, мерење, следење и контрола на валутниот ризик или девизниот ризик ги опфаќа сите активности и трансакции на Банката кои ги вклучуваат билансните и вонбилансните позиции кои се водат во странска валута и денарски</w:t>
      </w:r>
      <w:r>
        <w:rPr>
          <w:rFonts w:ascii="Times New Roman" w:hAnsi="Times New Roman"/>
          <w:sz w:val="24"/>
          <w:szCs w:val="24"/>
          <w:lang w:val="mk-MK"/>
        </w:rPr>
        <w:t>те</w:t>
      </w:r>
      <w:r w:rsidRPr="00684FE6">
        <w:rPr>
          <w:rFonts w:ascii="Times New Roman" w:hAnsi="Times New Roman"/>
          <w:sz w:val="24"/>
          <w:szCs w:val="24"/>
          <w:lang w:val="mk-MK"/>
        </w:rPr>
        <w:t xml:space="preserve"> позиции со девизна клаузула. Структурата на </w:t>
      </w:r>
      <w:r>
        <w:rPr>
          <w:rFonts w:ascii="Times New Roman" w:hAnsi="Times New Roman"/>
          <w:sz w:val="24"/>
          <w:szCs w:val="24"/>
          <w:lang w:val="mk-MK"/>
        </w:rPr>
        <w:t>Б</w:t>
      </w:r>
      <w:r w:rsidRPr="00684FE6">
        <w:rPr>
          <w:rFonts w:ascii="Times New Roman" w:hAnsi="Times New Roman"/>
          <w:sz w:val="24"/>
          <w:szCs w:val="24"/>
          <w:lang w:val="mk-MK"/>
        </w:rPr>
        <w:t xml:space="preserve">илансот на состојба на СБ се состои од средства и обврски во различни валути, но главно во МКД и ЕУР. </w:t>
      </w:r>
    </w:p>
    <w:p w14:paraId="28509069" w14:textId="77777777" w:rsidR="0085154F" w:rsidRPr="00684FE6" w:rsidRDefault="0085154F" w:rsidP="0085154F">
      <w:pPr>
        <w:spacing w:before="240"/>
        <w:jc w:val="both"/>
        <w:rPr>
          <w:rFonts w:ascii="Times New Roman" w:hAnsi="Times New Roman"/>
          <w:sz w:val="24"/>
          <w:szCs w:val="24"/>
          <w:lang w:val="mk-MK"/>
        </w:rPr>
      </w:pPr>
      <w:r w:rsidRPr="00684FE6">
        <w:rPr>
          <w:rFonts w:ascii="Times New Roman" w:hAnsi="Times New Roman"/>
          <w:sz w:val="24"/>
          <w:szCs w:val="24"/>
          <w:lang w:val="mk-MK"/>
        </w:rPr>
        <w:t xml:space="preserve">СБ управува со валутниот ризик </w:t>
      </w:r>
      <w:r>
        <w:rPr>
          <w:rFonts w:ascii="Times New Roman" w:hAnsi="Times New Roman"/>
          <w:sz w:val="24"/>
          <w:szCs w:val="24"/>
          <w:lang w:val="mk-MK"/>
        </w:rPr>
        <w:t>преку пресметка и</w:t>
      </w:r>
      <w:r w:rsidRPr="00684FE6">
        <w:rPr>
          <w:rFonts w:ascii="Times New Roman" w:hAnsi="Times New Roman"/>
          <w:sz w:val="24"/>
          <w:szCs w:val="24"/>
          <w:lang w:val="mk-MK"/>
        </w:rPr>
        <w:t xml:space="preserve"> следење на отворен</w:t>
      </w:r>
      <w:r>
        <w:rPr>
          <w:rFonts w:ascii="Times New Roman" w:hAnsi="Times New Roman"/>
          <w:sz w:val="24"/>
          <w:szCs w:val="24"/>
          <w:lang w:val="mk-MK"/>
        </w:rPr>
        <w:t>ите</w:t>
      </w:r>
      <w:r w:rsidRPr="00684FE6">
        <w:rPr>
          <w:rFonts w:ascii="Times New Roman" w:hAnsi="Times New Roman"/>
          <w:sz w:val="24"/>
          <w:szCs w:val="24"/>
          <w:lang w:val="mk-MK"/>
        </w:rPr>
        <w:t xml:space="preserve"> девизн</w:t>
      </w:r>
      <w:r>
        <w:rPr>
          <w:rFonts w:ascii="Times New Roman" w:hAnsi="Times New Roman"/>
          <w:sz w:val="24"/>
          <w:szCs w:val="24"/>
          <w:lang w:val="mk-MK"/>
        </w:rPr>
        <w:t>и</w:t>
      </w:r>
      <w:r w:rsidRPr="00684FE6">
        <w:rPr>
          <w:rFonts w:ascii="Times New Roman" w:hAnsi="Times New Roman"/>
          <w:sz w:val="24"/>
          <w:szCs w:val="24"/>
          <w:lang w:val="mk-MK"/>
        </w:rPr>
        <w:t xml:space="preserve"> позици</w:t>
      </w:r>
      <w:r>
        <w:rPr>
          <w:rFonts w:ascii="Times New Roman" w:hAnsi="Times New Roman"/>
          <w:sz w:val="24"/>
          <w:szCs w:val="24"/>
          <w:lang w:val="mk-MK"/>
        </w:rPr>
        <w:t>и</w:t>
      </w:r>
      <w:r w:rsidRPr="00684FE6">
        <w:rPr>
          <w:rFonts w:ascii="Times New Roman" w:hAnsi="Times New Roman"/>
          <w:sz w:val="24"/>
          <w:szCs w:val="24"/>
          <w:lang w:val="mk-MK"/>
        </w:rPr>
        <w:t xml:space="preserve"> на дневна основа, обезбедувајќи усогласеност со прописите и интерните лимити на изложеност во основните валути, поодделно, како и на агрегатно ниво</w:t>
      </w:r>
      <w:r>
        <w:rPr>
          <w:rFonts w:ascii="Times New Roman" w:hAnsi="Times New Roman"/>
          <w:sz w:val="24"/>
          <w:szCs w:val="24"/>
          <w:lang w:val="mk-MK"/>
        </w:rPr>
        <w:t>.</w:t>
      </w:r>
      <w:r w:rsidRPr="00684FE6">
        <w:rPr>
          <w:rFonts w:ascii="Times New Roman" w:hAnsi="Times New Roman"/>
          <w:sz w:val="24"/>
          <w:szCs w:val="24"/>
          <w:lang w:val="mk-MK"/>
        </w:rPr>
        <w:t xml:space="preserve"> Банката ја </w:t>
      </w:r>
      <w:r>
        <w:rPr>
          <w:rFonts w:ascii="Times New Roman" w:hAnsi="Times New Roman"/>
          <w:sz w:val="24"/>
          <w:szCs w:val="24"/>
          <w:lang w:val="mk-MK"/>
        </w:rPr>
        <w:t>одржува</w:t>
      </w:r>
      <w:r w:rsidRPr="00684FE6">
        <w:rPr>
          <w:rFonts w:ascii="Times New Roman" w:hAnsi="Times New Roman"/>
          <w:sz w:val="24"/>
          <w:szCs w:val="24"/>
          <w:lang w:val="mk-MK"/>
        </w:rPr>
        <w:t xml:space="preserve"> агрегатната девизна позиција </w:t>
      </w:r>
      <w:r>
        <w:rPr>
          <w:rFonts w:ascii="Times New Roman" w:hAnsi="Times New Roman"/>
          <w:sz w:val="24"/>
          <w:szCs w:val="24"/>
          <w:lang w:val="mk-MK"/>
        </w:rPr>
        <w:t xml:space="preserve">т.е изложеноста на валутен ризик во рамки на </w:t>
      </w:r>
      <w:r w:rsidR="00BF6895">
        <w:rPr>
          <w:rFonts w:ascii="Times New Roman" w:hAnsi="Times New Roman"/>
          <w:sz w:val="24"/>
          <w:szCs w:val="24"/>
          <w:lang w:val="mk-MK"/>
        </w:rPr>
        <w:t xml:space="preserve">дозволениот регулаторен </w:t>
      </w:r>
      <w:r w:rsidR="00B65BC3">
        <w:rPr>
          <w:rFonts w:ascii="Times New Roman" w:hAnsi="Times New Roman"/>
          <w:sz w:val="24"/>
          <w:szCs w:val="24"/>
          <w:lang w:val="mk-MK"/>
        </w:rPr>
        <w:t>лимит</w:t>
      </w:r>
      <w:r>
        <w:rPr>
          <w:rFonts w:ascii="Times New Roman" w:hAnsi="Times New Roman"/>
          <w:sz w:val="24"/>
          <w:szCs w:val="24"/>
          <w:lang w:val="mk-MK"/>
        </w:rPr>
        <w:t xml:space="preserve"> кој изнесува</w:t>
      </w:r>
      <w:r w:rsidRPr="00684FE6">
        <w:rPr>
          <w:rFonts w:ascii="Times New Roman" w:hAnsi="Times New Roman"/>
          <w:sz w:val="24"/>
          <w:szCs w:val="24"/>
          <w:lang w:val="mk-MK"/>
        </w:rPr>
        <w:t xml:space="preserve"> 30% од сопствените средства на Банката.</w:t>
      </w:r>
    </w:p>
    <w:p w14:paraId="35C0CA69" w14:textId="77777777" w:rsidR="006D165A" w:rsidRPr="001C5B17" w:rsidRDefault="0085154F" w:rsidP="00483EBD">
      <w:pPr>
        <w:autoSpaceDE w:val="0"/>
        <w:autoSpaceDN w:val="0"/>
        <w:adjustRightInd w:val="0"/>
        <w:spacing w:after="0"/>
        <w:jc w:val="both"/>
        <w:rPr>
          <w:rFonts w:ascii="Times New Roman" w:hAnsi="Times New Roman"/>
          <w:sz w:val="24"/>
          <w:szCs w:val="24"/>
          <w:lang w:val="mk-MK"/>
        </w:rPr>
      </w:pPr>
      <w:r w:rsidRPr="00684FE6">
        <w:rPr>
          <w:rFonts w:ascii="Times New Roman" w:hAnsi="Times New Roman"/>
          <w:sz w:val="24"/>
          <w:szCs w:val="24"/>
          <w:lang w:val="mk-MK"/>
        </w:rPr>
        <w:t xml:space="preserve">Во </w:t>
      </w:r>
      <w:r w:rsidR="001A09AF">
        <w:rPr>
          <w:rFonts w:ascii="Times New Roman" w:hAnsi="Times New Roman"/>
          <w:sz w:val="24"/>
          <w:szCs w:val="24"/>
          <w:lang w:val="mk-MK"/>
        </w:rPr>
        <w:t>2022</w:t>
      </w:r>
      <w:r w:rsidRPr="00684FE6">
        <w:rPr>
          <w:rFonts w:ascii="Times New Roman" w:hAnsi="Times New Roman"/>
          <w:sz w:val="24"/>
          <w:szCs w:val="24"/>
          <w:lang w:val="mk-MK"/>
        </w:rPr>
        <w:t xml:space="preserve"> година процесот на управување со валутен ризик беше реализиран во рамки на </w:t>
      </w:r>
      <w:r>
        <w:rPr>
          <w:rFonts w:ascii="Times New Roman" w:hAnsi="Times New Roman"/>
          <w:sz w:val="24"/>
          <w:szCs w:val="24"/>
          <w:lang w:val="mk-MK"/>
        </w:rPr>
        <w:t>пропишаните</w:t>
      </w:r>
      <w:r w:rsidRPr="00684FE6">
        <w:rPr>
          <w:rFonts w:ascii="Times New Roman" w:hAnsi="Times New Roman"/>
          <w:sz w:val="24"/>
          <w:szCs w:val="24"/>
          <w:lang w:val="mk-MK"/>
        </w:rPr>
        <w:t xml:space="preserve"> </w:t>
      </w:r>
      <w:r w:rsidR="001A09AF">
        <w:rPr>
          <w:rFonts w:ascii="Times New Roman" w:hAnsi="Times New Roman"/>
          <w:sz w:val="24"/>
          <w:szCs w:val="24"/>
          <w:lang w:val="mk-MK"/>
        </w:rPr>
        <w:t>регулаторни</w:t>
      </w:r>
      <w:r>
        <w:rPr>
          <w:rFonts w:ascii="Times New Roman" w:hAnsi="Times New Roman"/>
          <w:sz w:val="24"/>
          <w:szCs w:val="24"/>
          <w:lang w:val="mk-MK"/>
        </w:rPr>
        <w:t xml:space="preserve"> и интерни </w:t>
      </w:r>
      <w:r w:rsidRPr="00684FE6">
        <w:rPr>
          <w:rFonts w:ascii="Times New Roman" w:hAnsi="Times New Roman"/>
          <w:sz w:val="24"/>
          <w:szCs w:val="24"/>
          <w:lang w:val="mk-MK"/>
        </w:rPr>
        <w:t>лимити</w:t>
      </w:r>
      <w:r>
        <w:rPr>
          <w:rFonts w:ascii="Times New Roman" w:hAnsi="Times New Roman"/>
          <w:sz w:val="24"/>
          <w:szCs w:val="24"/>
          <w:lang w:val="mk-MK"/>
        </w:rPr>
        <w:t xml:space="preserve"> на изложеност на валутен ризик.</w:t>
      </w:r>
    </w:p>
    <w:p w14:paraId="4021F5D0" w14:textId="77777777" w:rsidR="00F972A7" w:rsidRDefault="00F972A7" w:rsidP="00A75476">
      <w:pPr>
        <w:pStyle w:val="Heading2"/>
        <w:rPr>
          <w:i/>
          <w:lang w:val="mk-MK"/>
        </w:rPr>
      </w:pPr>
    </w:p>
    <w:p w14:paraId="71DFF3F7" w14:textId="77777777" w:rsidR="007E6589" w:rsidRPr="00A75476" w:rsidRDefault="003D3DA3" w:rsidP="00A75476">
      <w:pPr>
        <w:pStyle w:val="Heading2"/>
        <w:rPr>
          <w:i/>
          <w:lang w:val="mk-MK"/>
        </w:rPr>
      </w:pPr>
      <w:bookmarkStart w:id="70" w:name="_Toc132974495"/>
      <w:bookmarkStart w:id="71" w:name="_Toc132978855"/>
      <w:r w:rsidRPr="00A75476">
        <w:rPr>
          <w:i/>
          <w:lang w:val="mk-MK"/>
        </w:rPr>
        <w:t>Управување со оперативен ризик</w:t>
      </w:r>
      <w:bookmarkEnd w:id="70"/>
      <w:bookmarkEnd w:id="71"/>
    </w:p>
    <w:p w14:paraId="379F4EE8" w14:textId="77777777" w:rsidR="00CA656A" w:rsidRPr="00CA656A" w:rsidRDefault="00CA656A" w:rsidP="00CA656A">
      <w:pPr>
        <w:spacing w:before="240" w:after="0"/>
        <w:jc w:val="both"/>
        <w:rPr>
          <w:rFonts w:ascii="Times New Roman" w:hAnsi="Times New Roman"/>
          <w:sz w:val="24"/>
          <w:szCs w:val="24"/>
          <w:lang w:val="mk-MK"/>
        </w:rPr>
      </w:pPr>
      <w:r w:rsidRPr="00CA656A">
        <w:rPr>
          <w:rFonts w:ascii="Times New Roman" w:hAnsi="Times New Roman"/>
          <w:sz w:val="24"/>
          <w:szCs w:val="24"/>
          <w:lang w:val="mk-MK"/>
        </w:rPr>
        <w:t>СБ применува сеопфатна Рамка за управување со оперативниот ризик (ORMF) со цел идентификување, управување и спречување на оперативни ризици кои резултираат од несоодветни или паднати системи, внатрешни процеси, човечка грешка или надворешни влијанија.</w:t>
      </w:r>
    </w:p>
    <w:p w14:paraId="75A2DDA4" w14:textId="77777777" w:rsidR="00CA656A" w:rsidRPr="00CA656A" w:rsidRDefault="00CA656A" w:rsidP="00CA656A">
      <w:pPr>
        <w:spacing w:before="240" w:after="0"/>
        <w:jc w:val="both"/>
        <w:rPr>
          <w:rFonts w:ascii="Times New Roman" w:hAnsi="Times New Roman"/>
          <w:sz w:val="24"/>
          <w:szCs w:val="24"/>
          <w:lang w:val="mk-MK"/>
        </w:rPr>
      </w:pPr>
      <w:r w:rsidRPr="00CA656A">
        <w:rPr>
          <w:rFonts w:ascii="Times New Roman" w:hAnsi="Times New Roman"/>
          <w:sz w:val="24"/>
          <w:szCs w:val="24"/>
          <w:lang w:val="mk-MK"/>
        </w:rPr>
        <w:t>СБ има конзистентна и високо квалитетна Рамка за управ</w:t>
      </w:r>
      <w:r w:rsidR="00B65BC3">
        <w:rPr>
          <w:rFonts w:ascii="Times New Roman" w:hAnsi="Times New Roman"/>
          <w:sz w:val="24"/>
          <w:szCs w:val="24"/>
          <w:lang w:val="mk-MK"/>
        </w:rPr>
        <w:t xml:space="preserve">ување со оперативен ризик </w:t>
      </w:r>
      <w:r w:rsidRPr="00CA656A">
        <w:rPr>
          <w:rFonts w:ascii="Times New Roman" w:hAnsi="Times New Roman"/>
          <w:sz w:val="24"/>
          <w:szCs w:val="24"/>
          <w:lang w:val="mk-MK"/>
        </w:rPr>
        <w:t xml:space="preserve">со цел да: </w:t>
      </w:r>
    </w:p>
    <w:p w14:paraId="041DC1BC" w14:textId="77777777" w:rsidR="00CA656A" w:rsidRPr="00CA656A" w:rsidRDefault="00CA656A" w:rsidP="00372BD2">
      <w:pPr>
        <w:pStyle w:val="ListParagraph"/>
        <w:numPr>
          <w:ilvl w:val="0"/>
          <w:numId w:val="42"/>
        </w:numPr>
        <w:spacing w:before="240"/>
        <w:jc w:val="both"/>
        <w:rPr>
          <w:lang w:val="mk-MK"/>
        </w:rPr>
      </w:pPr>
      <w:r w:rsidRPr="00CA656A">
        <w:rPr>
          <w:lang w:val="mk-MK"/>
        </w:rPr>
        <w:t>Промовира свесност за оперативниот ризик и култура за ризици во целата Банка,  на тој начин пона</w:t>
      </w:r>
      <w:r w:rsidR="00B65BC3">
        <w:rPr>
          <w:lang w:val="mk-MK"/>
        </w:rPr>
        <w:t xml:space="preserve">таму придонесувајќи кон </w:t>
      </w:r>
      <w:r w:rsidRPr="00CA656A">
        <w:rPr>
          <w:lang w:val="mk-MK"/>
        </w:rPr>
        <w:t>ефикасен процес и ефективна контрола</w:t>
      </w:r>
      <w:r w:rsidR="00B65BC3">
        <w:rPr>
          <w:lang w:val="mk-MK"/>
        </w:rPr>
        <w:t>;</w:t>
      </w:r>
    </w:p>
    <w:p w14:paraId="049E052B" w14:textId="77777777" w:rsidR="00CA656A" w:rsidRPr="008559C4" w:rsidRDefault="00CA656A" w:rsidP="00372BD2">
      <w:pPr>
        <w:pStyle w:val="ListParagraph"/>
        <w:numPr>
          <w:ilvl w:val="0"/>
          <w:numId w:val="42"/>
        </w:numPr>
        <w:spacing w:before="240"/>
        <w:jc w:val="both"/>
        <w:rPr>
          <w:lang w:val="mk-MK"/>
        </w:rPr>
      </w:pPr>
      <w:r w:rsidRPr="00616494">
        <w:rPr>
          <w:lang w:val="mk-MK"/>
        </w:rPr>
        <w:t xml:space="preserve">Воспостави комплет на фундаментални стандарди за управување со </w:t>
      </w:r>
      <w:r w:rsidRPr="00FE54E8">
        <w:rPr>
          <w:lang w:val="mk-MK"/>
        </w:rPr>
        <w:t>оперативниот ризик во Банката што води кон избегнување на неочекуван</w:t>
      </w:r>
      <w:r w:rsidRPr="008559C4">
        <w:rPr>
          <w:lang w:val="mk-MK"/>
        </w:rPr>
        <w:t>и и катастрофални загуби и минимизирање на очекуваните загуби</w:t>
      </w:r>
      <w:r w:rsidR="00B65BC3">
        <w:rPr>
          <w:lang w:val="mk-MK"/>
        </w:rPr>
        <w:t>;</w:t>
      </w:r>
    </w:p>
    <w:p w14:paraId="3D38FB1E" w14:textId="77777777" w:rsidR="00CA656A" w:rsidRPr="00611FA6" w:rsidRDefault="00CA656A" w:rsidP="00372BD2">
      <w:pPr>
        <w:pStyle w:val="ListParagraph"/>
        <w:numPr>
          <w:ilvl w:val="0"/>
          <w:numId w:val="42"/>
        </w:numPr>
        <w:spacing w:before="240"/>
        <w:jc w:val="both"/>
        <w:rPr>
          <w:lang w:val="mk-MK"/>
        </w:rPr>
      </w:pPr>
      <w:r w:rsidRPr="00A44CFA">
        <w:rPr>
          <w:lang w:val="mk-MK"/>
        </w:rPr>
        <w:t>Осигури дека деловните</w:t>
      </w:r>
      <w:r w:rsidRPr="00611FA6">
        <w:rPr>
          <w:lang w:val="mk-MK"/>
        </w:rPr>
        <w:t xml:space="preserve"> цели се исполнуваат со контрола на ризиците</w:t>
      </w:r>
      <w:r w:rsidR="00B65BC3">
        <w:rPr>
          <w:lang w:val="mk-MK"/>
        </w:rPr>
        <w:t>;</w:t>
      </w:r>
    </w:p>
    <w:p w14:paraId="4E068617" w14:textId="77777777" w:rsidR="00CA656A" w:rsidRPr="00B65BC3" w:rsidRDefault="00CA656A" w:rsidP="00372BD2">
      <w:pPr>
        <w:pStyle w:val="ListParagraph"/>
        <w:numPr>
          <w:ilvl w:val="0"/>
          <w:numId w:val="42"/>
        </w:numPr>
        <w:spacing w:before="240"/>
        <w:jc w:val="both"/>
        <w:rPr>
          <w:lang w:val="mk-MK"/>
        </w:rPr>
      </w:pPr>
      <w:r w:rsidRPr="00B65BC3">
        <w:rPr>
          <w:lang w:val="mk-MK"/>
        </w:rPr>
        <w:t>Обезбеди економичност при работењето со намалување на обемни издатоци и избегнување на прекумерни или застарени контроли</w:t>
      </w:r>
      <w:r w:rsidR="00B65BC3">
        <w:rPr>
          <w:lang w:val="mk-MK"/>
        </w:rPr>
        <w:t>;</w:t>
      </w:r>
    </w:p>
    <w:p w14:paraId="6B52F22D" w14:textId="77777777" w:rsidR="00CA656A" w:rsidRPr="00B65BC3" w:rsidRDefault="00CA656A" w:rsidP="00372BD2">
      <w:pPr>
        <w:pStyle w:val="ListParagraph"/>
        <w:numPr>
          <w:ilvl w:val="0"/>
          <w:numId w:val="42"/>
        </w:numPr>
        <w:spacing w:before="240"/>
        <w:jc w:val="both"/>
        <w:rPr>
          <w:lang w:val="mk-MK"/>
        </w:rPr>
      </w:pPr>
      <w:r w:rsidRPr="00B127D9">
        <w:rPr>
          <w:lang w:val="mk-MK"/>
        </w:rPr>
        <w:t xml:space="preserve">Обезбеди конзистентност со соодветни најдобри практики и усогласеност </w:t>
      </w:r>
      <w:r w:rsidRPr="000321A3">
        <w:rPr>
          <w:lang w:val="mk-MK"/>
        </w:rPr>
        <w:t>со регулаторните (квантитативни и квалитативни) барања</w:t>
      </w:r>
      <w:r w:rsidR="00B65BC3">
        <w:rPr>
          <w:lang w:val="mk-MK"/>
        </w:rPr>
        <w:t>;</w:t>
      </w:r>
    </w:p>
    <w:p w14:paraId="68218FAC" w14:textId="77777777" w:rsidR="00CA656A" w:rsidRPr="00B65BC3" w:rsidRDefault="00CA656A" w:rsidP="00372BD2">
      <w:pPr>
        <w:pStyle w:val="ListParagraph"/>
        <w:numPr>
          <w:ilvl w:val="0"/>
          <w:numId w:val="42"/>
        </w:numPr>
        <w:spacing w:before="240"/>
        <w:jc w:val="both"/>
        <w:rPr>
          <w:lang w:val="mk-MK"/>
        </w:rPr>
      </w:pPr>
      <w:r w:rsidRPr="00B65BC3">
        <w:rPr>
          <w:lang w:val="mk-MK"/>
        </w:rPr>
        <w:t>Го подобри корист</w:t>
      </w:r>
      <w:r w:rsidR="00B65BC3" w:rsidRPr="00B65BC3">
        <w:rPr>
          <w:lang w:val="mk-MK"/>
        </w:rPr>
        <w:t xml:space="preserve">ењето на регулаторниот капитал </w:t>
      </w:r>
      <w:r w:rsidRPr="00B65BC3">
        <w:rPr>
          <w:lang w:val="mk-MK"/>
        </w:rPr>
        <w:t>во врска со оперативниот ризик</w:t>
      </w:r>
      <w:r w:rsidR="00B65BC3">
        <w:rPr>
          <w:lang w:val="mk-MK"/>
        </w:rPr>
        <w:t>;</w:t>
      </w:r>
      <w:r w:rsidRPr="00B65BC3">
        <w:rPr>
          <w:lang w:val="mk-MK"/>
        </w:rPr>
        <w:t xml:space="preserve">  </w:t>
      </w:r>
    </w:p>
    <w:p w14:paraId="6A91A5E7" w14:textId="77777777" w:rsidR="00CA656A" w:rsidRPr="00CA656A" w:rsidRDefault="00CA656A" w:rsidP="00372BD2">
      <w:pPr>
        <w:pStyle w:val="ListParagraph"/>
        <w:numPr>
          <w:ilvl w:val="0"/>
          <w:numId w:val="42"/>
        </w:numPr>
        <w:spacing w:before="240"/>
        <w:jc w:val="both"/>
        <w:rPr>
          <w:lang w:val="mk-MK"/>
        </w:rPr>
      </w:pPr>
      <w:r w:rsidRPr="00B127D9">
        <w:rPr>
          <w:lang w:val="mk-MK"/>
        </w:rPr>
        <w:t>Го подобри квалитетот на информациите за оперативниот ризик што доведува до поинформирано донесување одлуки за ризик и</w:t>
      </w:r>
      <w:r w:rsidRPr="000321A3">
        <w:rPr>
          <w:lang w:val="mk-MK"/>
        </w:rPr>
        <w:t xml:space="preserve"> распределување на капитал</w:t>
      </w:r>
      <w:r w:rsidR="00B65BC3">
        <w:rPr>
          <w:lang w:val="mk-MK"/>
        </w:rPr>
        <w:t>от.</w:t>
      </w:r>
    </w:p>
    <w:p w14:paraId="709688C0" w14:textId="77777777" w:rsidR="00CA656A" w:rsidRPr="00CA656A" w:rsidRDefault="00CA656A" w:rsidP="00CA656A">
      <w:pPr>
        <w:spacing w:before="240" w:after="0"/>
        <w:jc w:val="both"/>
        <w:rPr>
          <w:rFonts w:ascii="Times New Roman" w:hAnsi="Times New Roman"/>
          <w:sz w:val="24"/>
          <w:szCs w:val="24"/>
          <w:lang w:val="mk-MK"/>
        </w:rPr>
      </w:pPr>
      <w:r w:rsidRPr="00CA656A">
        <w:rPr>
          <w:rFonts w:ascii="Times New Roman" w:hAnsi="Times New Roman"/>
          <w:sz w:val="24"/>
          <w:szCs w:val="24"/>
          <w:lang w:val="mk-MK"/>
        </w:rPr>
        <w:t>Рамката има за цел да ги одржува оперативните ризици во рамки н</w:t>
      </w:r>
      <w:r w:rsidR="00B65BC3">
        <w:rPr>
          <w:rFonts w:ascii="Times New Roman" w:hAnsi="Times New Roman"/>
          <w:sz w:val="24"/>
          <w:szCs w:val="24"/>
          <w:lang w:val="mk-MK"/>
        </w:rPr>
        <w:t xml:space="preserve">а умерен/низок профил на ризик </w:t>
      </w:r>
      <w:r w:rsidRPr="00CA656A">
        <w:rPr>
          <w:rFonts w:ascii="Times New Roman" w:hAnsi="Times New Roman"/>
          <w:sz w:val="24"/>
          <w:szCs w:val="24"/>
          <w:lang w:val="mk-MK"/>
        </w:rPr>
        <w:t>и истата е во линија со апетитот за ризиц</w:t>
      </w:r>
      <w:r>
        <w:rPr>
          <w:rFonts w:ascii="Times New Roman" w:hAnsi="Times New Roman"/>
          <w:sz w:val="24"/>
          <w:szCs w:val="24"/>
          <w:lang w:val="mk-MK"/>
        </w:rPr>
        <w:t>и на Банката и НБГ Групацијата.</w:t>
      </w:r>
    </w:p>
    <w:p w14:paraId="5A0914ED" w14:textId="77777777" w:rsidR="00CA656A" w:rsidRPr="00CA656A" w:rsidRDefault="00CA656A" w:rsidP="00CA656A">
      <w:pPr>
        <w:spacing w:before="240" w:after="0"/>
        <w:jc w:val="both"/>
        <w:rPr>
          <w:rFonts w:ascii="Times New Roman" w:hAnsi="Times New Roman"/>
          <w:sz w:val="24"/>
          <w:szCs w:val="24"/>
          <w:lang w:val="mk-MK"/>
        </w:rPr>
      </w:pPr>
      <w:r w:rsidRPr="00CA656A">
        <w:rPr>
          <w:rFonts w:ascii="Times New Roman" w:hAnsi="Times New Roman"/>
          <w:sz w:val="24"/>
          <w:szCs w:val="24"/>
          <w:lang w:val="mk-MK"/>
        </w:rPr>
        <w:lastRenderedPageBreak/>
        <w:t xml:space="preserve">Моделот за управување со оперативен ризик на СБ се базира на “модел со три линии </w:t>
      </w:r>
      <w:r w:rsidR="00B65BC3">
        <w:rPr>
          <w:rFonts w:ascii="Times New Roman" w:hAnsi="Times New Roman"/>
          <w:sz w:val="24"/>
          <w:szCs w:val="24"/>
          <w:lang w:val="mk-MK"/>
        </w:rPr>
        <w:t xml:space="preserve">на </w:t>
      </w:r>
      <w:r w:rsidRPr="00CA656A">
        <w:rPr>
          <w:rFonts w:ascii="Times New Roman" w:hAnsi="Times New Roman"/>
          <w:sz w:val="24"/>
          <w:szCs w:val="24"/>
          <w:lang w:val="mk-MK"/>
        </w:rPr>
        <w:t>одбрана”, креиран за ефективно управување со оперативниот ризик (OR). Процесот на управување со оперативниот ризик (ORM процес) е силно вграден во днев</w:t>
      </w:r>
      <w:r>
        <w:rPr>
          <w:rFonts w:ascii="Times New Roman" w:hAnsi="Times New Roman"/>
          <w:sz w:val="24"/>
          <w:szCs w:val="24"/>
          <w:lang w:val="mk-MK"/>
        </w:rPr>
        <w:t>ните бизнис процеси на Банката.</w:t>
      </w:r>
    </w:p>
    <w:p w14:paraId="2974A695" w14:textId="77777777" w:rsidR="00CA656A" w:rsidRPr="00CA656A" w:rsidRDefault="00F23C2C" w:rsidP="00CA656A">
      <w:pPr>
        <w:spacing w:before="240" w:after="0"/>
        <w:jc w:val="both"/>
        <w:rPr>
          <w:rFonts w:ascii="Times New Roman" w:hAnsi="Times New Roman"/>
          <w:sz w:val="24"/>
          <w:szCs w:val="24"/>
          <w:lang w:val="mk-MK"/>
        </w:rPr>
      </w:pPr>
      <w:r>
        <w:rPr>
          <w:rFonts w:ascii="Times New Roman" w:hAnsi="Times New Roman"/>
          <w:sz w:val="24"/>
          <w:szCs w:val="24"/>
          <w:lang w:val="mk-MK"/>
        </w:rPr>
        <w:t xml:space="preserve">Според дефиницијата на </w:t>
      </w:r>
      <w:r w:rsidR="00CA656A" w:rsidRPr="00CA656A">
        <w:rPr>
          <w:rFonts w:ascii="Times New Roman" w:hAnsi="Times New Roman"/>
          <w:sz w:val="24"/>
          <w:szCs w:val="24"/>
          <w:lang w:val="mk-MK"/>
        </w:rPr>
        <w:t>Базел, Рамката усвоена од страна</w:t>
      </w:r>
      <w:r>
        <w:rPr>
          <w:rFonts w:ascii="Times New Roman" w:hAnsi="Times New Roman"/>
          <w:sz w:val="24"/>
          <w:szCs w:val="24"/>
          <w:lang w:val="mk-MK"/>
        </w:rPr>
        <w:t xml:space="preserve"> на Стопанска б</w:t>
      </w:r>
      <w:r w:rsidR="00CA656A" w:rsidRPr="00CA656A">
        <w:rPr>
          <w:rFonts w:ascii="Times New Roman" w:hAnsi="Times New Roman"/>
          <w:sz w:val="24"/>
          <w:szCs w:val="24"/>
          <w:lang w:val="mk-MK"/>
        </w:rPr>
        <w:t>анка, оперативниот ризик вклучува и правен ризик, ризик од неусогласеност, ризик од перење на пари и финансирање на тероризам, како и  ризик од несоодветност на информативни системи.</w:t>
      </w:r>
    </w:p>
    <w:p w14:paraId="7B277DD6" w14:textId="77777777" w:rsidR="00CA656A" w:rsidRPr="00CA656A" w:rsidRDefault="00CA656A" w:rsidP="00CA656A">
      <w:pPr>
        <w:spacing w:before="240" w:after="0"/>
        <w:jc w:val="both"/>
        <w:rPr>
          <w:rFonts w:ascii="Times New Roman" w:hAnsi="Times New Roman"/>
          <w:sz w:val="24"/>
          <w:szCs w:val="24"/>
          <w:lang w:val="mk-MK"/>
        </w:rPr>
      </w:pPr>
      <w:r w:rsidRPr="00CA656A">
        <w:rPr>
          <w:rFonts w:ascii="Times New Roman" w:hAnsi="Times New Roman"/>
          <w:sz w:val="24"/>
          <w:szCs w:val="24"/>
          <w:lang w:val="mk-MK"/>
        </w:rPr>
        <w:t>Со унапредување на ORMF, Стопанска банка ги обезбедува основите, принципите и аранжманите на управување за дизајнирање, спроведување, следење, преглед и континуирано зајакнување на управувањето со опера</w:t>
      </w:r>
      <w:r>
        <w:rPr>
          <w:rFonts w:ascii="Times New Roman" w:hAnsi="Times New Roman"/>
          <w:sz w:val="24"/>
          <w:szCs w:val="24"/>
          <w:lang w:val="mk-MK"/>
        </w:rPr>
        <w:t>тивниот ризик низ целата банка.</w:t>
      </w:r>
    </w:p>
    <w:p w14:paraId="35138789" w14:textId="77777777" w:rsidR="00CA656A" w:rsidRPr="00CA656A" w:rsidRDefault="00CA656A" w:rsidP="00CA656A">
      <w:pPr>
        <w:spacing w:before="240" w:after="0"/>
        <w:jc w:val="both"/>
        <w:rPr>
          <w:rFonts w:ascii="Times New Roman" w:hAnsi="Times New Roman"/>
          <w:sz w:val="24"/>
          <w:szCs w:val="24"/>
          <w:lang w:val="mk-MK"/>
        </w:rPr>
      </w:pPr>
      <w:r w:rsidRPr="00CA656A">
        <w:rPr>
          <w:rFonts w:ascii="Times New Roman" w:hAnsi="Times New Roman"/>
          <w:sz w:val="24"/>
          <w:szCs w:val="24"/>
          <w:lang w:val="mk-MK"/>
        </w:rPr>
        <w:t>Како круцијална аналитичка алатка во процесот на управување со оперативен ризик се смета примената на новото софтверско решение за управувањ</w:t>
      </w:r>
      <w:r w:rsidR="00F23C2C">
        <w:rPr>
          <w:rFonts w:ascii="Times New Roman" w:hAnsi="Times New Roman"/>
          <w:sz w:val="24"/>
          <w:szCs w:val="24"/>
          <w:lang w:val="mk-MK"/>
        </w:rPr>
        <w:t xml:space="preserve">е со оперативен ризик (IBM GRC </w:t>
      </w:r>
      <w:r w:rsidR="00F23C2C" w:rsidRPr="001C5B17">
        <w:rPr>
          <w:rFonts w:ascii="Times New Roman" w:hAnsi="Times New Roman"/>
          <w:sz w:val="24"/>
          <w:szCs w:val="24"/>
          <w:lang w:val="mk-MK"/>
        </w:rPr>
        <w:t>P</w:t>
      </w:r>
      <w:r w:rsidRPr="00CA656A">
        <w:rPr>
          <w:rFonts w:ascii="Times New Roman" w:hAnsi="Times New Roman"/>
          <w:sz w:val="24"/>
          <w:szCs w:val="24"/>
          <w:lang w:val="mk-MK"/>
        </w:rPr>
        <w:t>latform Connected Risk) кое е во примена и на ниво на Групација како високо софистицирано аналитичко системско решение. Овој софтвер овозможува поефикасно управување со оперативен ризик, подобар преглед на изложеноста на Банката на овој ризик, многу подобар мониторинг и контрола на процесот на евидентирање на реализираните загуби, како и следење на процесот на иницирање и на статусот на реализација на Акциски планови.</w:t>
      </w:r>
    </w:p>
    <w:p w14:paraId="494351EF" w14:textId="77777777" w:rsidR="00CA656A" w:rsidRPr="00CA656A" w:rsidRDefault="00CA656A" w:rsidP="00CA656A">
      <w:pPr>
        <w:spacing w:before="240" w:after="0"/>
        <w:jc w:val="both"/>
        <w:rPr>
          <w:rFonts w:ascii="Times New Roman" w:hAnsi="Times New Roman"/>
          <w:sz w:val="24"/>
          <w:szCs w:val="24"/>
          <w:lang w:val="mk-MK"/>
        </w:rPr>
      </w:pPr>
      <w:r w:rsidRPr="00CA656A">
        <w:rPr>
          <w:rFonts w:ascii="Times New Roman" w:hAnsi="Times New Roman"/>
          <w:sz w:val="24"/>
          <w:szCs w:val="24"/>
          <w:lang w:val="mk-MK"/>
        </w:rPr>
        <w:t>Во управувањето со оперативниот ризик</w:t>
      </w:r>
      <w:r w:rsidR="00F23C2C">
        <w:rPr>
          <w:rFonts w:ascii="Times New Roman" w:hAnsi="Times New Roman"/>
          <w:sz w:val="24"/>
          <w:szCs w:val="24"/>
          <w:lang w:val="mk-MK"/>
        </w:rPr>
        <w:t>,</w:t>
      </w:r>
      <w:r w:rsidRPr="00CA656A">
        <w:rPr>
          <w:rFonts w:ascii="Times New Roman" w:hAnsi="Times New Roman"/>
          <w:sz w:val="24"/>
          <w:szCs w:val="24"/>
          <w:lang w:val="mk-MK"/>
        </w:rPr>
        <w:t xml:space="preserve"> Стопанска банка се базира на следниве клучни компоненти на рамката и нивните соодветни по</w:t>
      </w:r>
      <w:r>
        <w:rPr>
          <w:rFonts w:ascii="Times New Roman" w:hAnsi="Times New Roman"/>
          <w:sz w:val="24"/>
          <w:szCs w:val="24"/>
          <w:lang w:val="mk-MK"/>
        </w:rPr>
        <w:t>литики за внатрешно управување:</w:t>
      </w:r>
    </w:p>
    <w:p w14:paraId="36AB1C62" w14:textId="77777777" w:rsidR="00CA656A" w:rsidRPr="00F23C2C" w:rsidRDefault="00CA656A" w:rsidP="00372BD2">
      <w:pPr>
        <w:pStyle w:val="ListParagraph"/>
        <w:numPr>
          <w:ilvl w:val="0"/>
          <w:numId w:val="43"/>
        </w:numPr>
        <w:spacing w:before="240"/>
        <w:jc w:val="both"/>
        <w:rPr>
          <w:lang w:val="mk-MK"/>
        </w:rPr>
      </w:pPr>
      <w:r w:rsidRPr="00F23C2C">
        <w:rPr>
          <w:lang w:val="mk-MK"/>
        </w:rPr>
        <w:t>Политика за управување со внатрешни настани (IEM Policy)</w:t>
      </w:r>
      <w:r w:rsidR="00F23C2C" w:rsidRPr="00F23C2C">
        <w:rPr>
          <w:lang w:val="mk-MK"/>
        </w:rPr>
        <w:t>;</w:t>
      </w:r>
    </w:p>
    <w:p w14:paraId="5D6CBE48" w14:textId="77777777" w:rsidR="00CA656A" w:rsidRPr="00C12382" w:rsidRDefault="00CA656A" w:rsidP="00372BD2">
      <w:pPr>
        <w:pStyle w:val="ListParagraph"/>
        <w:numPr>
          <w:ilvl w:val="0"/>
          <w:numId w:val="43"/>
        </w:numPr>
        <w:spacing w:before="240"/>
        <w:jc w:val="both"/>
        <w:rPr>
          <w:lang w:val="mk-MK"/>
        </w:rPr>
      </w:pPr>
      <w:r w:rsidRPr="00B127D9">
        <w:rPr>
          <w:lang w:val="mk-MK"/>
        </w:rPr>
        <w:t>Политика за клучни индикатори</w:t>
      </w:r>
      <w:r w:rsidRPr="000321A3">
        <w:rPr>
          <w:lang w:val="mk-MK"/>
        </w:rPr>
        <w:t xml:space="preserve"> на ризик (KRI Policy)</w:t>
      </w:r>
      <w:r w:rsidR="00F23C2C" w:rsidRPr="00D25A28">
        <w:rPr>
          <w:lang w:val="mk-MK"/>
        </w:rPr>
        <w:t>;</w:t>
      </w:r>
    </w:p>
    <w:p w14:paraId="2FCCB277" w14:textId="77777777" w:rsidR="00CA656A" w:rsidRPr="002968D8" w:rsidRDefault="00CA656A" w:rsidP="00372BD2">
      <w:pPr>
        <w:pStyle w:val="ListParagraph"/>
        <w:numPr>
          <w:ilvl w:val="0"/>
          <w:numId w:val="43"/>
        </w:numPr>
        <w:spacing w:before="240"/>
        <w:jc w:val="both"/>
        <w:rPr>
          <w:lang w:val="mk-MK"/>
        </w:rPr>
      </w:pPr>
      <w:r w:rsidRPr="002968D8">
        <w:rPr>
          <w:lang w:val="mk-MK"/>
        </w:rPr>
        <w:t>Политика за самопроценка и контрола на ризици (RCSA Policy)</w:t>
      </w:r>
      <w:r w:rsidR="00F23C2C" w:rsidRPr="002968D8">
        <w:rPr>
          <w:lang w:val="mk-MK"/>
        </w:rPr>
        <w:t>.</w:t>
      </w:r>
    </w:p>
    <w:p w14:paraId="5AE73EB2" w14:textId="77777777" w:rsidR="00CA656A" w:rsidRPr="00CA656A" w:rsidRDefault="00CA656A" w:rsidP="00CA656A">
      <w:pPr>
        <w:spacing w:before="240" w:after="0"/>
        <w:jc w:val="both"/>
        <w:rPr>
          <w:rFonts w:ascii="Times New Roman" w:hAnsi="Times New Roman"/>
          <w:sz w:val="24"/>
          <w:szCs w:val="24"/>
          <w:lang w:val="mk-MK"/>
        </w:rPr>
      </w:pPr>
      <w:r w:rsidRPr="00CA656A">
        <w:rPr>
          <w:rFonts w:ascii="Times New Roman" w:hAnsi="Times New Roman"/>
          <w:sz w:val="24"/>
          <w:szCs w:val="24"/>
          <w:lang w:val="mk-MK"/>
        </w:rPr>
        <w:t xml:space="preserve">Севкупниот фокус на процесот за </w:t>
      </w:r>
      <w:r w:rsidR="00F23C2C">
        <w:rPr>
          <w:rFonts w:ascii="Times New Roman" w:hAnsi="Times New Roman"/>
          <w:sz w:val="24"/>
          <w:szCs w:val="24"/>
          <w:lang w:val="mk-MK"/>
        </w:rPr>
        <w:t xml:space="preserve">управување со оперативен ризик </w:t>
      </w:r>
      <w:r w:rsidRPr="00CA656A">
        <w:rPr>
          <w:rFonts w:ascii="Times New Roman" w:hAnsi="Times New Roman"/>
          <w:sz w:val="24"/>
          <w:szCs w:val="24"/>
          <w:lang w:val="mk-MK"/>
        </w:rPr>
        <w:t>(ORM процесот) во 2022 беше насочен на понатамошно зајакнување на функцијата за управување со оперативниот ризик во целата банка преку посветување значително внимание на пријавувањето штетни настани, мерки за нивно ублажување и дефинирање на опера</w:t>
      </w:r>
      <w:r w:rsidR="00F23C2C">
        <w:rPr>
          <w:rFonts w:ascii="Times New Roman" w:hAnsi="Times New Roman"/>
          <w:sz w:val="24"/>
          <w:szCs w:val="24"/>
          <w:lang w:val="mk-MK"/>
        </w:rPr>
        <w:t xml:space="preserve">тивни ризици во сите сегменти. </w:t>
      </w:r>
      <w:r w:rsidRPr="00CA656A">
        <w:rPr>
          <w:rFonts w:ascii="Times New Roman" w:hAnsi="Times New Roman"/>
          <w:sz w:val="24"/>
          <w:szCs w:val="24"/>
          <w:lang w:val="mk-MK"/>
        </w:rPr>
        <w:t>Подигнување на културата за оперативен ризик и свесноста за прашањата од оперативен ризик, како и зајакнато следење на изложеноста на оперативен ризик се постигнува со интензивна проактивна улога од страна на Секторот за управување со ризици, со намера изложеноста на оперативен ризик да се елиминира или ублажи во согласност со профилот на ризици на Банката, стратегијата за ризици и бизнис целите</w:t>
      </w:r>
      <w:r>
        <w:rPr>
          <w:rFonts w:ascii="Times New Roman" w:hAnsi="Times New Roman"/>
          <w:sz w:val="24"/>
          <w:szCs w:val="24"/>
          <w:lang w:val="mk-MK"/>
        </w:rPr>
        <w:t>.</w:t>
      </w:r>
    </w:p>
    <w:p w14:paraId="745D06BB" w14:textId="77777777" w:rsidR="00CA656A" w:rsidRPr="00CA656A" w:rsidRDefault="00CA656A" w:rsidP="00CA656A">
      <w:pPr>
        <w:spacing w:before="240" w:after="0"/>
        <w:jc w:val="both"/>
        <w:rPr>
          <w:rFonts w:ascii="Times New Roman" w:hAnsi="Times New Roman"/>
          <w:sz w:val="24"/>
          <w:szCs w:val="24"/>
          <w:lang w:val="mk-MK"/>
        </w:rPr>
      </w:pPr>
      <w:r w:rsidRPr="00CA656A">
        <w:rPr>
          <w:rFonts w:ascii="Times New Roman" w:hAnsi="Times New Roman"/>
          <w:sz w:val="24"/>
          <w:szCs w:val="24"/>
          <w:lang w:val="mk-MK"/>
        </w:rPr>
        <w:t>ORMF на СБ обезбедува структуриран пристап за управување со оперативниот ризик. Применува конзистентни стандарди и техники за п</w:t>
      </w:r>
      <w:r>
        <w:rPr>
          <w:rFonts w:ascii="Times New Roman" w:hAnsi="Times New Roman"/>
          <w:sz w:val="24"/>
          <w:szCs w:val="24"/>
          <w:lang w:val="mk-MK"/>
        </w:rPr>
        <w:t>роценка на оперативните ризици.</w:t>
      </w:r>
    </w:p>
    <w:p w14:paraId="2FD82C7F" w14:textId="77777777" w:rsidR="00CA656A" w:rsidRPr="00CA656A" w:rsidRDefault="00CA656A" w:rsidP="00CA656A">
      <w:pPr>
        <w:spacing w:before="240" w:after="0"/>
        <w:jc w:val="both"/>
        <w:rPr>
          <w:rFonts w:ascii="Times New Roman" w:hAnsi="Times New Roman"/>
          <w:sz w:val="24"/>
          <w:szCs w:val="24"/>
          <w:lang w:val="mk-MK"/>
        </w:rPr>
      </w:pPr>
      <w:r w:rsidRPr="00CA656A">
        <w:rPr>
          <w:rFonts w:ascii="Times New Roman" w:hAnsi="Times New Roman"/>
          <w:sz w:val="24"/>
          <w:szCs w:val="24"/>
          <w:lang w:val="mk-MK"/>
        </w:rPr>
        <w:lastRenderedPageBreak/>
        <w:t>Во рамките на годишниот стрес тест на Банката се врши и стрес тестирање на оперативниот ризик чија цел е да ја оцени способноста на Банката за ублажување на главните загуби кои произлегуваат од несоодветни или неуспешни внатрешни процеси, луѓе и системи или од надворешни настани.</w:t>
      </w:r>
    </w:p>
    <w:p w14:paraId="132FC1A8" w14:textId="77777777" w:rsidR="00A75476" w:rsidRDefault="00A75476" w:rsidP="00A75476">
      <w:pPr>
        <w:pStyle w:val="Heading1"/>
        <w:rPr>
          <w:b/>
          <w:sz w:val="28"/>
          <w:lang w:val="mk-MK"/>
        </w:rPr>
      </w:pPr>
    </w:p>
    <w:p w14:paraId="2A250261" w14:textId="77777777" w:rsidR="00A75476" w:rsidRDefault="00A75476" w:rsidP="00A75476">
      <w:pPr>
        <w:pStyle w:val="Heading1"/>
        <w:rPr>
          <w:b/>
          <w:sz w:val="28"/>
          <w:lang w:val="mk-MK"/>
        </w:rPr>
      </w:pPr>
    </w:p>
    <w:p w14:paraId="68D90D7D" w14:textId="77777777" w:rsidR="00CB02B3" w:rsidRPr="00A75476" w:rsidRDefault="003D3DA3" w:rsidP="00A75476">
      <w:pPr>
        <w:pStyle w:val="Heading1"/>
        <w:rPr>
          <w:b/>
          <w:sz w:val="28"/>
          <w:lang w:val="mk-MK"/>
        </w:rPr>
      </w:pPr>
      <w:bookmarkStart w:id="72" w:name="_Toc132974496"/>
      <w:bookmarkStart w:id="73" w:name="_Toc132978856"/>
      <w:r w:rsidRPr="00A75476">
        <w:rPr>
          <w:b/>
          <w:sz w:val="28"/>
          <w:lang w:val="mk-MK"/>
        </w:rPr>
        <w:t>Адекватност на капиталот, Интерен процес на оценка на адекватност на капиталот и Стрес тест</w:t>
      </w:r>
      <w:bookmarkEnd w:id="72"/>
      <w:bookmarkEnd w:id="73"/>
    </w:p>
    <w:p w14:paraId="69E774D6" w14:textId="77777777" w:rsidR="003D3DA3" w:rsidRPr="001C5B17" w:rsidRDefault="003D3DA3" w:rsidP="003D3DA3">
      <w:pPr>
        <w:spacing w:before="240"/>
        <w:jc w:val="both"/>
        <w:rPr>
          <w:rFonts w:ascii="Times New Roman" w:hAnsi="Times New Roman"/>
          <w:sz w:val="24"/>
          <w:szCs w:val="24"/>
          <w:lang w:val="mk-MK"/>
        </w:rPr>
      </w:pPr>
      <w:r w:rsidRPr="003D3DA3">
        <w:rPr>
          <w:rFonts w:ascii="Times New Roman" w:hAnsi="Times New Roman"/>
          <w:sz w:val="24"/>
          <w:szCs w:val="24"/>
          <w:lang w:val="mk-MK"/>
        </w:rPr>
        <w:t>Одржувањето силна капитална база како предуслов за раст на бизнисот и апсорбер на сите можни ризици претставува приоритет и главен фокус на Банката. Вкупниот регулаторен капитал на Банката со состојба од 3</w:t>
      </w:r>
      <w:r w:rsidRPr="001C5B17">
        <w:rPr>
          <w:rFonts w:ascii="Times New Roman" w:hAnsi="Times New Roman"/>
          <w:sz w:val="24"/>
          <w:szCs w:val="24"/>
          <w:lang w:val="mk-MK"/>
        </w:rPr>
        <w:t>1.12.20</w:t>
      </w:r>
      <w:r w:rsidRPr="003D3DA3">
        <w:rPr>
          <w:rFonts w:ascii="Times New Roman" w:hAnsi="Times New Roman"/>
          <w:sz w:val="24"/>
          <w:szCs w:val="24"/>
          <w:lang w:val="mk-MK"/>
        </w:rPr>
        <w:t>2</w:t>
      </w:r>
      <w:r w:rsidR="00252A51">
        <w:rPr>
          <w:rFonts w:ascii="Times New Roman" w:hAnsi="Times New Roman"/>
          <w:sz w:val="24"/>
          <w:szCs w:val="24"/>
          <w:lang w:val="mk-MK"/>
        </w:rPr>
        <w:t>2</w:t>
      </w:r>
      <w:r w:rsidRPr="003D3DA3">
        <w:rPr>
          <w:rFonts w:ascii="Times New Roman" w:hAnsi="Times New Roman"/>
          <w:sz w:val="24"/>
          <w:szCs w:val="24"/>
          <w:lang w:val="mk-MK"/>
        </w:rPr>
        <w:t xml:space="preserve"> година изнесуваше </w:t>
      </w:r>
      <w:r w:rsidR="00252A51">
        <w:rPr>
          <w:rFonts w:ascii="Times New Roman" w:hAnsi="Times New Roman"/>
          <w:sz w:val="24"/>
          <w:szCs w:val="24"/>
          <w:lang w:val="mk-MK"/>
        </w:rPr>
        <w:t>272,1</w:t>
      </w:r>
      <w:r w:rsidRPr="003D3DA3">
        <w:rPr>
          <w:rFonts w:ascii="Times New Roman" w:hAnsi="Times New Roman"/>
          <w:sz w:val="24"/>
          <w:szCs w:val="24"/>
          <w:lang w:val="mk-MK"/>
        </w:rPr>
        <w:t xml:space="preserve"> милиони евра, од кои основниот капитал (</w:t>
      </w:r>
      <w:r w:rsidRPr="001C5B17">
        <w:rPr>
          <w:rFonts w:ascii="Times New Roman" w:hAnsi="Times New Roman"/>
          <w:sz w:val="24"/>
          <w:szCs w:val="24"/>
          <w:lang w:val="mk-MK"/>
        </w:rPr>
        <w:t>Tier 1</w:t>
      </w:r>
      <w:r w:rsidRPr="003D3DA3">
        <w:rPr>
          <w:rFonts w:ascii="Times New Roman" w:hAnsi="Times New Roman"/>
          <w:sz w:val="24"/>
          <w:szCs w:val="24"/>
          <w:lang w:val="mk-MK"/>
        </w:rPr>
        <w:t xml:space="preserve">) изнесуваше </w:t>
      </w:r>
      <w:r w:rsidR="00252A51">
        <w:rPr>
          <w:rFonts w:ascii="Times New Roman" w:hAnsi="Times New Roman"/>
          <w:sz w:val="24"/>
          <w:szCs w:val="24"/>
          <w:lang w:val="mk-MK"/>
        </w:rPr>
        <w:t>270,6</w:t>
      </w:r>
      <w:r w:rsidRPr="003D3DA3">
        <w:rPr>
          <w:rFonts w:ascii="Times New Roman" w:hAnsi="Times New Roman"/>
          <w:sz w:val="24"/>
          <w:szCs w:val="24"/>
          <w:lang w:val="mk-MK"/>
        </w:rPr>
        <w:t xml:space="preserve"> милиони евра, а дополнителниот капитал (</w:t>
      </w:r>
      <w:r w:rsidRPr="001C5B17">
        <w:rPr>
          <w:rFonts w:ascii="Times New Roman" w:hAnsi="Times New Roman"/>
          <w:sz w:val="24"/>
          <w:szCs w:val="24"/>
          <w:lang w:val="mk-MK"/>
        </w:rPr>
        <w:t>Tier 2</w:t>
      </w:r>
      <w:r w:rsidRPr="003D3DA3">
        <w:rPr>
          <w:rFonts w:ascii="Times New Roman" w:hAnsi="Times New Roman"/>
          <w:sz w:val="24"/>
          <w:szCs w:val="24"/>
          <w:lang w:val="mk-MK"/>
        </w:rPr>
        <w:t xml:space="preserve">) изнесуваше </w:t>
      </w:r>
      <w:r w:rsidRPr="001C5B17">
        <w:rPr>
          <w:rFonts w:ascii="Times New Roman" w:hAnsi="Times New Roman"/>
          <w:sz w:val="24"/>
          <w:szCs w:val="24"/>
          <w:lang w:val="mk-MK"/>
        </w:rPr>
        <w:t>1,5</w:t>
      </w:r>
      <w:r w:rsidRPr="003D3DA3">
        <w:rPr>
          <w:rFonts w:ascii="Times New Roman" w:hAnsi="Times New Roman"/>
          <w:sz w:val="24"/>
          <w:szCs w:val="24"/>
          <w:lang w:val="mk-MK"/>
        </w:rPr>
        <w:t xml:space="preserve"> милиони евра, што резултираше во коефициент на адекватност на капиталот од </w:t>
      </w:r>
      <w:r w:rsidRPr="001C5B17">
        <w:rPr>
          <w:rFonts w:ascii="Times New Roman" w:hAnsi="Times New Roman"/>
          <w:sz w:val="24"/>
          <w:szCs w:val="24"/>
          <w:lang w:val="mk-MK"/>
        </w:rPr>
        <w:t>16,</w:t>
      </w:r>
      <w:r w:rsidR="00252A51">
        <w:rPr>
          <w:rFonts w:ascii="Times New Roman" w:hAnsi="Times New Roman"/>
          <w:sz w:val="24"/>
          <w:szCs w:val="24"/>
          <w:lang w:val="mk-MK"/>
        </w:rPr>
        <w:t>6</w:t>
      </w:r>
      <w:r w:rsidRPr="003D3DA3">
        <w:rPr>
          <w:rFonts w:ascii="Times New Roman" w:hAnsi="Times New Roman"/>
          <w:sz w:val="24"/>
          <w:szCs w:val="24"/>
          <w:lang w:val="mk-MK"/>
        </w:rPr>
        <w:t>5</w:t>
      </w:r>
      <w:r w:rsidRPr="001C5B17">
        <w:rPr>
          <w:rFonts w:ascii="Times New Roman" w:hAnsi="Times New Roman"/>
          <w:sz w:val="24"/>
          <w:szCs w:val="24"/>
          <w:lang w:val="mk-MK"/>
        </w:rPr>
        <w:t xml:space="preserve">% </w:t>
      </w:r>
      <w:r w:rsidRPr="003D3DA3">
        <w:rPr>
          <w:rFonts w:ascii="Times New Roman" w:hAnsi="Times New Roman"/>
          <w:sz w:val="24"/>
          <w:szCs w:val="24"/>
          <w:lang w:val="mk-MK"/>
        </w:rPr>
        <w:t xml:space="preserve">со состојба од </w:t>
      </w:r>
      <w:r w:rsidRPr="001C5B17">
        <w:rPr>
          <w:rFonts w:ascii="Times New Roman" w:hAnsi="Times New Roman"/>
          <w:sz w:val="24"/>
          <w:szCs w:val="24"/>
          <w:lang w:val="mk-MK"/>
        </w:rPr>
        <w:t>31.12.20</w:t>
      </w:r>
      <w:r w:rsidRPr="003D3DA3">
        <w:rPr>
          <w:rFonts w:ascii="Times New Roman" w:hAnsi="Times New Roman"/>
          <w:sz w:val="24"/>
          <w:szCs w:val="24"/>
          <w:lang w:val="mk-MK"/>
        </w:rPr>
        <w:t>2</w:t>
      </w:r>
      <w:r w:rsidR="00252A51">
        <w:rPr>
          <w:rFonts w:ascii="Times New Roman" w:hAnsi="Times New Roman"/>
          <w:sz w:val="24"/>
          <w:szCs w:val="24"/>
          <w:lang w:val="mk-MK"/>
        </w:rPr>
        <w:t>2</w:t>
      </w:r>
      <w:r w:rsidRPr="003D3DA3">
        <w:rPr>
          <w:rFonts w:ascii="Times New Roman" w:hAnsi="Times New Roman"/>
          <w:sz w:val="24"/>
          <w:szCs w:val="24"/>
          <w:lang w:val="mk-MK"/>
        </w:rPr>
        <w:t xml:space="preserve"> година</w:t>
      </w:r>
      <w:r w:rsidRPr="001C5B17">
        <w:rPr>
          <w:rFonts w:ascii="Times New Roman" w:hAnsi="Times New Roman"/>
          <w:sz w:val="24"/>
          <w:szCs w:val="24"/>
          <w:lang w:val="mk-MK"/>
        </w:rPr>
        <w:t>.</w:t>
      </w:r>
    </w:p>
    <w:p w14:paraId="6F7A1C51" w14:textId="77777777" w:rsidR="003D3DA3" w:rsidRPr="00E938CB" w:rsidRDefault="003D3DA3" w:rsidP="003D3DA3">
      <w:pPr>
        <w:spacing w:before="240"/>
        <w:jc w:val="both"/>
        <w:rPr>
          <w:rFonts w:ascii="Times New Roman" w:hAnsi="Times New Roman"/>
          <w:sz w:val="24"/>
          <w:szCs w:val="24"/>
          <w:lang w:val="mk-MK"/>
        </w:rPr>
      </w:pPr>
      <w:r w:rsidRPr="00644291">
        <w:rPr>
          <w:rFonts w:ascii="Times New Roman" w:hAnsi="Times New Roman"/>
          <w:sz w:val="24"/>
          <w:szCs w:val="24"/>
          <w:lang w:val="mk-MK"/>
        </w:rPr>
        <w:t>Како дел од прудентно воспоставената Рамка на управување со ризици, Банката редовно спроведува Интерен процес на оценка на адекватноста на капиталот (ICAAP) и ја оценува отпорноста на адекватноста на капиталот преку стрес тестирања, при то</w:t>
      </w:r>
      <w:r w:rsidRPr="001C5B17">
        <w:rPr>
          <w:rFonts w:ascii="Times New Roman" w:hAnsi="Times New Roman"/>
          <w:sz w:val="24"/>
          <w:szCs w:val="24"/>
          <w:lang w:val="mk-MK"/>
        </w:rPr>
        <w:t>a</w:t>
      </w:r>
      <w:r w:rsidRPr="00644291">
        <w:rPr>
          <w:rFonts w:ascii="Times New Roman" w:hAnsi="Times New Roman"/>
          <w:sz w:val="24"/>
          <w:szCs w:val="24"/>
          <w:lang w:val="mk-MK"/>
        </w:rPr>
        <w:t xml:space="preserve"> земајќи ги предвид тековните околности и ризиците кои доминираат во моментот на стрес-тестирањето, предвидувајќи ги очекуваните ризици</w:t>
      </w:r>
      <w:r w:rsidRPr="001C5B17">
        <w:rPr>
          <w:rFonts w:ascii="Times New Roman" w:hAnsi="Times New Roman"/>
          <w:sz w:val="24"/>
          <w:szCs w:val="24"/>
          <w:lang w:val="mk-MK"/>
        </w:rPr>
        <w:t xml:space="preserve">. </w:t>
      </w:r>
      <w:r w:rsidRPr="00644291">
        <w:rPr>
          <w:rFonts w:ascii="Times New Roman" w:hAnsi="Times New Roman"/>
          <w:sz w:val="24"/>
          <w:szCs w:val="24"/>
          <w:lang w:val="mk-MK"/>
        </w:rPr>
        <w:t>Интерниот процес на оценка на адекватноста на капиталот (ICAAP) на Банката потврдува дека капиталот на СБ е доволен за покривање на сите материјални ризици на кои е изложена Банката, како и дека утврдениот вишок на капитал е повеќе од доволен да ги покрие сите ризици кои не може адекватно да се квантифицираат, но на кои Банката е изложена во текот на своите редовни бизнис активности. Како што е пропишано, стрес тестирањата се исто така интегрален дел од рамката за управување со ризици, особено потребни да обезбедат проценка и да обрнат внимание на големината на финансиските загуби и нивното влијание врз севкупниот бизнис, вклучувајќи ја и адекватноста на капиталот</w:t>
      </w:r>
      <w:r w:rsidRPr="001C5B17">
        <w:rPr>
          <w:rFonts w:ascii="Times New Roman" w:hAnsi="Times New Roman"/>
          <w:sz w:val="24"/>
          <w:szCs w:val="24"/>
          <w:lang w:val="mk-MK"/>
        </w:rPr>
        <w:t xml:space="preserve">. </w:t>
      </w:r>
      <w:r w:rsidRPr="00644291">
        <w:rPr>
          <w:rFonts w:ascii="Times New Roman" w:hAnsi="Times New Roman"/>
          <w:sz w:val="24"/>
          <w:szCs w:val="24"/>
          <w:lang w:val="mk-MK"/>
        </w:rPr>
        <w:t>Во текот на 20</w:t>
      </w:r>
      <w:r>
        <w:rPr>
          <w:rFonts w:ascii="Times New Roman" w:hAnsi="Times New Roman"/>
          <w:sz w:val="24"/>
          <w:szCs w:val="24"/>
          <w:lang w:val="mk-MK"/>
        </w:rPr>
        <w:t>2</w:t>
      </w:r>
      <w:r w:rsidR="001D6D12" w:rsidRPr="001C5B17">
        <w:rPr>
          <w:rFonts w:ascii="Times New Roman" w:hAnsi="Times New Roman"/>
          <w:sz w:val="24"/>
          <w:szCs w:val="24"/>
          <w:lang w:val="mk-MK"/>
        </w:rPr>
        <w:t>2</w:t>
      </w:r>
      <w:r w:rsidRPr="00644291">
        <w:rPr>
          <w:rFonts w:ascii="Times New Roman" w:hAnsi="Times New Roman"/>
          <w:sz w:val="24"/>
          <w:szCs w:val="24"/>
          <w:lang w:val="mk-MK"/>
        </w:rPr>
        <w:t xml:space="preserve"> година, Банката спроведе различни стрес тест сценарија за да се испита во однос на чувствителноста на претходно утврден сет </w:t>
      </w:r>
      <w:r>
        <w:rPr>
          <w:rFonts w:ascii="Times New Roman" w:hAnsi="Times New Roman"/>
          <w:sz w:val="24"/>
          <w:szCs w:val="24"/>
          <w:lang w:val="mk-MK"/>
        </w:rPr>
        <w:t>од ектремни но веројатни шокови, вклучувајќи и стрес тест сценарио</w:t>
      </w:r>
      <w:r w:rsidRPr="00644291">
        <w:rPr>
          <w:rFonts w:ascii="Times New Roman" w:hAnsi="Times New Roman"/>
          <w:sz w:val="24"/>
          <w:szCs w:val="24"/>
          <w:lang w:val="mk-MK"/>
        </w:rPr>
        <w:t xml:space="preserve"> </w:t>
      </w:r>
      <w:r>
        <w:rPr>
          <w:rFonts w:ascii="Times New Roman" w:hAnsi="Times New Roman"/>
          <w:sz w:val="24"/>
          <w:szCs w:val="24"/>
          <w:lang w:val="mk-MK"/>
        </w:rPr>
        <w:t xml:space="preserve">кое ги опфаќа специфичните негативни околности кои се резултат на </w:t>
      </w:r>
      <w:r w:rsidR="001D6D12">
        <w:rPr>
          <w:rFonts w:ascii="Times New Roman" w:hAnsi="Times New Roman"/>
          <w:sz w:val="24"/>
          <w:szCs w:val="24"/>
          <w:lang w:val="mk-MK"/>
        </w:rPr>
        <w:t>руско-украинската криза</w:t>
      </w:r>
      <w:r>
        <w:rPr>
          <w:rFonts w:ascii="Times New Roman" w:hAnsi="Times New Roman"/>
          <w:sz w:val="24"/>
          <w:szCs w:val="24"/>
          <w:lang w:val="mk-MK"/>
        </w:rPr>
        <w:t xml:space="preserve">. </w:t>
      </w:r>
      <w:r w:rsidRPr="00644291">
        <w:rPr>
          <w:rFonts w:ascii="Times New Roman" w:hAnsi="Times New Roman"/>
          <w:sz w:val="24"/>
          <w:szCs w:val="24"/>
          <w:lang w:val="mk-MK"/>
        </w:rPr>
        <w:t>Стрес тестирањата го земаа предвид влијанието од различни сценарија од доменот на кредитниот ризик, ризикот од промена на каматн</w:t>
      </w:r>
      <w:r w:rsidR="00F23C2C">
        <w:rPr>
          <w:rFonts w:ascii="Times New Roman" w:hAnsi="Times New Roman"/>
          <w:sz w:val="24"/>
          <w:szCs w:val="24"/>
          <w:lang w:val="mk-MK"/>
        </w:rPr>
        <w:t>и</w:t>
      </w:r>
      <w:r w:rsidRPr="00644291">
        <w:rPr>
          <w:rFonts w:ascii="Times New Roman" w:hAnsi="Times New Roman"/>
          <w:sz w:val="24"/>
          <w:szCs w:val="24"/>
          <w:lang w:val="mk-MK"/>
        </w:rPr>
        <w:t>т</w:t>
      </w:r>
      <w:r w:rsidR="00F23C2C">
        <w:rPr>
          <w:rFonts w:ascii="Times New Roman" w:hAnsi="Times New Roman"/>
          <w:sz w:val="24"/>
          <w:szCs w:val="24"/>
          <w:lang w:val="mk-MK"/>
        </w:rPr>
        <w:t>е</w:t>
      </w:r>
      <w:r w:rsidRPr="00644291">
        <w:rPr>
          <w:rFonts w:ascii="Times New Roman" w:hAnsi="Times New Roman"/>
          <w:sz w:val="24"/>
          <w:szCs w:val="24"/>
          <w:lang w:val="mk-MK"/>
        </w:rPr>
        <w:t xml:space="preserve"> стапк</w:t>
      </w:r>
      <w:r w:rsidR="00F23C2C">
        <w:rPr>
          <w:rFonts w:ascii="Times New Roman" w:hAnsi="Times New Roman"/>
          <w:sz w:val="24"/>
          <w:szCs w:val="24"/>
          <w:lang w:val="mk-MK"/>
        </w:rPr>
        <w:t>и</w:t>
      </w:r>
      <w:r w:rsidRPr="00644291">
        <w:rPr>
          <w:rFonts w:ascii="Times New Roman" w:hAnsi="Times New Roman"/>
          <w:sz w:val="24"/>
          <w:szCs w:val="24"/>
          <w:lang w:val="mk-MK"/>
        </w:rPr>
        <w:t xml:space="preserve"> во портфолиото на банкарски активности, ликвидносниот ризик, валутниот ризик и оперативниот ризик, како и сценарија кои вклучуваат комбинација од сите ризици. </w:t>
      </w:r>
    </w:p>
    <w:p w14:paraId="3A9D42D1" w14:textId="77777777" w:rsidR="00A75476" w:rsidRPr="001C5B17" w:rsidRDefault="003D3DA3" w:rsidP="00F972A7">
      <w:pPr>
        <w:spacing w:before="240"/>
        <w:jc w:val="both"/>
        <w:rPr>
          <w:rFonts w:ascii="Times New Roman" w:hAnsi="Times New Roman"/>
          <w:sz w:val="24"/>
          <w:szCs w:val="24"/>
          <w:lang w:val="mk-MK"/>
        </w:rPr>
      </w:pPr>
      <w:r w:rsidRPr="00644291">
        <w:rPr>
          <w:rFonts w:ascii="Times New Roman" w:hAnsi="Times New Roman"/>
          <w:sz w:val="24"/>
          <w:szCs w:val="24"/>
          <w:lang w:val="mk-MK"/>
        </w:rPr>
        <w:t>Резултатите од стрес тестирањата докажаа дека Банката може да се справи и е отпорна дури и на многу песимистички претпоставки. Таквата отпорност воглавно го одразува прудентното управување со ризиците, добро воспоставениот бизнис модел, стратегијата, системите и процедурите кои овозможуваат одржлива и силна капитална база и позиција на висока ликвидност, како силен штит од сите можни ризици и шокови.</w:t>
      </w:r>
      <w:r w:rsidR="00D546DD" w:rsidRPr="001C5B17">
        <w:rPr>
          <w:rFonts w:ascii="Times New Roman" w:hAnsi="Times New Roman"/>
          <w:sz w:val="24"/>
          <w:szCs w:val="24"/>
          <w:lang w:val="mk-MK"/>
        </w:rPr>
        <w:t xml:space="preserve">  </w:t>
      </w:r>
      <w:bookmarkStart w:id="74" w:name="_Toc39126948"/>
    </w:p>
    <w:p w14:paraId="3E191B46" w14:textId="77777777" w:rsidR="001227FA" w:rsidRPr="00A75476" w:rsidRDefault="003D3DA3" w:rsidP="00A75476">
      <w:pPr>
        <w:pStyle w:val="Heading1"/>
        <w:rPr>
          <w:b/>
          <w:sz w:val="28"/>
          <w:lang w:val="mk-MK"/>
        </w:rPr>
      </w:pPr>
      <w:bookmarkStart w:id="75" w:name="_Toc132974497"/>
      <w:bookmarkStart w:id="76" w:name="_Toc132978857"/>
      <w:r w:rsidRPr="00A75476">
        <w:rPr>
          <w:b/>
          <w:sz w:val="28"/>
          <w:lang w:val="mk-MK"/>
        </w:rPr>
        <w:lastRenderedPageBreak/>
        <w:t>Активности за контрола на усогласеноста со прописите, спречување на перење пари и борба против финансирање на тероризмот</w:t>
      </w:r>
      <w:bookmarkEnd w:id="74"/>
      <w:bookmarkEnd w:id="75"/>
      <w:bookmarkEnd w:id="76"/>
    </w:p>
    <w:p w14:paraId="643833FB" w14:textId="77777777" w:rsidR="003D3DA3" w:rsidRPr="001C5B17" w:rsidRDefault="003D3DA3" w:rsidP="003D3DA3">
      <w:pPr>
        <w:autoSpaceDE w:val="0"/>
        <w:autoSpaceDN w:val="0"/>
        <w:spacing w:after="120"/>
        <w:jc w:val="both"/>
        <w:rPr>
          <w:rFonts w:ascii="Times New Roman" w:hAnsi="Times New Roman"/>
          <w:sz w:val="24"/>
          <w:szCs w:val="24"/>
          <w:lang w:val="mk-MK"/>
        </w:rPr>
      </w:pPr>
    </w:p>
    <w:p w14:paraId="5B2EFF12" w14:textId="77777777" w:rsidR="003D3DA3" w:rsidRPr="00561BBC" w:rsidRDefault="003D3DA3" w:rsidP="003D3DA3">
      <w:pPr>
        <w:autoSpaceDE w:val="0"/>
        <w:autoSpaceDN w:val="0"/>
        <w:spacing w:after="120"/>
        <w:jc w:val="both"/>
        <w:rPr>
          <w:rFonts w:ascii="Times New Roman" w:hAnsi="Times New Roman"/>
          <w:sz w:val="24"/>
          <w:szCs w:val="24"/>
          <w:lang w:val="mk-MK"/>
        </w:rPr>
      </w:pPr>
      <w:r w:rsidRPr="001C5B17">
        <w:rPr>
          <w:rFonts w:ascii="Times New Roman" w:hAnsi="Times New Roman"/>
          <w:sz w:val="24"/>
          <w:szCs w:val="24"/>
          <w:lang w:val="mk-MK"/>
        </w:rPr>
        <w:t>Во</w:t>
      </w:r>
      <w:r>
        <w:rPr>
          <w:rFonts w:ascii="Times New Roman" w:hAnsi="Times New Roman"/>
          <w:sz w:val="24"/>
          <w:szCs w:val="24"/>
          <w:lang w:val="mk-MK"/>
        </w:rPr>
        <w:t xml:space="preserve"> </w:t>
      </w:r>
      <w:r w:rsidRPr="001C5B17">
        <w:rPr>
          <w:rFonts w:ascii="Times New Roman" w:hAnsi="Times New Roman"/>
          <w:sz w:val="24"/>
          <w:szCs w:val="24"/>
          <w:lang w:val="mk-MK"/>
        </w:rPr>
        <w:t>текот</w:t>
      </w:r>
      <w:r>
        <w:rPr>
          <w:rFonts w:ascii="Times New Roman" w:hAnsi="Times New Roman"/>
          <w:sz w:val="24"/>
          <w:szCs w:val="24"/>
          <w:lang w:val="mk-MK"/>
        </w:rPr>
        <w:t xml:space="preserve"> </w:t>
      </w:r>
      <w:r w:rsidRPr="001C5B17">
        <w:rPr>
          <w:rFonts w:ascii="Times New Roman" w:hAnsi="Times New Roman"/>
          <w:sz w:val="24"/>
          <w:szCs w:val="24"/>
          <w:lang w:val="mk-MK"/>
        </w:rPr>
        <w:t>на</w:t>
      </w:r>
      <w:r>
        <w:rPr>
          <w:rFonts w:ascii="Times New Roman" w:hAnsi="Times New Roman"/>
          <w:sz w:val="24"/>
          <w:szCs w:val="24"/>
          <w:lang w:val="mk-MK"/>
        </w:rPr>
        <w:t xml:space="preserve"> </w:t>
      </w:r>
      <w:r w:rsidRPr="001C5B17">
        <w:rPr>
          <w:rFonts w:ascii="Times New Roman" w:hAnsi="Times New Roman"/>
          <w:sz w:val="24"/>
          <w:szCs w:val="24"/>
          <w:lang w:val="mk-MK"/>
        </w:rPr>
        <w:t>202</w:t>
      </w:r>
      <w:r w:rsidR="00A84679" w:rsidRPr="001C5B17">
        <w:rPr>
          <w:rFonts w:ascii="Times New Roman" w:hAnsi="Times New Roman"/>
          <w:sz w:val="24"/>
          <w:szCs w:val="24"/>
          <w:lang w:val="mk-MK"/>
        </w:rPr>
        <w:t>2</w:t>
      </w:r>
      <w:r>
        <w:rPr>
          <w:rFonts w:ascii="Times New Roman" w:hAnsi="Times New Roman"/>
          <w:sz w:val="24"/>
          <w:szCs w:val="24"/>
          <w:lang w:val="mk-MK"/>
        </w:rPr>
        <w:t xml:space="preserve"> </w:t>
      </w:r>
      <w:r w:rsidRPr="001C5B17">
        <w:rPr>
          <w:rFonts w:ascii="Times New Roman" w:hAnsi="Times New Roman"/>
          <w:sz w:val="24"/>
          <w:szCs w:val="24"/>
          <w:lang w:val="mk-MK"/>
        </w:rPr>
        <w:t>година, Секторот</w:t>
      </w:r>
      <w:r>
        <w:rPr>
          <w:rFonts w:ascii="Times New Roman" w:hAnsi="Times New Roman"/>
          <w:sz w:val="24"/>
          <w:szCs w:val="24"/>
          <w:lang w:val="mk-MK"/>
        </w:rPr>
        <w:t xml:space="preserve"> </w:t>
      </w:r>
      <w:r w:rsidRPr="001C5B17">
        <w:rPr>
          <w:rFonts w:ascii="Times New Roman" w:hAnsi="Times New Roman"/>
          <w:sz w:val="24"/>
          <w:szCs w:val="24"/>
          <w:lang w:val="mk-MK"/>
        </w:rPr>
        <w:t>за</w:t>
      </w:r>
      <w:r>
        <w:rPr>
          <w:rFonts w:ascii="Times New Roman" w:hAnsi="Times New Roman"/>
          <w:sz w:val="24"/>
          <w:szCs w:val="24"/>
          <w:lang w:val="mk-MK"/>
        </w:rPr>
        <w:t xml:space="preserve"> </w:t>
      </w:r>
      <w:r w:rsidRPr="001C5B17">
        <w:rPr>
          <w:rFonts w:ascii="Times New Roman" w:hAnsi="Times New Roman"/>
          <w:sz w:val="24"/>
          <w:szCs w:val="24"/>
          <w:lang w:val="mk-MK"/>
        </w:rPr>
        <w:t>контрола</w:t>
      </w:r>
      <w:r>
        <w:rPr>
          <w:rFonts w:ascii="Times New Roman" w:hAnsi="Times New Roman"/>
          <w:sz w:val="24"/>
          <w:szCs w:val="24"/>
          <w:lang w:val="mk-MK"/>
        </w:rPr>
        <w:t xml:space="preserve"> </w:t>
      </w:r>
      <w:r w:rsidRPr="001C5B17">
        <w:rPr>
          <w:rFonts w:ascii="Times New Roman" w:hAnsi="Times New Roman"/>
          <w:sz w:val="24"/>
          <w:szCs w:val="24"/>
          <w:lang w:val="mk-MK"/>
        </w:rPr>
        <w:t>на</w:t>
      </w:r>
      <w:r>
        <w:rPr>
          <w:rFonts w:ascii="Times New Roman" w:hAnsi="Times New Roman"/>
          <w:sz w:val="24"/>
          <w:szCs w:val="24"/>
          <w:lang w:val="mk-MK"/>
        </w:rPr>
        <w:t xml:space="preserve"> </w:t>
      </w:r>
      <w:r w:rsidRPr="001C5B17">
        <w:rPr>
          <w:rFonts w:ascii="Times New Roman" w:hAnsi="Times New Roman"/>
          <w:sz w:val="24"/>
          <w:szCs w:val="24"/>
          <w:lang w:val="mk-MK"/>
        </w:rPr>
        <w:t>усогласеноста</w:t>
      </w:r>
      <w:r>
        <w:rPr>
          <w:rFonts w:ascii="Times New Roman" w:hAnsi="Times New Roman"/>
          <w:sz w:val="24"/>
          <w:szCs w:val="24"/>
          <w:lang w:val="mk-MK"/>
        </w:rPr>
        <w:t xml:space="preserve"> </w:t>
      </w:r>
      <w:r w:rsidRPr="001C5B17">
        <w:rPr>
          <w:rFonts w:ascii="Times New Roman" w:hAnsi="Times New Roman"/>
          <w:sz w:val="24"/>
          <w:szCs w:val="24"/>
          <w:lang w:val="mk-MK"/>
        </w:rPr>
        <w:t>на</w:t>
      </w:r>
      <w:r>
        <w:rPr>
          <w:rFonts w:ascii="Times New Roman" w:hAnsi="Times New Roman"/>
          <w:sz w:val="24"/>
          <w:szCs w:val="24"/>
          <w:lang w:val="mk-MK"/>
        </w:rPr>
        <w:t xml:space="preserve"> </w:t>
      </w:r>
      <w:r w:rsidRPr="001C5B17">
        <w:rPr>
          <w:rFonts w:ascii="Times New Roman" w:hAnsi="Times New Roman"/>
          <w:sz w:val="24"/>
          <w:szCs w:val="24"/>
          <w:lang w:val="mk-MK"/>
        </w:rPr>
        <w:t>работењето</w:t>
      </w:r>
      <w:r>
        <w:rPr>
          <w:rFonts w:ascii="Times New Roman" w:hAnsi="Times New Roman"/>
          <w:sz w:val="24"/>
          <w:szCs w:val="24"/>
          <w:lang w:val="mk-MK"/>
        </w:rPr>
        <w:t xml:space="preserve"> </w:t>
      </w:r>
      <w:r w:rsidRPr="001C5B17">
        <w:rPr>
          <w:rFonts w:ascii="Times New Roman" w:hAnsi="Times New Roman"/>
          <w:sz w:val="24"/>
          <w:szCs w:val="24"/>
          <w:lang w:val="mk-MK"/>
        </w:rPr>
        <w:t>на</w:t>
      </w:r>
      <w:r>
        <w:rPr>
          <w:rFonts w:ascii="Times New Roman" w:hAnsi="Times New Roman"/>
          <w:sz w:val="24"/>
          <w:szCs w:val="24"/>
          <w:lang w:val="mk-MK"/>
        </w:rPr>
        <w:t xml:space="preserve"> Б</w:t>
      </w:r>
      <w:r w:rsidRPr="001C5B17">
        <w:rPr>
          <w:rFonts w:ascii="Times New Roman" w:hAnsi="Times New Roman"/>
          <w:sz w:val="24"/>
          <w:szCs w:val="24"/>
          <w:lang w:val="mk-MK"/>
        </w:rPr>
        <w:t>анката</w:t>
      </w:r>
      <w:r>
        <w:rPr>
          <w:rFonts w:ascii="Times New Roman" w:hAnsi="Times New Roman"/>
          <w:sz w:val="24"/>
          <w:szCs w:val="24"/>
          <w:lang w:val="mk-MK"/>
        </w:rPr>
        <w:t xml:space="preserve"> </w:t>
      </w:r>
      <w:r w:rsidRPr="001C5B17">
        <w:rPr>
          <w:rFonts w:ascii="Times New Roman" w:hAnsi="Times New Roman"/>
          <w:sz w:val="24"/>
          <w:szCs w:val="24"/>
          <w:lang w:val="mk-MK"/>
        </w:rPr>
        <w:t>со</w:t>
      </w:r>
      <w:r>
        <w:rPr>
          <w:rFonts w:ascii="Times New Roman" w:hAnsi="Times New Roman"/>
          <w:sz w:val="24"/>
          <w:szCs w:val="24"/>
          <w:lang w:val="mk-MK"/>
        </w:rPr>
        <w:t xml:space="preserve"> </w:t>
      </w:r>
      <w:r w:rsidRPr="001C5B17">
        <w:rPr>
          <w:rFonts w:ascii="Times New Roman" w:hAnsi="Times New Roman"/>
          <w:sz w:val="24"/>
          <w:szCs w:val="24"/>
          <w:lang w:val="mk-MK"/>
        </w:rPr>
        <w:t>прописите</w:t>
      </w:r>
      <w:r w:rsidRPr="00E5192E">
        <w:rPr>
          <w:rFonts w:ascii="Times New Roman" w:hAnsi="Times New Roman"/>
          <w:sz w:val="24"/>
          <w:szCs w:val="24"/>
          <w:lang w:val="mk-MK"/>
        </w:rPr>
        <w:t xml:space="preserve"> </w:t>
      </w:r>
      <w:r w:rsidRPr="001C5B17">
        <w:rPr>
          <w:rFonts w:ascii="Times New Roman" w:hAnsi="Times New Roman"/>
          <w:sz w:val="24"/>
          <w:szCs w:val="24"/>
          <w:lang w:val="mk-MK"/>
        </w:rPr>
        <w:t>спроведе</w:t>
      </w:r>
      <w:r>
        <w:rPr>
          <w:rFonts w:ascii="Times New Roman" w:hAnsi="Times New Roman"/>
          <w:sz w:val="24"/>
          <w:szCs w:val="24"/>
          <w:lang w:val="mk-MK"/>
        </w:rPr>
        <w:t xml:space="preserve"> голем број на </w:t>
      </w:r>
      <w:r w:rsidRPr="001C5B17">
        <w:rPr>
          <w:rFonts w:ascii="Times New Roman" w:hAnsi="Times New Roman"/>
          <w:sz w:val="24"/>
          <w:szCs w:val="24"/>
          <w:lang w:val="mk-MK"/>
        </w:rPr>
        <w:t>активности</w:t>
      </w:r>
      <w:r>
        <w:rPr>
          <w:rFonts w:ascii="Times New Roman" w:hAnsi="Times New Roman"/>
          <w:sz w:val="24"/>
          <w:szCs w:val="24"/>
          <w:lang w:val="mk-MK"/>
        </w:rPr>
        <w:t xml:space="preserve"> </w:t>
      </w:r>
      <w:r w:rsidRPr="001C5B17">
        <w:rPr>
          <w:rFonts w:ascii="Times New Roman" w:hAnsi="Times New Roman"/>
          <w:sz w:val="24"/>
          <w:szCs w:val="24"/>
          <w:lang w:val="mk-MK"/>
        </w:rPr>
        <w:t>за</w:t>
      </w:r>
      <w:r>
        <w:rPr>
          <w:rFonts w:ascii="Times New Roman" w:hAnsi="Times New Roman"/>
          <w:sz w:val="24"/>
          <w:szCs w:val="24"/>
          <w:lang w:val="mk-MK"/>
        </w:rPr>
        <w:t xml:space="preserve"> </w:t>
      </w:r>
      <w:r w:rsidRPr="00E5192E">
        <w:rPr>
          <w:rFonts w:ascii="Times New Roman" w:hAnsi="Times New Roman"/>
          <w:sz w:val="24"/>
          <w:szCs w:val="24"/>
          <w:lang w:val="mk-MK"/>
        </w:rPr>
        <w:t>следење на примената</w:t>
      </w:r>
      <w:r>
        <w:rPr>
          <w:rFonts w:ascii="Times New Roman" w:hAnsi="Times New Roman"/>
          <w:sz w:val="24"/>
          <w:szCs w:val="24"/>
          <w:lang w:val="mk-MK"/>
        </w:rPr>
        <w:t xml:space="preserve"> </w:t>
      </w:r>
      <w:r w:rsidRPr="001C5B17">
        <w:rPr>
          <w:rFonts w:ascii="Times New Roman" w:hAnsi="Times New Roman"/>
          <w:sz w:val="24"/>
          <w:szCs w:val="24"/>
          <w:lang w:val="mk-MK"/>
        </w:rPr>
        <w:t>на</w:t>
      </w:r>
      <w:r>
        <w:rPr>
          <w:rFonts w:ascii="Times New Roman" w:hAnsi="Times New Roman"/>
          <w:sz w:val="24"/>
          <w:szCs w:val="24"/>
          <w:lang w:val="mk-MK"/>
        </w:rPr>
        <w:t xml:space="preserve"> </w:t>
      </w:r>
      <w:r w:rsidRPr="001C5B17">
        <w:rPr>
          <w:rFonts w:ascii="Times New Roman" w:hAnsi="Times New Roman"/>
          <w:sz w:val="24"/>
          <w:szCs w:val="24"/>
          <w:lang w:val="mk-MK"/>
        </w:rPr>
        <w:t>сите</w:t>
      </w:r>
      <w:r>
        <w:rPr>
          <w:rFonts w:ascii="Times New Roman" w:hAnsi="Times New Roman"/>
          <w:sz w:val="24"/>
          <w:szCs w:val="24"/>
          <w:lang w:val="mk-MK"/>
        </w:rPr>
        <w:t xml:space="preserve"> </w:t>
      </w:r>
      <w:r w:rsidRPr="001C5B17">
        <w:rPr>
          <w:rFonts w:ascii="Times New Roman" w:hAnsi="Times New Roman"/>
          <w:sz w:val="24"/>
          <w:szCs w:val="24"/>
          <w:lang w:val="mk-MK"/>
        </w:rPr>
        <w:t>релевантни</w:t>
      </w:r>
      <w:r>
        <w:rPr>
          <w:rFonts w:ascii="Times New Roman" w:hAnsi="Times New Roman"/>
          <w:sz w:val="24"/>
          <w:szCs w:val="24"/>
          <w:lang w:val="mk-MK"/>
        </w:rPr>
        <w:t xml:space="preserve"> </w:t>
      </w:r>
      <w:r w:rsidRPr="001C5B17">
        <w:rPr>
          <w:rFonts w:ascii="Times New Roman" w:hAnsi="Times New Roman"/>
          <w:sz w:val="24"/>
          <w:szCs w:val="24"/>
          <w:lang w:val="mk-MK"/>
        </w:rPr>
        <w:t>новини</w:t>
      </w:r>
      <w:r>
        <w:rPr>
          <w:rFonts w:ascii="Times New Roman" w:hAnsi="Times New Roman"/>
          <w:sz w:val="24"/>
          <w:szCs w:val="24"/>
          <w:lang w:val="mk-MK"/>
        </w:rPr>
        <w:t xml:space="preserve"> </w:t>
      </w:r>
      <w:r w:rsidRPr="001C5B17">
        <w:rPr>
          <w:rFonts w:ascii="Times New Roman" w:hAnsi="Times New Roman"/>
          <w:sz w:val="24"/>
          <w:szCs w:val="24"/>
          <w:lang w:val="mk-MK"/>
        </w:rPr>
        <w:t>во</w:t>
      </w:r>
      <w:r>
        <w:rPr>
          <w:rFonts w:ascii="Times New Roman" w:hAnsi="Times New Roman"/>
          <w:sz w:val="24"/>
          <w:szCs w:val="24"/>
          <w:lang w:val="mk-MK"/>
        </w:rPr>
        <w:t xml:space="preserve"> </w:t>
      </w:r>
      <w:r w:rsidRPr="001C5B17">
        <w:rPr>
          <w:rFonts w:ascii="Times New Roman" w:hAnsi="Times New Roman"/>
          <w:sz w:val="24"/>
          <w:szCs w:val="24"/>
          <w:lang w:val="mk-MK"/>
        </w:rPr>
        <w:t>домашната и меѓународната</w:t>
      </w:r>
      <w:r>
        <w:rPr>
          <w:rFonts w:ascii="Times New Roman" w:hAnsi="Times New Roman"/>
          <w:sz w:val="24"/>
          <w:szCs w:val="24"/>
          <w:lang w:val="mk-MK"/>
        </w:rPr>
        <w:t xml:space="preserve"> </w:t>
      </w:r>
      <w:r w:rsidRPr="001C5B17">
        <w:rPr>
          <w:rFonts w:ascii="Times New Roman" w:hAnsi="Times New Roman"/>
          <w:sz w:val="24"/>
          <w:szCs w:val="24"/>
          <w:lang w:val="mk-MK"/>
        </w:rPr>
        <w:t>регулатива</w:t>
      </w:r>
      <w:r>
        <w:rPr>
          <w:rFonts w:ascii="Times New Roman" w:hAnsi="Times New Roman"/>
          <w:sz w:val="24"/>
          <w:szCs w:val="24"/>
          <w:lang w:val="mk-MK"/>
        </w:rPr>
        <w:t xml:space="preserve"> </w:t>
      </w:r>
      <w:r w:rsidRPr="001C5B17">
        <w:rPr>
          <w:rFonts w:ascii="Times New Roman" w:hAnsi="Times New Roman"/>
          <w:sz w:val="24"/>
          <w:szCs w:val="24"/>
          <w:lang w:val="mk-MK"/>
        </w:rPr>
        <w:t>поврзани</w:t>
      </w:r>
      <w:r>
        <w:rPr>
          <w:rFonts w:ascii="Times New Roman" w:hAnsi="Times New Roman"/>
          <w:sz w:val="24"/>
          <w:szCs w:val="24"/>
          <w:lang w:val="mk-MK"/>
        </w:rPr>
        <w:t xml:space="preserve"> </w:t>
      </w:r>
      <w:r w:rsidRPr="001C5B17">
        <w:rPr>
          <w:rFonts w:ascii="Times New Roman" w:hAnsi="Times New Roman"/>
          <w:sz w:val="24"/>
          <w:szCs w:val="24"/>
          <w:lang w:val="mk-MK"/>
        </w:rPr>
        <w:t>со</w:t>
      </w:r>
      <w:r>
        <w:rPr>
          <w:rFonts w:ascii="Times New Roman" w:hAnsi="Times New Roman"/>
          <w:sz w:val="24"/>
          <w:szCs w:val="24"/>
          <w:lang w:val="mk-MK"/>
        </w:rPr>
        <w:t xml:space="preserve"> </w:t>
      </w:r>
      <w:r w:rsidRPr="001C5B17">
        <w:rPr>
          <w:rFonts w:ascii="Times New Roman" w:hAnsi="Times New Roman"/>
          <w:sz w:val="24"/>
          <w:szCs w:val="24"/>
          <w:lang w:val="mk-MK"/>
        </w:rPr>
        <w:t>банкарското</w:t>
      </w:r>
      <w:r>
        <w:rPr>
          <w:rFonts w:ascii="Times New Roman" w:hAnsi="Times New Roman"/>
          <w:sz w:val="24"/>
          <w:szCs w:val="24"/>
          <w:lang w:val="mk-MK"/>
        </w:rPr>
        <w:t xml:space="preserve"> </w:t>
      </w:r>
      <w:r w:rsidRPr="001C5B17">
        <w:rPr>
          <w:rFonts w:ascii="Times New Roman" w:hAnsi="Times New Roman"/>
          <w:sz w:val="24"/>
          <w:szCs w:val="24"/>
          <w:lang w:val="mk-MK"/>
        </w:rPr>
        <w:t>работење</w:t>
      </w:r>
      <w:r>
        <w:rPr>
          <w:rFonts w:ascii="Times New Roman" w:hAnsi="Times New Roman"/>
          <w:sz w:val="24"/>
          <w:szCs w:val="24"/>
          <w:lang w:val="mk-MK"/>
        </w:rPr>
        <w:t xml:space="preserve"> </w:t>
      </w:r>
      <w:r w:rsidRPr="00E5192E">
        <w:rPr>
          <w:rFonts w:ascii="Times New Roman" w:hAnsi="Times New Roman"/>
          <w:sz w:val="24"/>
          <w:szCs w:val="24"/>
          <w:lang w:val="mk-MK"/>
        </w:rPr>
        <w:t xml:space="preserve">преку </w:t>
      </w:r>
      <w:r w:rsidRPr="001C5B17">
        <w:rPr>
          <w:rFonts w:ascii="Times New Roman" w:hAnsi="Times New Roman"/>
          <w:sz w:val="24"/>
          <w:szCs w:val="24"/>
          <w:lang w:val="mk-MK"/>
        </w:rPr>
        <w:t>постојана</w:t>
      </w:r>
      <w:r>
        <w:rPr>
          <w:rFonts w:ascii="Times New Roman" w:hAnsi="Times New Roman"/>
          <w:sz w:val="24"/>
          <w:szCs w:val="24"/>
          <w:lang w:val="mk-MK"/>
        </w:rPr>
        <w:t xml:space="preserve"> </w:t>
      </w:r>
      <w:r w:rsidRPr="001C5B17">
        <w:rPr>
          <w:rFonts w:ascii="Times New Roman" w:hAnsi="Times New Roman"/>
          <w:sz w:val="24"/>
          <w:szCs w:val="24"/>
          <w:lang w:val="mk-MK"/>
        </w:rPr>
        <w:t>имплементација</w:t>
      </w:r>
      <w:r>
        <w:rPr>
          <w:rFonts w:ascii="Times New Roman" w:hAnsi="Times New Roman"/>
          <w:sz w:val="24"/>
          <w:szCs w:val="24"/>
          <w:lang w:val="mk-MK"/>
        </w:rPr>
        <w:t xml:space="preserve"> </w:t>
      </w:r>
      <w:r w:rsidRPr="001C5B17">
        <w:rPr>
          <w:rFonts w:ascii="Times New Roman" w:hAnsi="Times New Roman"/>
          <w:sz w:val="24"/>
          <w:szCs w:val="24"/>
          <w:lang w:val="mk-MK"/>
        </w:rPr>
        <w:t>на</w:t>
      </w:r>
      <w:r>
        <w:rPr>
          <w:rFonts w:ascii="Times New Roman" w:hAnsi="Times New Roman"/>
          <w:sz w:val="24"/>
          <w:szCs w:val="24"/>
          <w:lang w:val="mk-MK"/>
        </w:rPr>
        <w:t xml:space="preserve"> </w:t>
      </w:r>
      <w:r w:rsidRPr="001C5B17">
        <w:rPr>
          <w:rFonts w:ascii="Times New Roman" w:hAnsi="Times New Roman"/>
          <w:sz w:val="24"/>
          <w:szCs w:val="24"/>
          <w:lang w:val="mk-MK"/>
        </w:rPr>
        <w:t>ефикасен</w:t>
      </w:r>
      <w:r>
        <w:rPr>
          <w:rFonts w:ascii="Times New Roman" w:hAnsi="Times New Roman"/>
          <w:sz w:val="24"/>
          <w:szCs w:val="24"/>
          <w:lang w:val="mk-MK"/>
        </w:rPr>
        <w:t xml:space="preserve"> </w:t>
      </w:r>
      <w:r w:rsidRPr="001C5B17">
        <w:rPr>
          <w:rFonts w:ascii="Times New Roman" w:hAnsi="Times New Roman"/>
          <w:sz w:val="24"/>
          <w:szCs w:val="24"/>
          <w:lang w:val="mk-MK"/>
        </w:rPr>
        <w:t>систем</w:t>
      </w:r>
      <w:r>
        <w:rPr>
          <w:rFonts w:ascii="Times New Roman" w:hAnsi="Times New Roman"/>
          <w:sz w:val="24"/>
          <w:szCs w:val="24"/>
          <w:lang w:val="mk-MK"/>
        </w:rPr>
        <w:t xml:space="preserve"> </w:t>
      </w:r>
      <w:r w:rsidRPr="001C5B17">
        <w:rPr>
          <w:rFonts w:ascii="Times New Roman" w:hAnsi="Times New Roman"/>
          <w:sz w:val="24"/>
          <w:szCs w:val="24"/>
          <w:lang w:val="mk-MK"/>
        </w:rPr>
        <w:t>за</w:t>
      </w:r>
      <w:r>
        <w:rPr>
          <w:rFonts w:ascii="Times New Roman" w:hAnsi="Times New Roman"/>
          <w:sz w:val="24"/>
          <w:szCs w:val="24"/>
          <w:lang w:val="mk-MK"/>
        </w:rPr>
        <w:t xml:space="preserve"> </w:t>
      </w:r>
      <w:r w:rsidRPr="001C5B17">
        <w:rPr>
          <w:rFonts w:ascii="Times New Roman" w:hAnsi="Times New Roman"/>
          <w:sz w:val="24"/>
          <w:szCs w:val="24"/>
          <w:lang w:val="mk-MK"/>
        </w:rPr>
        <w:t>контрола</w:t>
      </w:r>
      <w:r>
        <w:rPr>
          <w:rFonts w:ascii="Times New Roman" w:hAnsi="Times New Roman"/>
          <w:sz w:val="24"/>
          <w:szCs w:val="24"/>
          <w:lang w:val="mk-MK"/>
        </w:rPr>
        <w:t xml:space="preserve"> </w:t>
      </w:r>
      <w:r w:rsidRPr="001C5B17">
        <w:rPr>
          <w:rFonts w:ascii="Times New Roman" w:hAnsi="Times New Roman"/>
          <w:sz w:val="24"/>
          <w:szCs w:val="24"/>
          <w:lang w:val="mk-MK"/>
        </w:rPr>
        <w:t>на</w:t>
      </w:r>
      <w:r>
        <w:rPr>
          <w:rFonts w:ascii="Times New Roman" w:hAnsi="Times New Roman"/>
          <w:sz w:val="24"/>
          <w:szCs w:val="24"/>
          <w:lang w:val="mk-MK"/>
        </w:rPr>
        <w:t xml:space="preserve"> </w:t>
      </w:r>
      <w:r w:rsidRPr="001C5B17">
        <w:rPr>
          <w:rFonts w:ascii="Times New Roman" w:hAnsi="Times New Roman"/>
          <w:sz w:val="24"/>
          <w:szCs w:val="24"/>
          <w:lang w:val="mk-MK"/>
        </w:rPr>
        <w:t>активностите</w:t>
      </w:r>
      <w:r>
        <w:rPr>
          <w:rFonts w:ascii="Times New Roman" w:hAnsi="Times New Roman"/>
          <w:sz w:val="24"/>
          <w:szCs w:val="24"/>
          <w:lang w:val="mk-MK"/>
        </w:rPr>
        <w:t xml:space="preserve"> </w:t>
      </w:r>
      <w:r w:rsidRPr="001C5B17">
        <w:rPr>
          <w:rFonts w:ascii="Times New Roman" w:hAnsi="Times New Roman"/>
          <w:sz w:val="24"/>
          <w:szCs w:val="24"/>
          <w:lang w:val="mk-MK"/>
        </w:rPr>
        <w:t>на СБ во</w:t>
      </w:r>
      <w:r>
        <w:rPr>
          <w:rFonts w:ascii="Times New Roman" w:hAnsi="Times New Roman"/>
          <w:sz w:val="24"/>
          <w:szCs w:val="24"/>
          <w:lang w:val="mk-MK"/>
        </w:rPr>
        <w:t xml:space="preserve"> </w:t>
      </w:r>
      <w:r w:rsidRPr="001C5B17">
        <w:rPr>
          <w:rFonts w:ascii="Times New Roman" w:hAnsi="Times New Roman"/>
          <w:sz w:val="24"/>
          <w:szCs w:val="24"/>
          <w:lang w:val="mk-MK"/>
        </w:rPr>
        <w:t>согласност</w:t>
      </w:r>
      <w:r>
        <w:rPr>
          <w:rFonts w:ascii="Times New Roman" w:hAnsi="Times New Roman"/>
          <w:sz w:val="24"/>
          <w:szCs w:val="24"/>
          <w:lang w:val="mk-MK"/>
        </w:rPr>
        <w:t xml:space="preserve"> </w:t>
      </w:r>
      <w:r w:rsidRPr="001C5B17">
        <w:rPr>
          <w:rFonts w:ascii="Times New Roman" w:hAnsi="Times New Roman"/>
          <w:sz w:val="24"/>
          <w:szCs w:val="24"/>
          <w:lang w:val="mk-MK"/>
        </w:rPr>
        <w:t>со</w:t>
      </w:r>
      <w:r>
        <w:rPr>
          <w:rFonts w:ascii="Times New Roman" w:hAnsi="Times New Roman"/>
          <w:sz w:val="24"/>
          <w:szCs w:val="24"/>
          <w:lang w:val="mk-MK"/>
        </w:rPr>
        <w:t xml:space="preserve"> </w:t>
      </w:r>
      <w:r w:rsidRPr="001C5B17">
        <w:rPr>
          <w:rFonts w:ascii="Times New Roman" w:hAnsi="Times New Roman"/>
          <w:sz w:val="24"/>
          <w:szCs w:val="24"/>
          <w:lang w:val="mk-MK"/>
        </w:rPr>
        <w:t>важечк</w:t>
      </w:r>
      <w:r w:rsidRPr="00E5192E">
        <w:rPr>
          <w:rFonts w:ascii="Times New Roman" w:hAnsi="Times New Roman"/>
          <w:sz w:val="24"/>
          <w:szCs w:val="24"/>
          <w:lang w:val="mk-MK"/>
        </w:rPr>
        <w:t xml:space="preserve">ите </w:t>
      </w:r>
      <w:r w:rsidRPr="001C5B17">
        <w:rPr>
          <w:rFonts w:ascii="Times New Roman" w:hAnsi="Times New Roman"/>
          <w:sz w:val="24"/>
          <w:szCs w:val="24"/>
          <w:lang w:val="mk-MK"/>
        </w:rPr>
        <w:t>домашн</w:t>
      </w:r>
      <w:r w:rsidRPr="00E5192E">
        <w:rPr>
          <w:rFonts w:ascii="Times New Roman" w:hAnsi="Times New Roman"/>
          <w:sz w:val="24"/>
          <w:szCs w:val="24"/>
          <w:lang w:val="mk-MK"/>
        </w:rPr>
        <w:t xml:space="preserve">и и </w:t>
      </w:r>
      <w:r w:rsidRPr="001C5B17">
        <w:rPr>
          <w:rFonts w:ascii="Times New Roman" w:hAnsi="Times New Roman"/>
          <w:sz w:val="24"/>
          <w:szCs w:val="24"/>
          <w:lang w:val="mk-MK"/>
        </w:rPr>
        <w:t>меѓународн</w:t>
      </w:r>
      <w:r w:rsidRPr="00E5192E">
        <w:rPr>
          <w:rFonts w:ascii="Times New Roman" w:hAnsi="Times New Roman"/>
          <w:sz w:val="24"/>
          <w:szCs w:val="24"/>
          <w:lang w:val="mk-MK"/>
        </w:rPr>
        <w:t>и прописи</w:t>
      </w:r>
      <w:r w:rsidRPr="001C5B17">
        <w:rPr>
          <w:rFonts w:ascii="Times New Roman" w:hAnsi="Times New Roman"/>
          <w:sz w:val="24"/>
          <w:szCs w:val="24"/>
          <w:lang w:val="mk-MK"/>
        </w:rPr>
        <w:t>.</w:t>
      </w:r>
      <w:r w:rsidRPr="00E5192E">
        <w:rPr>
          <w:rFonts w:ascii="Times New Roman" w:hAnsi="Times New Roman"/>
          <w:sz w:val="24"/>
          <w:szCs w:val="24"/>
          <w:lang w:val="mk-MK"/>
        </w:rPr>
        <w:t xml:space="preserve"> Овие активности вклучуваа</w:t>
      </w:r>
      <w:r w:rsidRPr="00E5192E">
        <w:rPr>
          <w:rFonts w:ascii="Times New Roman" w:hAnsi="Times New Roman"/>
          <w:sz w:val="24"/>
          <w:szCs w:val="24"/>
        </w:rPr>
        <w:t>:</w:t>
      </w:r>
    </w:p>
    <w:p w14:paraId="34FC3C0B" w14:textId="77777777" w:rsidR="003D3DA3" w:rsidRPr="001C5B17" w:rsidRDefault="003D3DA3" w:rsidP="007637D1">
      <w:pPr>
        <w:numPr>
          <w:ilvl w:val="0"/>
          <w:numId w:val="31"/>
        </w:numPr>
        <w:autoSpaceDE w:val="0"/>
        <w:autoSpaceDN w:val="0"/>
        <w:spacing w:before="120" w:after="120"/>
        <w:jc w:val="both"/>
        <w:rPr>
          <w:rFonts w:ascii="Times New Roman" w:eastAsia="Times New Roman" w:hAnsi="Times New Roman"/>
          <w:sz w:val="24"/>
          <w:szCs w:val="24"/>
          <w:lang w:val="mk-MK"/>
        </w:rPr>
      </w:pPr>
      <w:r w:rsidRPr="001C5B17">
        <w:rPr>
          <w:rFonts w:ascii="Times New Roman" w:eastAsia="Times New Roman" w:hAnsi="Times New Roman"/>
          <w:sz w:val="24"/>
          <w:szCs w:val="24"/>
          <w:lang w:val="mk-MK"/>
        </w:rPr>
        <w:t>Воспоставување</w:t>
      </w:r>
      <w:r>
        <w:rPr>
          <w:rFonts w:ascii="Times New Roman" w:eastAsia="Times New Roman" w:hAnsi="Times New Roman"/>
          <w:sz w:val="24"/>
          <w:szCs w:val="24"/>
          <w:lang w:val="mk-MK"/>
        </w:rPr>
        <w:t xml:space="preserve"> </w:t>
      </w:r>
      <w:r w:rsidRPr="001C5B17">
        <w:rPr>
          <w:rFonts w:ascii="Times New Roman" w:eastAsia="Times New Roman" w:hAnsi="Times New Roman"/>
          <w:sz w:val="24"/>
          <w:szCs w:val="24"/>
          <w:lang w:val="mk-MK"/>
        </w:rPr>
        <w:t>на</w:t>
      </w:r>
      <w:r>
        <w:rPr>
          <w:rFonts w:ascii="Times New Roman" w:eastAsia="Times New Roman" w:hAnsi="Times New Roman"/>
          <w:sz w:val="24"/>
          <w:szCs w:val="24"/>
          <w:lang w:val="mk-MK"/>
        </w:rPr>
        <w:t xml:space="preserve"> </w:t>
      </w:r>
      <w:r w:rsidRPr="001C5B17">
        <w:rPr>
          <w:rFonts w:ascii="Times New Roman" w:eastAsia="Times New Roman" w:hAnsi="Times New Roman"/>
          <w:sz w:val="24"/>
          <w:szCs w:val="24"/>
          <w:lang w:val="mk-MK"/>
        </w:rPr>
        <w:t>ефикасни</w:t>
      </w:r>
      <w:r>
        <w:rPr>
          <w:rFonts w:ascii="Times New Roman" w:eastAsia="Times New Roman" w:hAnsi="Times New Roman"/>
          <w:sz w:val="24"/>
          <w:szCs w:val="24"/>
          <w:lang w:val="mk-MK"/>
        </w:rPr>
        <w:t xml:space="preserve"> </w:t>
      </w:r>
      <w:r w:rsidRPr="001C5B17">
        <w:rPr>
          <w:rFonts w:ascii="Times New Roman" w:eastAsia="Times New Roman" w:hAnsi="Times New Roman"/>
          <w:sz w:val="24"/>
          <w:szCs w:val="24"/>
          <w:lang w:val="mk-MK"/>
        </w:rPr>
        <w:t>интерни</w:t>
      </w:r>
      <w:r>
        <w:rPr>
          <w:rFonts w:ascii="Times New Roman" w:eastAsia="Times New Roman" w:hAnsi="Times New Roman"/>
          <w:sz w:val="24"/>
          <w:szCs w:val="24"/>
          <w:lang w:val="mk-MK"/>
        </w:rPr>
        <w:t xml:space="preserve"> </w:t>
      </w:r>
      <w:r w:rsidRPr="001C5B17">
        <w:rPr>
          <w:rFonts w:ascii="Times New Roman" w:eastAsia="Times New Roman" w:hAnsi="Times New Roman"/>
          <w:sz w:val="24"/>
          <w:szCs w:val="24"/>
          <w:lang w:val="mk-MK"/>
        </w:rPr>
        <w:t>процедури и организаци</w:t>
      </w:r>
      <w:r w:rsidR="009335F3">
        <w:rPr>
          <w:rFonts w:ascii="Times New Roman" w:eastAsia="Times New Roman" w:hAnsi="Times New Roman"/>
          <w:sz w:val="24"/>
          <w:szCs w:val="24"/>
          <w:lang w:val="mk-MK"/>
        </w:rPr>
        <w:t>ск</w:t>
      </w:r>
      <w:r w:rsidRPr="001C5B17">
        <w:rPr>
          <w:rFonts w:ascii="Times New Roman" w:eastAsia="Times New Roman" w:hAnsi="Times New Roman"/>
          <w:sz w:val="24"/>
          <w:szCs w:val="24"/>
          <w:lang w:val="mk-MK"/>
        </w:rPr>
        <w:t>и</w:t>
      </w:r>
      <w:r>
        <w:rPr>
          <w:rFonts w:ascii="Times New Roman" w:eastAsia="Times New Roman" w:hAnsi="Times New Roman"/>
          <w:sz w:val="24"/>
          <w:szCs w:val="24"/>
          <w:lang w:val="mk-MK"/>
        </w:rPr>
        <w:t xml:space="preserve"> </w:t>
      </w:r>
      <w:r w:rsidRPr="001C5B17">
        <w:rPr>
          <w:rFonts w:ascii="Times New Roman" w:eastAsia="Times New Roman" w:hAnsi="Times New Roman"/>
          <w:sz w:val="24"/>
          <w:szCs w:val="24"/>
          <w:lang w:val="mk-MK"/>
        </w:rPr>
        <w:t>структури</w:t>
      </w:r>
      <w:r>
        <w:rPr>
          <w:rFonts w:ascii="Times New Roman" w:eastAsia="Times New Roman" w:hAnsi="Times New Roman"/>
          <w:sz w:val="24"/>
          <w:szCs w:val="24"/>
          <w:lang w:val="mk-MK"/>
        </w:rPr>
        <w:t xml:space="preserve"> </w:t>
      </w:r>
      <w:r w:rsidRPr="001C5B17">
        <w:rPr>
          <w:rFonts w:ascii="Times New Roman" w:eastAsia="Times New Roman" w:hAnsi="Times New Roman"/>
          <w:sz w:val="24"/>
          <w:szCs w:val="24"/>
          <w:lang w:val="mk-MK"/>
        </w:rPr>
        <w:t>за</w:t>
      </w:r>
      <w:r>
        <w:rPr>
          <w:rFonts w:ascii="Times New Roman" w:eastAsia="Times New Roman" w:hAnsi="Times New Roman"/>
          <w:sz w:val="24"/>
          <w:szCs w:val="24"/>
          <w:lang w:val="mk-MK"/>
        </w:rPr>
        <w:t xml:space="preserve"> </w:t>
      </w:r>
      <w:r w:rsidRPr="001C5B17">
        <w:rPr>
          <w:rFonts w:ascii="Times New Roman" w:eastAsia="Times New Roman" w:hAnsi="Times New Roman"/>
          <w:sz w:val="24"/>
          <w:szCs w:val="24"/>
          <w:lang w:val="mk-MK"/>
        </w:rPr>
        <w:t xml:space="preserve">идентификување, </w:t>
      </w:r>
      <w:r w:rsidRPr="00E5192E">
        <w:rPr>
          <w:rFonts w:ascii="Times New Roman" w:eastAsia="Times New Roman" w:hAnsi="Times New Roman"/>
          <w:sz w:val="24"/>
          <w:szCs w:val="24"/>
          <w:lang w:val="mk-MK"/>
        </w:rPr>
        <w:t xml:space="preserve">следење </w:t>
      </w:r>
      <w:r w:rsidRPr="001C5B17">
        <w:rPr>
          <w:rFonts w:ascii="Times New Roman" w:eastAsia="Times New Roman" w:hAnsi="Times New Roman"/>
          <w:sz w:val="24"/>
          <w:szCs w:val="24"/>
          <w:lang w:val="mk-MK"/>
        </w:rPr>
        <w:t>и управување</w:t>
      </w:r>
      <w:r>
        <w:rPr>
          <w:rFonts w:ascii="Times New Roman" w:eastAsia="Times New Roman" w:hAnsi="Times New Roman"/>
          <w:sz w:val="24"/>
          <w:szCs w:val="24"/>
          <w:lang w:val="mk-MK"/>
        </w:rPr>
        <w:t xml:space="preserve"> </w:t>
      </w:r>
      <w:r w:rsidRPr="001C5B17">
        <w:rPr>
          <w:rFonts w:ascii="Times New Roman" w:eastAsia="Times New Roman" w:hAnsi="Times New Roman"/>
          <w:sz w:val="24"/>
          <w:szCs w:val="24"/>
          <w:lang w:val="mk-MK"/>
        </w:rPr>
        <w:t>со</w:t>
      </w:r>
      <w:r>
        <w:rPr>
          <w:rFonts w:ascii="Times New Roman" w:eastAsia="Times New Roman" w:hAnsi="Times New Roman"/>
          <w:sz w:val="24"/>
          <w:szCs w:val="24"/>
          <w:lang w:val="mk-MK"/>
        </w:rPr>
        <w:t xml:space="preserve"> </w:t>
      </w:r>
      <w:r w:rsidRPr="001C5B17">
        <w:rPr>
          <w:rFonts w:ascii="Times New Roman" w:eastAsia="Times New Roman" w:hAnsi="Times New Roman"/>
          <w:sz w:val="24"/>
          <w:szCs w:val="24"/>
          <w:lang w:val="mk-MK"/>
        </w:rPr>
        <w:t>можните</w:t>
      </w:r>
      <w:r>
        <w:rPr>
          <w:rFonts w:ascii="Times New Roman" w:eastAsia="Times New Roman" w:hAnsi="Times New Roman"/>
          <w:sz w:val="24"/>
          <w:szCs w:val="24"/>
          <w:lang w:val="mk-MK"/>
        </w:rPr>
        <w:t xml:space="preserve"> </w:t>
      </w:r>
      <w:r w:rsidRPr="001C5B17">
        <w:rPr>
          <w:rFonts w:ascii="Times New Roman" w:eastAsia="Times New Roman" w:hAnsi="Times New Roman"/>
          <w:sz w:val="24"/>
          <w:szCs w:val="24"/>
          <w:lang w:val="mk-MK"/>
        </w:rPr>
        <w:t>ризици</w:t>
      </w:r>
      <w:r>
        <w:rPr>
          <w:rFonts w:ascii="Times New Roman" w:eastAsia="Times New Roman" w:hAnsi="Times New Roman"/>
          <w:sz w:val="24"/>
          <w:szCs w:val="24"/>
          <w:lang w:val="mk-MK"/>
        </w:rPr>
        <w:t xml:space="preserve"> </w:t>
      </w:r>
      <w:r w:rsidRPr="001C5B17">
        <w:rPr>
          <w:rFonts w:ascii="Times New Roman" w:eastAsia="Times New Roman" w:hAnsi="Times New Roman"/>
          <w:sz w:val="24"/>
          <w:szCs w:val="24"/>
          <w:lang w:val="mk-MK"/>
        </w:rPr>
        <w:t>поврзани</w:t>
      </w:r>
      <w:r>
        <w:rPr>
          <w:rFonts w:ascii="Times New Roman" w:eastAsia="Times New Roman" w:hAnsi="Times New Roman"/>
          <w:sz w:val="24"/>
          <w:szCs w:val="24"/>
          <w:lang w:val="mk-MK"/>
        </w:rPr>
        <w:t xml:space="preserve"> </w:t>
      </w:r>
      <w:r w:rsidRPr="001C5B17">
        <w:rPr>
          <w:rFonts w:ascii="Times New Roman" w:eastAsia="Times New Roman" w:hAnsi="Times New Roman"/>
          <w:sz w:val="24"/>
          <w:szCs w:val="24"/>
          <w:lang w:val="mk-MK"/>
        </w:rPr>
        <w:t>со</w:t>
      </w:r>
      <w:r>
        <w:rPr>
          <w:rFonts w:ascii="Times New Roman" w:eastAsia="Times New Roman" w:hAnsi="Times New Roman"/>
          <w:sz w:val="24"/>
          <w:szCs w:val="24"/>
          <w:lang w:val="mk-MK"/>
        </w:rPr>
        <w:t xml:space="preserve"> </w:t>
      </w:r>
      <w:r w:rsidRPr="001C5B17">
        <w:rPr>
          <w:rFonts w:ascii="Times New Roman" w:eastAsia="Times New Roman" w:hAnsi="Times New Roman"/>
          <w:sz w:val="24"/>
          <w:szCs w:val="24"/>
          <w:lang w:val="mk-MK"/>
        </w:rPr>
        <w:t>усогласеноста</w:t>
      </w:r>
      <w:r>
        <w:rPr>
          <w:rFonts w:ascii="Times New Roman" w:eastAsia="Times New Roman" w:hAnsi="Times New Roman"/>
          <w:sz w:val="24"/>
          <w:szCs w:val="24"/>
          <w:lang w:val="mk-MK"/>
        </w:rPr>
        <w:t xml:space="preserve"> </w:t>
      </w:r>
      <w:r w:rsidRPr="001C5B17">
        <w:rPr>
          <w:rFonts w:ascii="Times New Roman" w:eastAsia="Times New Roman" w:hAnsi="Times New Roman"/>
          <w:sz w:val="24"/>
          <w:szCs w:val="24"/>
          <w:lang w:val="mk-MK"/>
        </w:rPr>
        <w:t>на СБ со</w:t>
      </w:r>
      <w:r>
        <w:rPr>
          <w:rFonts w:ascii="Times New Roman" w:eastAsia="Times New Roman" w:hAnsi="Times New Roman"/>
          <w:sz w:val="24"/>
          <w:szCs w:val="24"/>
          <w:lang w:val="mk-MK"/>
        </w:rPr>
        <w:t xml:space="preserve"> </w:t>
      </w:r>
      <w:r w:rsidRPr="001C5B17">
        <w:rPr>
          <w:rFonts w:ascii="Times New Roman" w:eastAsia="Times New Roman" w:hAnsi="Times New Roman"/>
          <w:sz w:val="24"/>
          <w:szCs w:val="24"/>
          <w:lang w:val="mk-MK"/>
        </w:rPr>
        <w:t>важечките</w:t>
      </w:r>
      <w:r>
        <w:rPr>
          <w:rFonts w:ascii="Times New Roman" w:eastAsia="Times New Roman" w:hAnsi="Times New Roman"/>
          <w:sz w:val="24"/>
          <w:szCs w:val="24"/>
          <w:lang w:val="mk-MK"/>
        </w:rPr>
        <w:t xml:space="preserve"> </w:t>
      </w:r>
      <w:r w:rsidRPr="001C5B17">
        <w:rPr>
          <w:rFonts w:ascii="Times New Roman" w:eastAsia="Times New Roman" w:hAnsi="Times New Roman"/>
          <w:sz w:val="24"/>
          <w:szCs w:val="24"/>
          <w:lang w:val="mk-MK"/>
        </w:rPr>
        <w:t xml:space="preserve">прописи; </w:t>
      </w:r>
    </w:p>
    <w:p w14:paraId="4B98380E" w14:textId="77777777" w:rsidR="003D3DA3" w:rsidRPr="001C5B17" w:rsidRDefault="003D3DA3" w:rsidP="007637D1">
      <w:pPr>
        <w:numPr>
          <w:ilvl w:val="0"/>
          <w:numId w:val="31"/>
        </w:numPr>
        <w:autoSpaceDE w:val="0"/>
        <w:autoSpaceDN w:val="0"/>
        <w:spacing w:before="120" w:after="120"/>
        <w:jc w:val="both"/>
        <w:rPr>
          <w:rFonts w:ascii="Times New Roman" w:eastAsia="Times New Roman" w:hAnsi="Times New Roman"/>
          <w:sz w:val="24"/>
          <w:szCs w:val="24"/>
          <w:lang w:val="mk-MK"/>
        </w:rPr>
      </w:pPr>
      <w:r w:rsidRPr="001C5B17">
        <w:rPr>
          <w:rFonts w:ascii="Times New Roman" w:eastAsia="Times New Roman" w:hAnsi="Times New Roman"/>
          <w:sz w:val="24"/>
          <w:szCs w:val="24"/>
          <w:lang w:val="mk-MK"/>
        </w:rPr>
        <w:t>Континуирана</w:t>
      </w:r>
      <w:r>
        <w:rPr>
          <w:rFonts w:ascii="Times New Roman" w:eastAsia="Times New Roman" w:hAnsi="Times New Roman"/>
          <w:sz w:val="24"/>
          <w:szCs w:val="24"/>
          <w:lang w:val="mk-MK"/>
        </w:rPr>
        <w:t xml:space="preserve"> </w:t>
      </w:r>
      <w:r w:rsidRPr="001C5B17">
        <w:rPr>
          <w:rFonts w:ascii="Times New Roman" w:eastAsia="Times New Roman" w:hAnsi="Times New Roman"/>
          <w:sz w:val="24"/>
          <w:szCs w:val="24"/>
          <w:lang w:val="mk-MK"/>
        </w:rPr>
        <w:t>обука</w:t>
      </w:r>
      <w:r>
        <w:rPr>
          <w:rFonts w:ascii="Times New Roman" w:eastAsia="Times New Roman" w:hAnsi="Times New Roman"/>
          <w:sz w:val="24"/>
          <w:szCs w:val="24"/>
          <w:lang w:val="mk-MK"/>
        </w:rPr>
        <w:t xml:space="preserve"> </w:t>
      </w:r>
      <w:r w:rsidRPr="001C5B17">
        <w:rPr>
          <w:rFonts w:ascii="Times New Roman" w:eastAsia="Times New Roman" w:hAnsi="Times New Roman"/>
          <w:sz w:val="24"/>
          <w:szCs w:val="24"/>
          <w:lang w:val="mk-MK"/>
        </w:rPr>
        <w:t>на</w:t>
      </w:r>
      <w:r>
        <w:rPr>
          <w:rFonts w:ascii="Times New Roman" w:eastAsia="Times New Roman" w:hAnsi="Times New Roman"/>
          <w:sz w:val="24"/>
          <w:szCs w:val="24"/>
          <w:lang w:val="mk-MK"/>
        </w:rPr>
        <w:t xml:space="preserve"> </w:t>
      </w:r>
      <w:r w:rsidRPr="001C5B17">
        <w:rPr>
          <w:rFonts w:ascii="Times New Roman" w:eastAsia="Times New Roman" w:hAnsi="Times New Roman"/>
          <w:sz w:val="24"/>
          <w:szCs w:val="24"/>
          <w:lang w:val="mk-MK"/>
        </w:rPr>
        <w:t>вработените</w:t>
      </w:r>
      <w:r>
        <w:rPr>
          <w:rFonts w:ascii="Times New Roman" w:eastAsia="Times New Roman" w:hAnsi="Times New Roman"/>
          <w:sz w:val="24"/>
          <w:szCs w:val="24"/>
          <w:lang w:val="mk-MK"/>
        </w:rPr>
        <w:t xml:space="preserve"> </w:t>
      </w:r>
      <w:r w:rsidRPr="001C5B17">
        <w:rPr>
          <w:rFonts w:ascii="Times New Roman" w:eastAsia="Times New Roman" w:hAnsi="Times New Roman"/>
          <w:sz w:val="24"/>
          <w:szCs w:val="24"/>
          <w:lang w:val="mk-MK"/>
        </w:rPr>
        <w:t>на</w:t>
      </w:r>
      <w:r>
        <w:rPr>
          <w:rFonts w:ascii="Times New Roman" w:eastAsia="Times New Roman" w:hAnsi="Times New Roman"/>
          <w:sz w:val="24"/>
          <w:szCs w:val="24"/>
          <w:lang w:val="mk-MK"/>
        </w:rPr>
        <w:t xml:space="preserve"> Б</w:t>
      </w:r>
      <w:r w:rsidRPr="001C5B17">
        <w:rPr>
          <w:rFonts w:ascii="Times New Roman" w:eastAsia="Times New Roman" w:hAnsi="Times New Roman"/>
          <w:sz w:val="24"/>
          <w:szCs w:val="24"/>
          <w:lang w:val="mk-MK"/>
        </w:rPr>
        <w:t xml:space="preserve">анката; </w:t>
      </w:r>
    </w:p>
    <w:p w14:paraId="29AB448F" w14:textId="77777777" w:rsidR="003D3DA3" w:rsidRPr="001C5B17" w:rsidRDefault="00C337E4" w:rsidP="007637D1">
      <w:pPr>
        <w:numPr>
          <w:ilvl w:val="0"/>
          <w:numId w:val="31"/>
        </w:numPr>
        <w:autoSpaceDE w:val="0"/>
        <w:autoSpaceDN w:val="0"/>
        <w:spacing w:before="120" w:after="120"/>
        <w:jc w:val="both"/>
        <w:rPr>
          <w:rFonts w:ascii="Times New Roman" w:eastAsia="Times New Roman" w:hAnsi="Times New Roman"/>
          <w:sz w:val="24"/>
          <w:szCs w:val="24"/>
          <w:lang w:val="mk-MK"/>
        </w:rPr>
      </w:pPr>
      <w:r>
        <w:rPr>
          <w:rFonts w:ascii="Times New Roman" w:eastAsia="Times New Roman" w:hAnsi="Times New Roman"/>
          <w:sz w:val="24"/>
          <w:szCs w:val="24"/>
          <w:lang w:val="mk-MK"/>
        </w:rPr>
        <w:t>Р</w:t>
      </w:r>
      <w:r w:rsidR="003D3DA3" w:rsidRPr="001C5B17">
        <w:rPr>
          <w:rFonts w:ascii="Times New Roman" w:eastAsia="Times New Roman" w:hAnsi="Times New Roman"/>
          <w:sz w:val="24"/>
          <w:szCs w:val="24"/>
          <w:lang w:val="mk-MK"/>
        </w:rPr>
        <w:t>едовно, најмалку</w:t>
      </w:r>
      <w:r w:rsidR="003D3DA3">
        <w:rPr>
          <w:rFonts w:ascii="Times New Roman" w:eastAsia="Times New Roman" w:hAnsi="Times New Roman"/>
          <w:sz w:val="24"/>
          <w:szCs w:val="24"/>
          <w:lang w:val="mk-MK"/>
        </w:rPr>
        <w:t xml:space="preserve"> </w:t>
      </w:r>
      <w:r w:rsidR="003D3DA3" w:rsidRPr="001C5B17">
        <w:rPr>
          <w:rFonts w:ascii="Times New Roman" w:eastAsia="Times New Roman" w:hAnsi="Times New Roman"/>
          <w:sz w:val="24"/>
          <w:szCs w:val="24"/>
          <w:lang w:val="mk-MK"/>
        </w:rPr>
        <w:t>на</w:t>
      </w:r>
      <w:r w:rsidR="003D3DA3">
        <w:rPr>
          <w:rFonts w:ascii="Times New Roman" w:eastAsia="Times New Roman" w:hAnsi="Times New Roman"/>
          <w:sz w:val="24"/>
          <w:szCs w:val="24"/>
          <w:lang w:val="mk-MK"/>
        </w:rPr>
        <w:t xml:space="preserve"> </w:t>
      </w:r>
      <w:r w:rsidR="003D3DA3" w:rsidRPr="001C5B17">
        <w:rPr>
          <w:rFonts w:ascii="Times New Roman" w:eastAsia="Times New Roman" w:hAnsi="Times New Roman"/>
          <w:sz w:val="24"/>
          <w:szCs w:val="24"/>
          <w:lang w:val="mk-MK"/>
        </w:rPr>
        <w:t>месечно и на</w:t>
      </w:r>
      <w:r w:rsidR="003D3DA3">
        <w:rPr>
          <w:rFonts w:ascii="Times New Roman" w:eastAsia="Times New Roman" w:hAnsi="Times New Roman"/>
          <w:sz w:val="24"/>
          <w:szCs w:val="24"/>
          <w:lang w:val="mk-MK"/>
        </w:rPr>
        <w:t xml:space="preserve"> </w:t>
      </w:r>
      <w:r w:rsidR="003D3DA3" w:rsidRPr="00E5192E">
        <w:rPr>
          <w:rFonts w:ascii="Times New Roman" w:eastAsia="Times New Roman" w:hAnsi="Times New Roman"/>
          <w:sz w:val="24"/>
          <w:szCs w:val="24"/>
          <w:lang w:val="mk-MK"/>
        </w:rPr>
        <w:t>полугодишно</w:t>
      </w:r>
      <w:r w:rsidR="003D3DA3">
        <w:rPr>
          <w:rFonts w:ascii="Times New Roman" w:eastAsia="Times New Roman" w:hAnsi="Times New Roman"/>
          <w:sz w:val="24"/>
          <w:szCs w:val="24"/>
          <w:lang w:val="mk-MK"/>
        </w:rPr>
        <w:t xml:space="preserve"> </w:t>
      </w:r>
      <w:r w:rsidR="003D3DA3" w:rsidRPr="001C5B17">
        <w:rPr>
          <w:rFonts w:ascii="Times New Roman" w:eastAsia="Times New Roman" w:hAnsi="Times New Roman"/>
          <w:sz w:val="24"/>
          <w:szCs w:val="24"/>
          <w:lang w:val="mk-MK"/>
        </w:rPr>
        <w:t>ниво, доставување</w:t>
      </w:r>
      <w:r w:rsidR="003D3DA3">
        <w:rPr>
          <w:rFonts w:ascii="Times New Roman" w:eastAsia="Times New Roman" w:hAnsi="Times New Roman"/>
          <w:sz w:val="24"/>
          <w:szCs w:val="24"/>
          <w:lang w:val="mk-MK"/>
        </w:rPr>
        <w:t xml:space="preserve"> </w:t>
      </w:r>
      <w:r w:rsidR="003D3DA3" w:rsidRPr="001C5B17">
        <w:rPr>
          <w:rFonts w:ascii="Times New Roman" w:eastAsia="Times New Roman" w:hAnsi="Times New Roman"/>
          <w:sz w:val="24"/>
          <w:szCs w:val="24"/>
          <w:lang w:val="mk-MK"/>
        </w:rPr>
        <w:t>на</w:t>
      </w:r>
      <w:r w:rsidR="003D3DA3">
        <w:rPr>
          <w:rFonts w:ascii="Times New Roman" w:eastAsia="Times New Roman" w:hAnsi="Times New Roman"/>
          <w:sz w:val="24"/>
          <w:szCs w:val="24"/>
          <w:lang w:val="mk-MK"/>
        </w:rPr>
        <w:t xml:space="preserve"> </w:t>
      </w:r>
      <w:r w:rsidR="003D3DA3" w:rsidRPr="001C5B17">
        <w:rPr>
          <w:rFonts w:ascii="Times New Roman" w:eastAsia="Times New Roman" w:hAnsi="Times New Roman"/>
          <w:sz w:val="24"/>
          <w:szCs w:val="24"/>
          <w:lang w:val="mk-MK"/>
        </w:rPr>
        <w:t>извештаи</w:t>
      </w:r>
      <w:r w:rsidR="003D3DA3">
        <w:rPr>
          <w:rFonts w:ascii="Times New Roman" w:eastAsia="Times New Roman" w:hAnsi="Times New Roman"/>
          <w:sz w:val="24"/>
          <w:szCs w:val="24"/>
          <w:lang w:val="mk-MK"/>
        </w:rPr>
        <w:t xml:space="preserve"> </w:t>
      </w:r>
      <w:r w:rsidR="003D3DA3" w:rsidRPr="001C5B17">
        <w:rPr>
          <w:rFonts w:ascii="Times New Roman" w:eastAsia="Times New Roman" w:hAnsi="Times New Roman"/>
          <w:sz w:val="24"/>
          <w:szCs w:val="24"/>
          <w:lang w:val="mk-MK"/>
        </w:rPr>
        <w:t>до</w:t>
      </w:r>
      <w:r w:rsidR="003D3DA3">
        <w:rPr>
          <w:rFonts w:ascii="Times New Roman" w:eastAsia="Times New Roman" w:hAnsi="Times New Roman"/>
          <w:sz w:val="24"/>
          <w:szCs w:val="24"/>
          <w:lang w:val="mk-MK"/>
        </w:rPr>
        <w:t xml:space="preserve"> </w:t>
      </w:r>
      <w:r w:rsidR="003D3DA3" w:rsidRPr="001C5B17">
        <w:rPr>
          <w:rFonts w:ascii="Times New Roman" w:eastAsia="Times New Roman" w:hAnsi="Times New Roman"/>
          <w:sz w:val="24"/>
          <w:szCs w:val="24"/>
          <w:lang w:val="mk-MK"/>
        </w:rPr>
        <w:t>Управниот</w:t>
      </w:r>
      <w:r w:rsidR="003D3DA3">
        <w:rPr>
          <w:rFonts w:ascii="Times New Roman" w:eastAsia="Times New Roman" w:hAnsi="Times New Roman"/>
          <w:sz w:val="24"/>
          <w:szCs w:val="24"/>
          <w:lang w:val="mk-MK"/>
        </w:rPr>
        <w:t xml:space="preserve"> </w:t>
      </w:r>
      <w:r w:rsidR="003D3DA3" w:rsidRPr="001C5B17">
        <w:rPr>
          <w:rFonts w:ascii="Times New Roman" w:eastAsia="Times New Roman" w:hAnsi="Times New Roman"/>
          <w:sz w:val="24"/>
          <w:szCs w:val="24"/>
          <w:lang w:val="mk-MK"/>
        </w:rPr>
        <w:t>одбор и Надзорниот</w:t>
      </w:r>
      <w:r w:rsidR="003D3DA3">
        <w:rPr>
          <w:rFonts w:ascii="Times New Roman" w:eastAsia="Times New Roman" w:hAnsi="Times New Roman"/>
          <w:sz w:val="24"/>
          <w:szCs w:val="24"/>
          <w:lang w:val="mk-MK"/>
        </w:rPr>
        <w:t xml:space="preserve"> </w:t>
      </w:r>
      <w:r w:rsidR="003D3DA3" w:rsidRPr="001C5B17">
        <w:rPr>
          <w:rFonts w:ascii="Times New Roman" w:eastAsia="Times New Roman" w:hAnsi="Times New Roman"/>
          <w:sz w:val="24"/>
          <w:szCs w:val="24"/>
          <w:lang w:val="mk-MK"/>
        </w:rPr>
        <w:t xml:space="preserve">одбор; </w:t>
      </w:r>
    </w:p>
    <w:p w14:paraId="2A71E2C4" w14:textId="77777777" w:rsidR="003D3DA3" w:rsidRPr="00E5192E" w:rsidRDefault="00C337E4" w:rsidP="007637D1">
      <w:pPr>
        <w:numPr>
          <w:ilvl w:val="0"/>
          <w:numId w:val="31"/>
        </w:numPr>
        <w:autoSpaceDE w:val="0"/>
        <w:autoSpaceDN w:val="0"/>
        <w:spacing w:before="120" w:after="120"/>
        <w:jc w:val="both"/>
        <w:rPr>
          <w:rFonts w:ascii="Times New Roman" w:eastAsia="Times New Roman" w:hAnsi="Times New Roman"/>
          <w:sz w:val="24"/>
          <w:szCs w:val="24"/>
          <w:lang w:val="mk-MK"/>
        </w:rPr>
      </w:pPr>
      <w:r>
        <w:rPr>
          <w:rFonts w:ascii="Times New Roman" w:eastAsia="Times New Roman" w:hAnsi="Times New Roman"/>
          <w:sz w:val="24"/>
          <w:szCs w:val="24"/>
          <w:lang w:val="mk-MK"/>
        </w:rPr>
        <w:t>К</w:t>
      </w:r>
      <w:r w:rsidR="003D3DA3" w:rsidRPr="001C5B17">
        <w:rPr>
          <w:rFonts w:ascii="Times New Roman" w:eastAsia="Times New Roman" w:hAnsi="Times New Roman"/>
          <w:sz w:val="24"/>
          <w:szCs w:val="24"/>
          <w:lang w:val="mk-MK"/>
        </w:rPr>
        <w:t>онтинуирана</w:t>
      </w:r>
      <w:r w:rsidR="003D3DA3">
        <w:rPr>
          <w:rFonts w:ascii="Times New Roman" w:eastAsia="Times New Roman" w:hAnsi="Times New Roman"/>
          <w:sz w:val="24"/>
          <w:szCs w:val="24"/>
          <w:lang w:val="mk-MK"/>
        </w:rPr>
        <w:t xml:space="preserve"> </w:t>
      </w:r>
      <w:r w:rsidR="003D3DA3" w:rsidRPr="001C5B17">
        <w:rPr>
          <w:rFonts w:ascii="Times New Roman" w:eastAsia="Times New Roman" w:hAnsi="Times New Roman"/>
          <w:sz w:val="24"/>
          <w:szCs w:val="24"/>
          <w:lang w:val="mk-MK"/>
        </w:rPr>
        <w:t>соработка</w:t>
      </w:r>
      <w:r w:rsidR="003D3DA3">
        <w:rPr>
          <w:rFonts w:ascii="Times New Roman" w:eastAsia="Times New Roman" w:hAnsi="Times New Roman"/>
          <w:sz w:val="24"/>
          <w:szCs w:val="24"/>
          <w:lang w:val="mk-MK"/>
        </w:rPr>
        <w:t xml:space="preserve"> </w:t>
      </w:r>
      <w:r w:rsidR="003D3DA3" w:rsidRPr="001C5B17">
        <w:rPr>
          <w:rFonts w:ascii="Times New Roman" w:eastAsia="Times New Roman" w:hAnsi="Times New Roman"/>
          <w:sz w:val="24"/>
          <w:szCs w:val="24"/>
          <w:lang w:val="mk-MK"/>
        </w:rPr>
        <w:t>со</w:t>
      </w:r>
      <w:r w:rsidR="003D3DA3">
        <w:rPr>
          <w:rFonts w:ascii="Times New Roman" w:eastAsia="Times New Roman" w:hAnsi="Times New Roman"/>
          <w:sz w:val="24"/>
          <w:szCs w:val="24"/>
          <w:lang w:val="mk-MK"/>
        </w:rPr>
        <w:t xml:space="preserve"> </w:t>
      </w:r>
      <w:r w:rsidR="003D3DA3" w:rsidRPr="001C5B17">
        <w:rPr>
          <w:rFonts w:ascii="Times New Roman" w:eastAsia="Times New Roman" w:hAnsi="Times New Roman"/>
          <w:sz w:val="24"/>
          <w:szCs w:val="24"/>
          <w:lang w:val="mk-MK"/>
        </w:rPr>
        <w:t>релевантните</w:t>
      </w:r>
      <w:r w:rsidR="003D3DA3">
        <w:rPr>
          <w:rFonts w:ascii="Times New Roman" w:eastAsia="Times New Roman" w:hAnsi="Times New Roman"/>
          <w:sz w:val="24"/>
          <w:szCs w:val="24"/>
          <w:lang w:val="mk-MK"/>
        </w:rPr>
        <w:t xml:space="preserve"> </w:t>
      </w:r>
      <w:r w:rsidR="003D3DA3" w:rsidRPr="001C5B17">
        <w:rPr>
          <w:rFonts w:ascii="Times New Roman" w:eastAsia="Times New Roman" w:hAnsi="Times New Roman"/>
          <w:sz w:val="24"/>
          <w:szCs w:val="24"/>
          <w:lang w:val="mk-MK"/>
        </w:rPr>
        <w:t>надворешни</w:t>
      </w:r>
      <w:r w:rsidR="003D3DA3">
        <w:rPr>
          <w:rFonts w:ascii="Times New Roman" w:eastAsia="Times New Roman" w:hAnsi="Times New Roman"/>
          <w:sz w:val="24"/>
          <w:szCs w:val="24"/>
          <w:lang w:val="mk-MK"/>
        </w:rPr>
        <w:t xml:space="preserve"> </w:t>
      </w:r>
      <w:r w:rsidR="003D3DA3" w:rsidRPr="001C5B17">
        <w:rPr>
          <w:rFonts w:ascii="Times New Roman" w:eastAsia="Times New Roman" w:hAnsi="Times New Roman"/>
          <w:sz w:val="24"/>
          <w:szCs w:val="24"/>
          <w:lang w:val="mk-MK"/>
        </w:rPr>
        <w:t>институции</w:t>
      </w:r>
      <w:r w:rsidR="003D3DA3">
        <w:rPr>
          <w:rFonts w:ascii="Times New Roman" w:eastAsia="Times New Roman" w:hAnsi="Times New Roman"/>
          <w:sz w:val="24"/>
          <w:szCs w:val="24"/>
          <w:lang w:val="mk-MK"/>
        </w:rPr>
        <w:t xml:space="preserve"> </w:t>
      </w:r>
      <w:r w:rsidR="003D3DA3" w:rsidRPr="001C5B17">
        <w:rPr>
          <w:rFonts w:ascii="Times New Roman" w:eastAsia="Times New Roman" w:hAnsi="Times New Roman"/>
          <w:sz w:val="24"/>
          <w:szCs w:val="24"/>
          <w:lang w:val="mk-MK"/>
        </w:rPr>
        <w:t>во</w:t>
      </w:r>
      <w:r w:rsidR="003D3DA3">
        <w:rPr>
          <w:rFonts w:ascii="Times New Roman" w:eastAsia="Times New Roman" w:hAnsi="Times New Roman"/>
          <w:sz w:val="24"/>
          <w:szCs w:val="24"/>
          <w:lang w:val="mk-MK"/>
        </w:rPr>
        <w:t xml:space="preserve"> </w:t>
      </w:r>
      <w:r w:rsidR="003D3DA3" w:rsidRPr="001C5B17">
        <w:rPr>
          <w:rFonts w:ascii="Times New Roman" w:eastAsia="Times New Roman" w:hAnsi="Times New Roman"/>
          <w:sz w:val="24"/>
          <w:szCs w:val="24"/>
          <w:lang w:val="mk-MK"/>
        </w:rPr>
        <w:t>согласност</w:t>
      </w:r>
      <w:r w:rsidR="003D3DA3">
        <w:rPr>
          <w:rFonts w:ascii="Times New Roman" w:eastAsia="Times New Roman" w:hAnsi="Times New Roman"/>
          <w:sz w:val="24"/>
          <w:szCs w:val="24"/>
          <w:lang w:val="mk-MK"/>
        </w:rPr>
        <w:t xml:space="preserve"> </w:t>
      </w:r>
      <w:r w:rsidR="003D3DA3" w:rsidRPr="001C5B17">
        <w:rPr>
          <w:rFonts w:ascii="Times New Roman" w:eastAsia="Times New Roman" w:hAnsi="Times New Roman"/>
          <w:sz w:val="24"/>
          <w:szCs w:val="24"/>
          <w:lang w:val="mk-MK"/>
        </w:rPr>
        <w:t>со</w:t>
      </w:r>
      <w:r w:rsidR="003D3DA3">
        <w:rPr>
          <w:rFonts w:ascii="Times New Roman" w:eastAsia="Times New Roman" w:hAnsi="Times New Roman"/>
          <w:sz w:val="24"/>
          <w:szCs w:val="24"/>
          <w:lang w:val="mk-MK"/>
        </w:rPr>
        <w:t xml:space="preserve"> </w:t>
      </w:r>
      <w:r w:rsidR="003D3DA3" w:rsidRPr="001C5B17">
        <w:rPr>
          <w:rFonts w:ascii="Times New Roman" w:eastAsia="Times New Roman" w:hAnsi="Times New Roman"/>
          <w:sz w:val="24"/>
          <w:szCs w:val="24"/>
          <w:lang w:val="mk-MK"/>
        </w:rPr>
        <w:t>Законот</w:t>
      </w:r>
      <w:r w:rsidR="003D3DA3">
        <w:rPr>
          <w:rFonts w:ascii="Times New Roman" w:eastAsia="Times New Roman" w:hAnsi="Times New Roman"/>
          <w:sz w:val="24"/>
          <w:szCs w:val="24"/>
          <w:lang w:val="mk-MK"/>
        </w:rPr>
        <w:t xml:space="preserve"> </w:t>
      </w:r>
      <w:r w:rsidR="003D3DA3" w:rsidRPr="001C5B17">
        <w:rPr>
          <w:rFonts w:ascii="Times New Roman" w:eastAsia="Times New Roman" w:hAnsi="Times New Roman"/>
          <w:sz w:val="24"/>
          <w:szCs w:val="24"/>
          <w:lang w:val="mk-MK"/>
        </w:rPr>
        <w:t>за</w:t>
      </w:r>
      <w:r w:rsidR="003D3DA3">
        <w:rPr>
          <w:rFonts w:ascii="Times New Roman" w:eastAsia="Times New Roman" w:hAnsi="Times New Roman"/>
          <w:sz w:val="24"/>
          <w:szCs w:val="24"/>
          <w:lang w:val="mk-MK"/>
        </w:rPr>
        <w:t xml:space="preserve"> </w:t>
      </w:r>
      <w:r w:rsidR="003D3DA3" w:rsidRPr="001C5B17">
        <w:rPr>
          <w:rFonts w:ascii="Times New Roman" w:eastAsia="Times New Roman" w:hAnsi="Times New Roman"/>
          <w:sz w:val="24"/>
          <w:szCs w:val="24"/>
          <w:lang w:val="mk-MK"/>
        </w:rPr>
        <w:t>банки</w:t>
      </w:r>
      <w:r w:rsidR="003D3DA3" w:rsidRPr="00E5192E">
        <w:rPr>
          <w:rFonts w:ascii="Times New Roman" w:eastAsia="Times New Roman" w:hAnsi="Times New Roman"/>
          <w:sz w:val="24"/>
          <w:szCs w:val="24"/>
          <w:lang w:val="mk-MK"/>
        </w:rPr>
        <w:t>те;</w:t>
      </w:r>
    </w:p>
    <w:p w14:paraId="6E15313F" w14:textId="77777777" w:rsidR="003D3DA3" w:rsidRPr="00426507" w:rsidRDefault="00C337E4" w:rsidP="007637D1">
      <w:pPr>
        <w:numPr>
          <w:ilvl w:val="0"/>
          <w:numId w:val="31"/>
        </w:numPr>
        <w:autoSpaceDE w:val="0"/>
        <w:autoSpaceDN w:val="0"/>
        <w:spacing w:before="120" w:after="120"/>
        <w:jc w:val="both"/>
        <w:rPr>
          <w:rFonts w:ascii="Times New Roman" w:eastAsia="Times New Roman" w:hAnsi="Times New Roman"/>
          <w:sz w:val="24"/>
          <w:szCs w:val="24"/>
          <w:lang w:val="mk-MK"/>
        </w:rPr>
      </w:pPr>
      <w:r>
        <w:rPr>
          <w:rFonts w:ascii="Times New Roman" w:eastAsia="Times New Roman" w:hAnsi="Times New Roman"/>
          <w:sz w:val="24"/>
          <w:szCs w:val="24"/>
          <w:lang w:val="mk-MK"/>
        </w:rPr>
        <w:t>Р</w:t>
      </w:r>
      <w:r w:rsidR="003D3DA3" w:rsidRPr="001C5B17">
        <w:rPr>
          <w:rFonts w:ascii="Times New Roman" w:eastAsia="Times New Roman" w:hAnsi="Times New Roman"/>
          <w:sz w:val="24"/>
          <w:szCs w:val="24"/>
          <w:lang w:val="mk-MK"/>
        </w:rPr>
        <w:t>едовно</w:t>
      </w:r>
      <w:r w:rsidR="003D3DA3">
        <w:rPr>
          <w:rFonts w:ascii="Times New Roman" w:eastAsia="Times New Roman" w:hAnsi="Times New Roman"/>
          <w:sz w:val="24"/>
          <w:szCs w:val="24"/>
          <w:lang w:val="mk-MK"/>
        </w:rPr>
        <w:t xml:space="preserve"> </w:t>
      </w:r>
      <w:r w:rsidR="003D3DA3" w:rsidRPr="001C5B17">
        <w:rPr>
          <w:rFonts w:ascii="Times New Roman" w:eastAsia="Times New Roman" w:hAnsi="Times New Roman"/>
          <w:sz w:val="24"/>
          <w:szCs w:val="24"/>
          <w:lang w:val="mk-MK"/>
        </w:rPr>
        <w:t>поднесување</w:t>
      </w:r>
      <w:r w:rsidR="003D3DA3">
        <w:rPr>
          <w:rFonts w:ascii="Times New Roman" w:eastAsia="Times New Roman" w:hAnsi="Times New Roman"/>
          <w:sz w:val="24"/>
          <w:szCs w:val="24"/>
          <w:lang w:val="mk-MK"/>
        </w:rPr>
        <w:t xml:space="preserve"> </w:t>
      </w:r>
      <w:r w:rsidR="003D3DA3" w:rsidRPr="001C5B17">
        <w:rPr>
          <w:rFonts w:ascii="Times New Roman" w:eastAsia="Times New Roman" w:hAnsi="Times New Roman"/>
          <w:sz w:val="24"/>
          <w:szCs w:val="24"/>
          <w:lang w:val="mk-MK"/>
        </w:rPr>
        <w:t>на</w:t>
      </w:r>
      <w:r w:rsidR="003D3DA3">
        <w:rPr>
          <w:rFonts w:ascii="Times New Roman" w:eastAsia="Times New Roman" w:hAnsi="Times New Roman"/>
          <w:sz w:val="24"/>
          <w:szCs w:val="24"/>
          <w:lang w:val="mk-MK"/>
        </w:rPr>
        <w:t xml:space="preserve"> </w:t>
      </w:r>
      <w:r w:rsidR="003D3DA3" w:rsidRPr="001C5B17">
        <w:rPr>
          <w:rFonts w:ascii="Times New Roman" w:eastAsia="Times New Roman" w:hAnsi="Times New Roman"/>
          <w:sz w:val="24"/>
          <w:szCs w:val="24"/>
          <w:lang w:val="mk-MK"/>
        </w:rPr>
        <w:t>извештаи</w:t>
      </w:r>
      <w:r w:rsidR="003D3DA3">
        <w:rPr>
          <w:rFonts w:ascii="Times New Roman" w:eastAsia="Times New Roman" w:hAnsi="Times New Roman"/>
          <w:sz w:val="24"/>
          <w:szCs w:val="24"/>
          <w:lang w:val="mk-MK"/>
        </w:rPr>
        <w:t xml:space="preserve"> </w:t>
      </w:r>
      <w:r w:rsidR="003D3DA3" w:rsidRPr="001C5B17">
        <w:rPr>
          <w:rFonts w:ascii="Times New Roman" w:eastAsia="Times New Roman" w:hAnsi="Times New Roman"/>
          <w:sz w:val="24"/>
          <w:szCs w:val="24"/>
          <w:lang w:val="mk-MK"/>
        </w:rPr>
        <w:t>до</w:t>
      </w:r>
      <w:r w:rsidR="003D3DA3">
        <w:rPr>
          <w:rFonts w:ascii="Times New Roman" w:eastAsia="Times New Roman" w:hAnsi="Times New Roman"/>
          <w:sz w:val="24"/>
          <w:szCs w:val="24"/>
          <w:lang w:val="mk-MK"/>
        </w:rPr>
        <w:t xml:space="preserve"> </w:t>
      </w:r>
      <w:r w:rsidR="003D3DA3" w:rsidRPr="001C5B17">
        <w:rPr>
          <w:rFonts w:ascii="Times New Roman" w:eastAsia="Times New Roman" w:hAnsi="Times New Roman"/>
          <w:sz w:val="24"/>
          <w:szCs w:val="24"/>
          <w:lang w:val="mk-MK"/>
        </w:rPr>
        <w:t>даночни</w:t>
      </w:r>
      <w:r w:rsidR="003D3DA3" w:rsidRPr="00E5192E">
        <w:rPr>
          <w:rFonts w:ascii="Times New Roman" w:eastAsia="Times New Roman" w:hAnsi="Times New Roman"/>
          <w:sz w:val="24"/>
          <w:szCs w:val="24"/>
          <w:lang w:val="mk-MK"/>
        </w:rPr>
        <w:t xml:space="preserve">те органи на САД </w:t>
      </w:r>
      <w:r w:rsidR="003D3DA3" w:rsidRPr="001C5B17">
        <w:rPr>
          <w:rFonts w:ascii="Times New Roman" w:eastAsia="Times New Roman" w:hAnsi="Times New Roman"/>
          <w:sz w:val="24"/>
          <w:szCs w:val="24"/>
          <w:lang w:val="mk-MK"/>
        </w:rPr>
        <w:t>во</w:t>
      </w:r>
      <w:r w:rsidR="003D3DA3">
        <w:rPr>
          <w:rFonts w:ascii="Times New Roman" w:eastAsia="Times New Roman" w:hAnsi="Times New Roman"/>
          <w:sz w:val="24"/>
          <w:szCs w:val="24"/>
          <w:lang w:val="mk-MK"/>
        </w:rPr>
        <w:t xml:space="preserve"> </w:t>
      </w:r>
      <w:r w:rsidR="003D3DA3" w:rsidRPr="001C5B17">
        <w:rPr>
          <w:rFonts w:ascii="Times New Roman" w:eastAsia="Times New Roman" w:hAnsi="Times New Roman"/>
          <w:sz w:val="24"/>
          <w:szCs w:val="24"/>
          <w:lang w:val="mk-MK"/>
        </w:rPr>
        <w:t>согласност</w:t>
      </w:r>
      <w:r w:rsidR="003D3DA3">
        <w:rPr>
          <w:rFonts w:ascii="Times New Roman" w:eastAsia="Times New Roman" w:hAnsi="Times New Roman"/>
          <w:sz w:val="24"/>
          <w:szCs w:val="24"/>
          <w:lang w:val="mk-MK"/>
        </w:rPr>
        <w:t xml:space="preserve"> </w:t>
      </w:r>
      <w:r w:rsidR="003D3DA3" w:rsidRPr="001C5B17">
        <w:rPr>
          <w:rFonts w:ascii="Times New Roman" w:eastAsia="Times New Roman" w:hAnsi="Times New Roman"/>
          <w:sz w:val="24"/>
          <w:szCs w:val="24"/>
          <w:lang w:val="mk-MK"/>
        </w:rPr>
        <w:t>со</w:t>
      </w:r>
      <w:r w:rsidR="003D3DA3">
        <w:rPr>
          <w:rFonts w:ascii="Times New Roman" w:eastAsia="Times New Roman" w:hAnsi="Times New Roman"/>
          <w:sz w:val="24"/>
          <w:szCs w:val="24"/>
          <w:lang w:val="mk-MK"/>
        </w:rPr>
        <w:t xml:space="preserve"> </w:t>
      </w:r>
      <w:r w:rsidR="003D3DA3" w:rsidRPr="001C5B17">
        <w:rPr>
          <w:rFonts w:ascii="Times New Roman" w:eastAsia="Times New Roman" w:hAnsi="Times New Roman"/>
          <w:sz w:val="24"/>
          <w:szCs w:val="24"/>
          <w:lang w:val="mk-MK"/>
        </w:rPr>
        <w:t>Законот FATCA, итн.,</w:t>
      </w:r>
    </w:p>
    <w:p w14:paraId="3E0F38FF" w14:textId="77777777" w:rsidR="003D3DA3" w:rsidRPr="00E5192E" w:rsidRDefault="003D3DA3" w:rsidP="003D3DA3">
      <w:pPr>
        <w:autoSpaceDE w:val="0"/>
        <w:autoSpaceDN w:val="0"/>
        <w:spacing w:after="120" w:line="240" w:lineRule="auto"/>
        <w:ind w:left="720"/>
        <w:contextualSpacing/>
        <w:jc w:val="both"/>
        <w:rPr>
          <w:rFonts w:ascii="Times New Roman" w:eastAsia="Times New Roman" w:hAnsi="Times New Roman"/>
          <w:sz w:val="24"/>
          <w:szCs w:val="24"/>
          <w:lang w:val="mk-MK"/>
        </w:rPr>
      </w:pPr>
    </w:p>
    <w:p w14:paraId="690A52E5" w14:textId="77777777" w:rsidR="003D3DA3" w:rsidRPr="001C5B17" w:rsidRDefault="003D3DA3" w:rsidP="003D3DA3">
      <w:pPr>
        <w:autoSpaceDE w:val="0"/>
        <w:autoSpaceDN w:val="0"/>
        <w:spacing w:after="120"/>
        <w:jc w:val="both"/>
        <w:rPr>
          <w:rFonts w:ascii="Times New Roman" w:hAnsi="Times New Roman"/>
          <w:sz w:val="24"/>
          <w:szCs w:val="24"/>
          <w:lang w:val="mk-MK"/>
        </w:rPr>
      </w:pPr>
      <w:r w:rsidRPr="00E5192E">
        <w:rPr>
          <w:rFonts w:ascii="Times New Roman" w:hAnsi="Times New Roman"/>
          <w:sz w:val="24"/>
          <w:szCs w:val="24"/>
          <w:lang w:val="mk-MK"/>
        </w:rPr>
        <w:t>со што се обезбедува</w:t>
      </w:r>
      <w:r>
        <w:rPr>
          <w:rFonts w:ascii="Times New Roman" w:hAnsi="Times New Roman"/>
          <w:sz w:val="24"/>
          <w:szCs w:val="24"/>
          <w:lang w:val="mk-MK"/>
        </w:rPr>
        <w:t xml:space="preserve"> </w:t>
      </w:r>
      <w:r w:rsidRPr="001C5B17">
        <w:rPr>
          <w:rFonts w:ascii="Times New Roman" w:hAnsi="Times New Roman"/>
          <w:sz w:val="24"/>
          <w:szCs w:val="24"/>
          <w:lang w:val="mk-MK"/>
        </w:rPr>
        <w:t>добра</w:t>
      </w:r>
      <w:r>
        <w:rPr>
          <w:rFonts w:ascii="Times New Roman" w:hAnsi="Times New Roman"/>
          <w:sz w:val="24"/>
          <w:szCs w:val="24"/>
          <w:lang w:val="mk-MK"/>
        </w:rPr>
        <w:t xml:space="preserve"> </w:t>
      </w:r>
      <w:r w:rsidRPr="001C5B17">
        <w:rPr>
          <w:rFonts w:ascii="Times New Roman" w:hAnsi="Times New Roman"/>
          <w:sz w:val="24"/>
          <w:szCs w:val="24"/>
          <w:lang w:val="mk-MK"/>
        </w:rPr>
        <w:t>репутација и кредибилитет</w:t>
      </w:r>
      <w:r>
        <w:rPr>
          <w:rFonts w:ascii="Times New Roman" w:hAnsi="Times New Roman"/>
          <w:sz w:val="24"/>
          <w:szCs w:val="24"/>
          <w:lang w:val="mk-MK"/>
        </w:rPr>
        <w:t xml:space="preserve"> </w:t>
      </w:r>
      <w:r w:rsidRPr="001C5B17">
        <w:rPr>
          <w:rFonts w:ascii="Times New Roman" w:hAnsi="Times New Roman"/>
          <w:sz w:val="24"/>
          <w:szCs w:val="24"/>
          <w:lang w:val="mk-MK"/>
        </w:rPr>
        <w:t xml:space="preserve">на СБ </w:t>
      </w:r>
      <w:r>
        <w:rPr>
          <w:rFonts w:ascii="Times New Roman" w:hAnsi="Times New Roman"/>
          <w:sz w:val="24"/>
          <w:szCs w:val="24"/>
          <w:lang w:val="mk-MK"/>
        </w:rPr>
        <w:t xml:space="preserve">пред нејзините </w:t>
      </w:r>
      <w:r w:rsidRPr="001C5B17">
        <w:rPr>
          <w:rFonts w:ascii="Times New Roman" w:hAnsi="Times New Roman"/>
          <w:sz w:val="24"/>
          <w:szCs w:val="24"/>
          <w:lang w:val="mk-MK"/>
        </w:rPr>
        <w:t>акционери, клиенти, инвеститори, регулаторни и супервизорски</w:t>
      </w:r>
      <w:r>
        <w:rPr>
          <w:rFonts w:ascii="Times New Roman" w:hAnsi="Times New Roman"/>
          <w:sz w:val="24"/>
          <w:szCs w:val="24"/>
          <w:lang w:val="mk-MK"/>
        </w:rPr>
        <w:t xml:space="preserve"> </w:t>
      </w:r>
      <w:r w:rsidRPr="001C5B17">
        <w:rPr>
          <w:rFonts w:ascii="Times New Roman" w:hAnsi="Times New Roman"/>
          <w:sz w:val="24"/>
          <w:szCs w:val="24"/>
          <w:lang w:val="mk-MK"/>
        </w:rPr>
        <w:t>органи и други</w:t>
      </w:r>
      <w:r>
        <w:rPr>
          <w:rFonts w:ascii="Times New Roman" w:hAnsi="Times New Roman"/>
          <w:sz w:val="24"/>
          <w:szCs w:val="24"/>
          <w:lang w:val="mk-MK"/>
        </w:rPr>
        <w:t xml:space="preserve"> </w:t>
      </w:r>
      <w:r w:rsidRPr="001C5B17">
        <w:rPr>
          <w:rFonts w:ascii="Times New Roman" w:hAnsi="Times New Roman"/>
          <w:sz w:val="24"/>
          <w:szCs w:val="24"/>
          <w:lang w:val="mk-MK"/>
        </w:rPr>
        <w:t>надлежни</w:t>
      </w:r>
      <w:r>
        <w:rPr>
          <w:rFonts w:ascii="Times New Roman" w:hAnsi="Times New Roman"/>
          <w:sz w:val="24"/>
          <w:szCs w:val="24"/>
          <w:lang w:val="mk-MK"/>
        </w:rPr>
        <w:t xml:space="preserve"> </w:t>
      </w:r>
      <w:r w:rsidRPr="001C5B17">
        <w:rPr>
          <w:rFonts w:ascii="Times New Roman" w:hAnsi="Times New Roman"/>
          <w:sz w:val="24"/>
          <w:szCs w:val="24"/>
          <w:lang w:val="mk-MK"/>
        </w:rPr>
        <w:t>институции</w:t>
      </w:r>
      <w:r>
        <w:rPr>
          <w:rFonts w:ascii="Times New Roman" w:hAnsi="Times New Roman"/>
          <w:sz w:val="24"/>
          <w:szCs w:val="24"/>
          <w:lang w:val="mk-MK"/>
        </w:rPr>
        <w:t xml:space="preserve"> </w:t>
      </w:r>
      <w:r w:rsidRPr="001C5B17">
        <w:rPr>
          <w:rFonts w:ascii="Times New Roman" w:hAnsi="Times New Roman"/>
          <w:sz w:val="24"/>
          <w:szCs w:val="24"/>
          <w:lang w:val="mk-MK"/>
        </w:rPr>
        <w:t>како и разв</w:t>
      </w:r>
      <w:r w:rsidRPr="00E5192E">
        <w:rPr>
          <w:rFonts w:ascii="Times New Roman" w:hAnsi="Times New Roman"/>
          <w:sz w:val="24"/>
          <w:szCs w:val="24"/>
          <w:lang w:val="mk-MK"/>
        </w:rPr>
        <w:t xml:space="preserve">ој на </w:t>
      </w:r>
      <w:r w:rsidRPr="001C5B17">
        <w:rPr>
          <w:rFonts w:ascii="Times New Roman" w:hAnsi="Times New Roman"/>
          <w:sz w:val="24"/>
          <w:szCs w:val="24"/>
          <w:lang w:val="mk-MK"/>
        </w:rPr>
        <w:t>култура</w:t>
      </w:r>
      <w:r>
        <w:rPr>
          <w:rFonts w:ascii="Times New Roman" w:hAnsi="Times New Roman"/>
          <w:sz w:val="24"/>
          <w:szCs w:val="24"/>
          <w:lang w:val="mk-MK"/>
        </w:rPr>
        <w:t xml:space="preserve"> </w:t>
      </w:r>
      <w:r w:rsidRPr="00E5192E">
        <w:rPr>
          <w:rFonts w:ascii="Times New Roman" w:hAnsi="Times New Roman"/>
          <w:sz w:val="24"/>
          <w:szCs w:val="24"/>
          <w:lang w:val="mk-MK"/>
        </w:rPr>
        <w:t>за</w:t>
      </w:r>
      <w:r>
        <w:rPr>
          <w:rFonts w:ascii="Times New Roman" w:hAnsi="Times New Roman"/>
          <w:sz w:val="24"/>
          <w:szCs w:val="24"/>
          <w:lang w:val="mk-MK"/>
        </w:rPr>
        <w:t xml:space="preserve"> </w:t>
      </w:r>
      <w:r w:rsidRPr="001C5B17">
        <w:rPr>
          <w:rFonts w:ascii="Times New Roman" w:hAnsi="Times New Roman"/>
          <w:sz w:val="24"/>
          <w:szCs w:val="24"/>
          <w:lang w:val="mk-MK"/>
        </w:rPr>
        <w:t>усогласеност</w:t>
      </w:r>
      <w:r>
        <w:rPr>
          <w:rFonts w:ascii="Times New Roman" w:hAnsi="Times New Roman"/>
          <w:sz w:val="24"/>
          <w:szCs w:val="24"/>
          <w:lang w:val="mk-MK"/>
        </w:rPr>
        <w:t xml:space="preserve"> </w:t>
      </w:r>
      <w:r w:rsidRPr="001C5B17">
        <w:rPr>
          <w:rFonts w:ascii="Times New Roman" w:hAnsi="Times New Roman"/>
          <w:sz w:val="24"/>
          <w:szCs w:val="24"/>
          <w:lang w:val="mk-MK"/>
        </w:rPr>
        <w:t>со</w:t>
      </w:r>
      <w:r>
        <w:rPr>
          <w:rFonts w:ascii="Times New Roman" w:hAnsi="Times New Roman"/>
          <w:sz w:val="24"/>
          <w:szCs w:val="24"/>
          <w:lang w:val="mk-MK"/>
        </w:rPr>
        <w:t xml:space="preserve"> </w:t>
      </w:r>
      <w:r w:rsidRPr="001C5B17">
        <w:rPr>
          <w:rFonts w:ascii="Times New Roman" w:hAnsi="Times New Roman"/>
          <w:sz w:val="24"/>
          <w:szCs w:val="24"/>
          <w:lang w:val="mk-MK"/>
        </w:rPr>
        <w:t>прописите</w:t>
      </w:r>
      <w:r>
        <w:rPr>
          <w:rFonts w:ascii="Times New Roman" w:hAnsi="Times New Roman"/>
          <w:sz w:val="24"/>
          <w:szCs w:val="24"/>
          <w:lang w:val="mk-MK"/>
        </w:rPr>
        <w:t xml:space="preserve"> </w:t>
      </w:r>
      <w:r w:rsidRPr="001C5B17">
        <w:rPr>
          <w:rFonts w:ascii="Times New Roman" w:hAnsi="Times New Roman"/>
          <w:sz w:val="24"/>
          <w:szCs w:val="24"/>
          <w:lang w:val="mk-MK"/>
        </w:rPr>
        <w:t>кај</w:t>
      </w:r>
      <w:r>
        <w:rPr>
          <w:rFonts w:ascii="Times New Roman" w:hAnsi="Times New Roman"/>
          <w:sz w:val="24"/>
          <w:szCs w:val="24"/>
          <w:lang w:val="mk-MK"/>
        </w:rPr>
        <w:t xml:space="preserve"> </w:t>
      </w:r>
      <w:r w:rsidRPr="00E5192E">
        <w:rPr>
          <w:rFonts w:ascii="Times New Roman" w:hAnsi="Times New Roman"/>
          <w:sz w:val="24"/>
          <w:szCs w:val="24"/>
          <w:lang w:val="mk-MK"/>
        </w:rPr>
        <w:t xml:space="preserve">сите </w:t>
      </w:r>
      <w:r w:rsidRPr="001C5B17">
        <w:rPr>
          <w:rFonts w:ascii="Times New Roman" w:hAnsi="Times New Roman"/>
          <w:sz w:val="24"/>
          <w:szCs w:val="24"/>
          <w:lang w:val="mk-MK"/>
        </w:rPr>
        <w:t>вработени</w:t>
      </w:r>
      <w:r w:rsidRPr="00E5192E">
        <w:rPr>
          <w:rFonts w:ascii="Times New Roman" w:hAnsi="Times New Roman"/>
          <w:sz w:val="24"/>
          <w:szCs w:val="24"/>
          <w:lang w:val="mk-MK"/>
        </w:rPr>
        <w:t xml:space="preserve"> на </w:t>
      </w:r>
      <w:r w:rsidRPr="001C5B17">
        <w:rPr>
          <w:rFonts w:ascii="Times New Roman" w:hAnsi="Times New Roman"/>
          <w:sz w:val="24"/>
          <w:szCs w:val="24"/>
          <w:lang w:val="mk-MK"/>
        </w:rPr>
        <w:t>СБ.</w:t>
      </w:r>
    </w:p>
    <w:p w14:paraId="4C1B073D" w14:textId="77777777" w:rsidR="003D3DA3" w:rsidRPr="00E5192E" w:rsidRDefault="003D3DA3" w:rsidP="003D3DA3">
      <w:pPr>
        <w:autoSpaceDE w:val="0"/>
        <w:autoSpaceDN w:val="0"/>
        <w:spacing w:after="120"/>
        <w:jc w:val="both"/>
        <w:rPr>
          <w:rFonts w:ascii="Times New Roman" w:hAnsi="Times New Roman"/>
          <w:sz w:val="24"/>
          <w:szCs w:val="24"/>
          <w:lang w:val="mk-MK"/>
        </w:rPr>
      </w:pPr>
      <w:r w:rsidRPr="001C5B17">
        <w:rPr>
          <w:rFonts w:ascii="Times New Roman" w:hAnsi="Times New Roman"/>
          <w:sz w:val="24"/>
          <w:szCs w:val="24"/>
          <w:lang w:val="mk-MK"/>
        </w:rPr>
        <w:t>Во</w:t>
      </w:r>
      <w:r>
        <w:rPr>
          <w:rFonts w:ascii="Times New Roman" w:hAnsi="Times New Roman"/>
          <w:sz w:val="24"/>
          <w:szCs w:val="24"/>
          <w:lang w:val="mk-MK"/>
        </w:rPr>
        <w:t xml:space="preserve"> </w:t>
      </w:r>
      <w:r w:rsidRPr="001C5B17">
        <w:rPr>
          <w:rFonts w:ascii="Times New Roman" w:hAnsi="Times New Roman"/>
          <w:sz w:val="24"/>
          <w:szCs w:val="24"/>
          <w:lang w:val="mk-MK"/>
        </w:rPr>
        <w:t>врска</w:t>
      </w:r>
      <w:r>
        <w:rPr>
          <w:rFonts w:ascii="Times New Roman" w:hAnsi="Times New Roman"/>
          <w:sz w:val="24"/>
          <w:szCs w:val="24"/>
          <w:lang w:val="mk-MK"/>
        </w:rPr>
        <w:t xml:space="preserve"> </w:t>
      </w:r>
      <w:r w:rsidRPr="001C5B17">
        <w:rPr>
          <w:rFonts w:ascii="Times New Roman" w:hAnsi="Times New Roman"/>
          <w:sz w:val="24"/>
          <w:szCs w:val="24"/>
          <w:lang w:val="mk-MK"/>
        </w:rPr>
        <w:t>со</w:t>
      </w:r>
      <w:r>
        <w:rPr>
          <w:rFonts w:ascii="Times New Roman" w:hAnsi="Times New Roman"/>
          <w:sz w:val="24"/>
          <w:szCs w:val="24"/>
          <w:lang w:val="mk-MK"/>
        </w:rPr>
        <w:t xml:space="preserve"> </w:t>
      </w:r>
      <w:r w:rsidRPr="001C5B17">
        <w:rPr>
          <w:rFonts w:ascii="Times New Roman" w:hAnsi="Times New Roman"/>
          <w:sz w:val="24"/>
          <w:szCs w:val="24"/>
          <w:lang w:val="mk-MK"/>
        </w:rPr>
        <w:t>активностите</w:t>
      </w:r>
      <w:r>
        <w:rPr>
          <w:rFonts w:ascii="Times New Roman" w:hAnsi="Times New Roman"/>
          <w:sz w:val="24"/>
          <w:szCs w:val="24"/>
          <w:lang w:val="mk-MK"/>
        </w:rPr>
        <w:t xml:space="preserve"> </w:t>
      </w:r>
      <w:r w:rsidRPr="001C5B17">
        <w:rPr>
          <w:rFonts w:ascii="Times New Roman" w:hAnsi="Times New Roman"/>
          <w:sz w:val="24"/>
          <w:szCs w:val="24"/>
          <w:lang w:val="mk-MK"/>
        </w:rPr>
        <w:t>за</w:t>
      </w:r>
      <w:r>
        <w:rPr>
          <w:rFonts w:ascii="Times New Roman" w:hAnsi="Times New Roman"/>
          <w:sz w:val="24"/>
          <w:szCs w:val="24"/>
          <w:lang w:val="mk-MK"/>
        </w:rPr>
        <w:t xml:space="preserve"> </w:t>
      </w:r>
      <w:r w:rsidRPr="001C5B17">
        <w:rPr>
          <w:rFonts w:ascii="Times New Roman" w:hAnsi="Times New Roman"/>
          <w:sz w:val="24"/>
          <w:szCs w:val="24"/>
          <w:lang w:val="mk-MK"/>
        </w:rPr>
        <w:t>Спречување</w:t>
      </w:r>
      <w:r>
        <w:rPr>
          <w:rFonts w:ascii="Times New Roman" w:hAnsi="Times New Roman"/>
          <w:sz w:val="24"/>
          <w:szCs w:val="24"/>
          <w:lang w:val="mk-MK"/>
        </w:rPr>
        <w:t xml:space="preserve"> </w:t>
      </w:r>
      <w:r w:rsidRPr="001C5B17">
        <w:rPr>
          <w:rFonts w:ascii="Times New Roman" w:hAnsi="Times New Roman"/>
          <w:sz w:val="24"/>
          <w:szCs w:val="24"/>
          <w:lang w:val="mk-MK"/>
        </w:rPr>
        <w:t>на</w:t>
      </w:r>
      <w:r>
        <w:rPr>
          <w:rFonts w:ascii="Times New Roman" w:hAnsi="Times New Roman"/>
          <w:sz w:val="24"/>
          <w:szCs w:val="24"/>
          <w:lang w:val="mk-MK"/>
        </w:rPr>
        <w:t xml:space="preserve"> </w:t>
      </w:r>
      <w:r w:rsidRPr="001C5B17">
        <w:rPr>
          <w:rFonts w:ascii="Times New Roman" w:hAnsi="Times New Roman"/>
          <w:sz w:val="24"/>
          <w:szCs w:val="24"/>
          <w:lang w:val="mk-MK"/>
        </w:rPr>
        <w:t>перење</w:t>
      </w:r>
      <w:r>
        <w:rPr>
          <w:rFonts w:ascii="Times New Roman" w:hAnsi="Times New Roman"/>
          <w:sz w:val="24"/>
          <w:szCs w:val="24"/>
          <w:lang w:val="mk-MK"/>
        </w:rPr>
        <w:t xml:space="preserve"> </w:t>
      </w:r>
      <w:r w:rsidRPr="001C5B17">
        <w:rPr>
          <w:rFonts w:ascii="Times New Roman" w:hAnsi="Times New Roman"/>
          <w:sz w:val="24"/>
          <w:szCs w:val="24"/>
          <w:lang w:val="mk-MK"/>
        </w:rPr>
        <w:t>пари (СПП) и Борбата</w:t>
      </w:r>
      <w:r>
        <w:rPr>
          <w:rFonts w:ascii="Times New Roman" w:hAnsi="Times New Roman"/>
          <w:sz w:val="24"/>
          <w:szCs w:val="24"/>
          <w:lang w:val="mk-MK"/>
        </w:rPr>
        <w:t xml:space="preserve"> </w:t>
      </w:r>
      <w:r w:rsidRPr="001C5B17">
        <w:rPr>
          <w:rFonts w:ascii="Times New Roman" w:hAnsi="Times New Roman"/>
          <w:sz w:val="24"/>
          <w:szCs w:val="24"/>
          <w:lang w:val="mk-MK"/>
        </w:rPr>
        <w:t>против</w:t>
      </w:r>
      <w:r>
        <w:rPr>
          <w:rFonts w:ascii="Times New Roman" w:hAnsi="Times New Roman"/>
          <w:sz w:val="24"/>
          <w:szCs w:val="24"/>
          <w:lang w:val="mk-MK"/>
        </w:rPr>
        <w:t xml:space="preserve"> </w:t>
      </w:r>
      <w:r w:rsidRPr="001C5B17">
        <w:rPr>
          <w:rFonts w:ascii="Times New Roman" w:hAnsi="Times New Roman"/>
          <w:sz w:val="24"/>
          <w:szCs w:val="24"/>
          <w:lang w:val="mk-MK"/>
        </w:rPr>
        <w:t>финансирање</w:t>
      </w:r>
      <w:r>
        <w:rPr>
          <w:rFonts w:ascii="Times New Roman" w:hAnsi="Times New Roman"/>
          <w:sz w:val="24"/>
          <w:szCs w:val="24"/>
          <w:lang w:val="mk-MK"/>
        </w:rPr>
        <w:t xml:space="preserve"> </w:t>
      </w:r>
      <w:r w:rsidRPr="001C5B17">
        <w:rPr>
          <w:rFonts w:ascii="Times New Roman" w:hAnsi="Times New Roman"/>
          <w:sz w:val="24"/>
          <w:szCs w:val="24"/>
          <w:lang w:val="mk-MK"/>
        </w:rPr>
        <w:t>на</w:t>
      </w:r>
      <w:r>
        <w:rPr>
          <w:rFonts w:ascii="Times New Roman" w:hAnsi="Times New Roman"/>
          <w:sz w:val="24"/>
          <w:szCs w:val="24"/>
          <w:lang w:val="mk-MK"/>
        </w:rPr>
        <w:t xml:space="preserve"> </w:t>
      </w:r>
      <w:r w:rsidRPr="001C5B17">
        <w:rPr>
          <w:rFonts w:ascii="Times New Roman" w:hAnsi="Times New Roman"/>
          <w:sz w:val="24"/>
          <w:szCs w:val="24"/>
          <w:lang w:val="mk-MK"/>
        </w:rPr>
        <w:t>терориз</w:t>
      </w:r>
      <w:r w:rsidRPr="00E5192E">
        <w:rPr>
          <w:rFonts w:ascii="Times New Roman" w:hAnsi="Times New Roman"/>
          <w:sz w:val="24"/>
          <w:szCs w:val="24"/>
          <w:lang w:val="mk-MK"/>
        </w:rPr>
        <w:t>а</w:t>
      </w:r>
      <w:r w:rsidRPr="001C5B17">
        <w:rPr>
          <w:rFonts w:ascii="Times New Roman" w:hAnsi="Times New Roman"/>
          <w:sz w:val="24"/>
          <w:szCs w:val="24"/>
          <w:lang w:val="mk-MK"/>
        </w:rPr>
        <w:t>м (БФТ), во</w:t>
      </w:r>
      <w:r>
        <w:rPr>
          <w:rFonts w:ascii="Times New Roman" w:hAnsi="Times New Roman"/>
          <w:sz w:val="24"/>
          <w:szCs w:val="24"/>
          <w:lang w:val="mk-MK"/>
        </w:rPr>
        <w:t xml:space="preserve"> </w:t>
      </w:r>
      <w:r w:rsidRPr="001C5B17">
        <w:rPr>
          <w:rFonts w:ascii="Times New Roman" w:hAnsi="Times New Roman"/>
          <w:sz w:val="24"/>
          <w:szCs w:val="24"/>
          <w:lang w:val="mk-MK"/>
        </w:rPr>
        <w:t>текот</w:t>
      </w:r>
      <w:r>
        <w:rPr>
          <w:rFonts w:ascii="Times New Roman" w:hAnsi="Times New Roman"/>
          <w:sz w:val="24"/>
          <w:szCs w:val="24"/>
          <w:lang w:val="mk-MK"/>
        </w:rPr>
        <w:t xml:space="preserve"> </w:t>
      </w:r>
      <w:r w:rsidRPr="001C5B17">
        <w:rPr>
          <w:rFonts w:ascii="Times New Roman" w:hAnsi="Times New Roman"/>
          <w:sz w:val="24"/>
          <w:szCs w:val="24"/>
          <w:lang w:val="mk-MK"/>
        </w:rPr>
        <w:t>на</w:t>
      </w:r>
      <w:r>
        <w:rPr>
          <w:rFonts w:ascii="Times New Roman" w:hAnsi="Times New Roman"/>
          <w:sz w:val="24"/>
          <w:szCs w:val="24"/>
          <w:lang w:val="mk-MK"/>
        </w:rPr>
        <w:t xml:space="preserve"> </w:t>
      </w:r>
      <w:r w:rsidRPr="001C5B17">
        <w:rPr>
          <w:rFonts w:ascii="Times New Roman" w:hAnsi="Times New Roman"/>
          <w:sz w:val="24"/>
          <w:szCs w:val="24"/>
          <w:lang w:val="mk-MK"/>
        </w:rPr>
        <w:t>202</w:t>
      </w:r>
      <w:r w:rsidR="00A84679" w:rsidRPr="001C5B17">
        <w:rPr>
          <w:rFonts w:ascii="Times New Roman" w:hAnsi="Times New Roman"/>
          <w:sz w:val="24"/>
          <w:szCs w:val="24"/>
          <w:lang w:val="mk-MK"/>
        </w:rPr>
        <w:t>2</w:t>
      </w:r>
      <w:r>
        <w:rPr>
          <w:rFonts w:ascii="Times New Roman" w:hAnsi="Times New Roman"/>
          <w:sz w:val="24"/>
          <w:szCs w:val="24"/>
          <w:lang w:val="mk-MK"/>
        </w:rPr>
        <w:t xml:space="preserve"> </w:t>
      </w:r>
      <w:r w:rsidRPr="001C5B17">
        <w:rPr>
          <w:rFonts w:ascii="Times New Roman" w:hAnsi="Times New Roman"/>
          <w:sz w:val="24"/>
          <w:szCs w:val="24"/>
          <w:lang w:val="mk-MK"/>
        </w:rPr>
        <w:t>година</w:t>
      </w:r>
      <w:r>
        <w:rPr>
          <w:rFonts w:ascii="Times New Roman" w:hAnsi="Times New Roman"/>
          <w:sz w:val="24"/>
          <w:szCs w:val="24"/>
          <w:lang w:val="mk-MK"/>
        </w:rPr>
        <w:t xml:space="preserve"> Секторот спроведе </w:t>
      </w:r>
      <w:r w:rsidRPr="001C5B17">
        <w:rPr>
          <w:rFonts w:ascii="Times New Roman" w:hAnsi="Times New Roman"/>
          <w:sz w:val="24"/>
          <w:szCs w:val="24"/>
          <w:lang w:val="mk-MK"/>
        </w:rPr>
        <w:t>низа</w:t>
      </w:r>
      <w:r>
        <w:rPr>
          <w:rFonts w:ascii="Times New Roman" w:hAnsi="Times New Roman"/>
          <w:sz w:val="24"/>
          <w:szCs w:val="24"/>
          <w:lang w:val="mk-MK"/>
        </w:rPr>
        <w:t xml:space="preserve"> </w:t>
      </w:r>
      <w:r w:rsidRPr="001C5B17">
        <w:rPr>
          <w:rFonts w:ascii="Times New Roman" w:hAnsi="Times New Roman"/>
          <w:sz w:val="24"/>
          <w:szCs w:val="24"/>
          <w:lang w:val="mk-MK"/>
        </w:rPr>
        <w:t>активности</w:t>
      </w:r>
      <w:r>
        <w:rPr>
          <w:rFonts w:ascii="Times New Roman" w:hAnsi="Times New Roman"/>
          <w:sz w:val="24"/>
          <w:szCs w:val="24"/>
          <w:lang w:val="mk-MK"/>
        </w:rPr>
        <w:t xml:space="preserve"> </w:t>
      </w:r>
      <w:r w:rsidRPr="001C5B17">
        <w:rPr>
          <w:rFonts w:ascii="Times New Roman" w:hAnsi="Times New Roman"/>
          <w:sz w:val="24"/>
          <w:szCs w:val="24"/>
          <w:lang w:val="mk-MK"/>
        </w:rPr>
        <w:t>за</w:t>
      </w:r>
      <w:r>
        <w:rPr>
          <w:rFonts w:ascii="Times New Roman" w:hAnsi="Times New Roman"/>
          <w:sz w:val="24"/>
          <w:szCs w:val="24"/>
          <w:lang w:val="mk-MK"/>
        </w:rPr>
        <w:t xml:space="preserve"> примена на мерките и активностите согласно </w:t>
      </w:r>
      <w:r w:rsidRPr="001C5B17">
        <w:rPr>
          <w:rFonts w:ascii="Times New Roman" w:hAnsi="Times New Roman"/>
          <w:sz w:val="24"/>
          <w:szCs w:val="24"/>
          <w:lang w:val="mk-MK"/>
        </w:rPr>
        <w:t>Закон</w:t>
      </w:r>
      <w:r>
        <w:rPr>
          <w:rFonts w:ascii="Times New Roman" w:hAnsi="Times New Roman"/>
          <w:sz w:val="24"/>
          <w:szCs w:val="24"/>
          <w:lang w:val="mk-MK"/>
        </w:rPr>
        <w:t xml:space="preserve">от </w:t>
      </w:r>
      <w:r w:rsidRPr="001C5B17">
        <w:rPr>
          <w:rFonts w:ascii="Times New Roman" w:hAnsi="Times New Roman"/>
          <w:sz w:val="24"/>
          <w:szCs w:val="24"/>
          <w:lang w:val="mk-MK"/>
        </w:rPr>
        <w:t>за</w:t>
      </w:r>
      <w:r>
        <w:rPr>
          <w:rFonts w:ascii="Times New Roman" w:hAnsi="Times New Roman"/>
          <w:sz w:val="24"/>
          <w:szCs w:val="24"/>
          <w:lang w:val="mk-MK"/>
        </w:rPr>
        <w:t xml:space="preserve"> </w:t>
      </w:r>
      <w:r w:rsidRPr="001C5B17">
        <w:rPr>
          <w:rFonts w:ascii="Times New Roman" w:hAnsi="Times New Roman"/>
          <w:sz w:val="24"/>
          <w:szCs w:val="24"/>
          <w:lang w:val="mk-MK"/>
        </w:rPr>
        <w:t>спречување</w:t>
      </w:r>
      <w:r>
        <w:rPr>
          <w:rFonts w:ascii="Times New Roman" w:hAnsi="Times New Roman"/>
          <w:sz w:val="24"/>
          <w:szCs w:val="24"/>
          <w:lang w:val="mk-MK"/>
        </w:rPr>
        <w:t xml:space="preserve"> </w:t>
      </w:r>
      <w:r w:rsidRPr="001C5B17">
        <w:rPr>
          <w:rFonts w:ascii="Times New Roman" w:hAnsi="Times New Roman"/>
          <w:sz w:val="24"/>
          <w:szCs w:val="24"/>
          <w:lang w:val="mk-MK"/>
        </w:rPr>
        <w:t>на</w:t>
      </w:r>
      <w:r>
        <w:rPr>
          <w:rFonts w:ascii="Times New Roman" w:hAnsi="Times New Roman"/>
          <w:sz w:val="24"/>
          <w:szCs w:val="24"/>
          <w:lang w:val="mk-MK"/>
        </w:rPr>
        <w:t xml:space="preserve"> </w:t>
      </w:r>
      <w:r w:rsidRPr="001C5B17">
        <w:rPr>
          <w:rFonts w:ascii="Times New Roman" w:hAnsi="Times New Roman"/>
          <w:sz w:val="24"/>
          <w:szCs w:val="24"/>
          <w:lang w:val="mk-MK"/>
        </w:rPr>
        <w:t>перење</w:t>
      </w:r>
      <w:r>
        <w:rPr>
          <w:rFonts w:ascii="Times New Roman" w:hAnsi="Times New Roman"/>
          <w:sz w:val="24"/>
          <w:szCs w:val="24"/>
          <w:lang w:val="mk-MK"/>
        </w:rPr>
        <w:t xml:space="preserve"> </w:t>
      </w:r>
      <w:r w:rsidRPr="001C5B17">
        <w:rPr>
          <w:rFonts w:ascii="Times New Roman" w:hAnsi="Times New Roman"/>
          <w:sz w:val="24"/>
          <w:szCs w:val="24"/>
          <w:lang w:val="mk-MK"/>
        </w:rPr>
        <w:t>пари</w:t>
      </w:r>
      <w:r>
        <w:rPr>
          <w:rFonts w:ascii="Times New Roman" w:hAnsi="Times New Roman"/>
          <w:sz w:val="24"/>
          <w:szCs w:val="24"/>
          <w:lang w:val="mk-MK"/>
        </w:rPr>
        <w:t xml:space="preserve"> </w:t>
      </w:r>
      <w:r w:rsidRPr="00E5192E">
        <w:rPr>
          <w:rFonts w:ascii="Times New Roman" w:hAnsi="Times New Roman"/>
          <w:sz w:val="24"/>
          <w:szCs w:val="24"/>
          <w:lang w:val="mk-MK"/>
        </w:rPr>
        <w:t>и</w:t>
      </w:r>
      <w:r>
        <w:rPr>
          <w:rFonts w:ascii="Times New Roman" w:hAnsi="Times New Roman"/>
          <w:sz w:val="24"/>
          <w:szCs w:val="24"/>
          <w:lang w:val="mk-MK"/>
        </w:rPr>
        <w:t xml:space="preserve"> </w:t>
      </w:r>
      <w:r w:rsidRPr="001C5B17">
        <w:rPr>
          <w:rFonts w:ascii="Times New Roman" w:hAnsi="Times New Roman"/>
          <w:sz w:val="24"/>
          <w:szCs w:val="24"/>
          <w:lang w:val="mk-MK"/>
        </w:rPr>
        <w:t>финансирање</w:t>
      </w:r>
      <w:r>
        <w:rPr>
          <w:rFonts w:ascii="Times New Roman" w:hAnsi="Times New Roman"/>
          <w:sz w:val="24"/>
          <w:szCs w:val="24"/>
          <w:lang w:val="mk-MK"/>
        </w:rPr>
        <w:t xml:space="preserve"> </w:t>
      </w:r>
      <w:r w:rsidRPr="001C5B17">
        <w:rPr>
          <w:rFonts w:ascii="Times New Roman" w:hAnsi="Times New Roman"/>
          <w:sz w:val="24"/>
          <w:szCs w:val="24"/>
          <w:lang w:val="mk-MK"/>
        </w:rPr>
        <w:t>на</w:t>
      </w:r>
      <w:r>
        <w:rPr>
          <w:rFonts w:ascii="Times New Roman" w:hAnsi="Times New Roman"/>
          <w:sz w:val="24"/>
          <w:szCs w:val="24"/>
          <w:lang w:val="mk-MK"/>
        </w:rPr>
        <w:t xml:space="preserve"> </w:t>
      </w:r>
      <w:r w:rsidRPr="001C5B17">
        <w:rPr>
          <w:rFonts w:ascii="Times New Roman" w:hAnsi="Times New Roman"/>
          <w:sz w:val="24"/>
          <w:szCs w:val="24"/>
          <w:lang w:val="mk-MK"/>
        </w:rPr>
        <w:t>терориз</w:t>
      </w:r>
      <w:r w:rsidRPr="00E5192E">
        <w:rPr>
          <w:rFonts w:ascii="Times New Roman" w:hAnsi="Times New Roman"/>
          <w:sz w:val="24"/>
          <w:szCs w:val="24"/>
          <w:lang w:val="mk-MK"/>
        </w:rPr>
        <w:t>а</w:t>
      </w:r>
      <w:r w:rsidRPr="001C5B17">
        <w:rPr>
          <w:rFonts w:ascii="Times New Roman" w:hAnsi="Times New Roman"/>
          <w:sz w:val="24"/>
          <w:szCs w:val="24"/>
          <w:lang w:val="mk-MK"/>
        </w:rPr>
        <w:t>м</w:t>
      </w:r>
      <w:r w:rsidRPr="00E5192E">
        <w:rPr>
          <w:rFonts w:ascii="Times New Roman" w:hAnsi="Times New Roman"/>
          <w:sz w:val="24"/>
          <w:szCs w:val="24"/>
          <w:lang w:val="mk-MK"/>
        </w:rPr>
        <w:t xml:space="preserve"> (Закон)</w:t>
      </w:r>
      <w:r w:rsidRPr="001C5B17">
        <w:rPr>
          <w:rFonts w:ascii="Times New Roman" w:hAnsi="Times New Roman"/>
          <w:sz w:val="24"/>
          <w:szCs w:val="24"/>
          <w:lang w:val="mk-MK"/>
        </w:rPr>
        <w:t>,</w:t>
      </w:r>
      <w:r>
        <w:rPr>
          <w:rFonts w:ascii="Times New Roman" w:hAnsi="Times New Roman"/>
          <w:sz w:val="24"/>
          <w:szCs w:val="24"/>
          <w:lang w:val="mk-MK"/>
        </w:rPr>
        <w:t xml:space="preserve"> </w:t>
      </w:r>
      <w:r w:rsidRPr="001C5B17">
        <w:rPr>
          <w:rFonts w:ascii="Times New Roman" w:hAnsi="Times New Roman"/>
          <w:sz w:val="24"/>
          <w:szCs w:val="24"/>
          <w:lang w:val="mk-MK"/>
        </w:rPr>
        <w:t>како и за</w:t>
      </w:r>
      <w:r>
        <w:rPr>
          <w:rFonts w:ascii="Times New Roman" w:hAnsi="Times New Roman"/>
          <w:sz w:val="24"/>
          <w:szCs w:val="24"/>
          <w:lang w:val="mk-MK"/>
        </w:rPr>
        <w:t xml:space="preserve"> подобрување</w:t>
      </w:r>
      <w:r w:rsidRPr="001C5B17">
        <w:rPr>
          <w:rFonts w:ascii="Times New Roman" w:hAnsi="Times New Roman"/>
          <w:sz w:val="24"/>
          <w:szCs w:val="24"/>
          <w:lang w:val="mk-MK"/>
        </w:rPr>
        <w:t xml:space="preserve"> и </w:t>
      </w:r>
      <w:r>
        <w:rPr>
          <w:rFonts w:ascii="Times New Roman" w:hAnsi="Times New Roman"/>
          <w:sz w:val="24"/>
          <w:szCs w:val="24"/>
          <w:lang w:val="mk-MK"/>
        </w:rPr>
        <w:t xml:space="preserve">натамошно </w:t>
      </w:r>
      <w:r w:rsidRPr="00E5192E">
        <w:rPr>
          <w:rFonts w:ascii="Times New Roman" w:hAnsi="Times New Roman"/>
          <w:sz w:val="24"/>
          <w:szCs w:val="24"/>
          <w:lang w:val="mk-MK"/>
        </w:rPr>
        <w:t xml:space="preserve">усовршување </w:t>
      </w:r>
      <w:r w:rsidRPr="001C5B17">
        <w:rPr>
          <w:rFonts w:ascii="Times New Roman" w:hAnsi="Times New Roman"/>
          <w:sz w:val="24"/>
          <w:szCs w:val="24"/>
          <w:lang w:val="mk-MK"/>
        </w:rPr>
        <w:t>на</w:t>
      </w:r>
      <w:r>
        <w:rPr>
          <w:rFonts w:ascii="Times New Roman" w:hAnsi="Times New Roman"/>
          <w:sz w:val="24"/>
          <w:szCs w:val="24"/>
          <w:lang w:val="mk-MK"/>
        </w:rPr>
        <w:t xml:space="preserve"> </w:t>
      </w:r>
      <w:r w:rsidRPr="001C5B17">
        <w:rPr>
          <w:rFonts w:ascii="Times New Roman" w:hAnsi="Times New Roman"/>
          <w:sz w:val="24"/>
          <w:szCs w:val="24"/>
          <w:lang w:val="mk-MK"/>
        </w:rPr>
        <w:t>интерните</w:t>
      </w:r>
      <w:r>
        <w:rPr>
          <w:rFonts w:ascii="Times New Roman" w:hAnsi="Times New Roman"/>
          <w:sz w:val="24"/>
          <w:szCs w:val="24"/>
          <w:lang w:val="mk-MK"/>
        </w:rPr>
        <w:t xml:space="preserve"> </w:t>
      </w:r>
      <w:r w:rsidRPr="001C5B17">
        <w:rPr>
          <w:rFonts w:ascii="Times New Roman" w:hAnsi="Times New Roman"/>
          <w:sz w:val="24"/>
          <w:szCs w:val="24"/>
          <w:lang w:val="mk-MK"/>
        </w:rPr>
        <w:t>системи и процеси</w:t>
      </w:r>
      <w:r>
        <w:rPr>
          <w:rFonts w:ascii="Times New Roman" w:hAnsi="Times New Roman"/>
          <w:sz w:val="24"/>
          <w:szCs w:val="24"/>
          <w:lang w:val="mk-MK"/>
        </w:rPr>
        <w:t xml:space="preserve"> </w:t>
      </w:r>
      <w:r w:rsidRPr="001C5B17">
        <w:rPr>
          <w:rFonts w:ascii="Times New Roman" w:hAnsi="Times New Roman"/>
          <w:sz w:val="24"/>
          <w:szCs w:val="24"/>
          <w:lang w:val="mk-MK"/>
        </w:rPr>
        <w:t>што</w:t>
      </w:r>
      <w:r>
        <w:rPr>
          <w:rFonts w:ascii="Times New Roman" w:hAnsi="Times New Roman"/>
          <w:sz w:val="24"/>
          <w:szCs w:val="24"/>
          <w:lang w:val="mk-MK"/>
        </w:rPr>
        <w:t xml:space="preserve"> </w:t>
      </w:r>
      <w:r w:rsidRPr="001C5B17">
        <w:rPr>
          <w:rFonts w:ascii="Times New Roman" w:hAnsi="Times New Roman"/>
          <w:sz w:val="24"/>
          <w:szCs w:val="24"/>
          <w:lang w:val="mk-MK"/>
        </w:rPr>
        <w:t>се</w:t>
      </w:r>
      <w:r>
        <w:rPr>
          <w:rFonts w:ascii="Times New Roman" w:hAnsi="Times New Roman"/>
          <w:sz w:val="24"/>
          <w:szCs w:val="24"/>
          <w:lang w:val="mk-MK"/>
        </w:rPr>
        <w:t xml:space="preserve"> </w:t>
      </w:r>
      <w:r w:rsidRPr="001C5B17">
        <w:rPr>
          <w:rFonts w:ascii="Times New Roman" w:hAnsi="Times New Roman"/>
          <w:sz w:val="24"/>
          <w:szCs w:val="24"/>
          <w:lang w:val="mk-MK"/>
        </w:rPr>
        <w:t>користат</w:t>
      </w:r>
      <w:r>
        <w:rPr>
          <w:rFonts w:ascii="Times New Roman" w:hAnsi="Times New Roman"/>
          <w:sz w:val="24"/>
          <w:szCs w:val="24"/>
          <w:lang w:val="mk-MK"/>
        </w:rPr>
        <w:t xml:space="preserve"> </w:t>
      </w:r>
      <w:r w:rsidRPr="001C5B17">
        <w:rPr>
          <w:rFonts w:ascii="Times New Roman" w:hAnsi="Times New Roman"/>
          <w:sz w:val="24"/>
          <w:szCs w:val="24"/>
          <w:lang w:val="mk-MK"/>
        </w:rPr>
        <w:t>во</w:t>
      </w:r>
      <w:r>
        <w:rPr>
          <w:rFonts w:ascii="Times New Roman" w:hAnsi="Times New Roman"/>
          <w:sz w:val="24"/>
          <w:szCs w:val="24"/>
          <w:lang w:val="mk-MK"/>
        </w:rPr>
        <w:t xml:space="preserve"> </w:t>
      </w:r>
      <w:r w:rsidRPr="00E5192E">
        <w:rPr>
          <w:rFonts w:ascii="Times New Roman" w:hAnsi="Times New Roman"/>
          <w:sz w:val="24"/>
          <w:szCs w:val="24"/>
          <w:lang w:val="mk-MK"/>
        </w:rPr>
        <w:t>С</w:t>
      </w:r>
      <w:r w:rsidRPr="001C5B17">
        <w:rPr>
          <w:rFonts w:ascii="Times New Roman" w:hAnsi="Times New Roman"/>
          <w:sz w:val="24"/>
          <w:szCs w:val="24"/>
          <w:lang w:val="mk-MK"/>
        </w:rPr>
        <w:t>екторот</w:t>
      </w:r>
      <w:r>
        <w:rPr>
          <w:rFonts w:ascii="Times New Roman" w:hAnsi="Times New Roman"/>
          <w:sz w:val="24"/>
          <w:szCs w:val="24"/>
          <w:lang w:val="mk-MK"/>
        </w:rPr>
        <w:t xml:space="preserve"> </w:t>
      </w:r>
      <w:r w:rsidRPr="001C5B17">
        <w:rPr>
          <w:rFonts w:ascii="Times New Roman" w:hAnsi="Times New Roman"/>
          <w:sz w:val="24"/>
          <w:szCs w:val="24"/>
          <w:lang w:val="mk-MK"/>
        </w:rPr>
        <w:t>на</w:t>
      </w:r>
      <w:r>
        <w:rPr>
          <w:rFonts w:ascii="Times New Roman" w:hAnsi="Times New Roman"/>
          <w:sz w:val="24"/>
          <w:szCs w:val="24"/>
          <w:lang w:val="mk-MK"/>
        </w:rPr>
        <w:t xml:space="preserve"> </w:t>
      </w:r>
      <w:r w:rsidRPr="001C5B17">
        <w:rPr>
          <w:rFonts w:ascii="Times New Roman" w:hAnsi="Times New Roman"/>
          <w:sz w:val="24"/>
          <w:szCs w:val="24"/>
          <w:lang w:val="mk-MK"/>
        </w:rPr>
        <w:t>дневна</w:t>
      </w:r>
      <w:r>
        <w:rPr>
          <w:rFonts w:ascii="Times New Roman" w:hAnsi="Times New Roman"/>
          <w:sz w:val="24"/>
          <w:szCs w:val="24"/>
          <w:lang w:val="mk-MK"/>
        </w:rPr>
        <w:t xml:space="preserve"> </w:t>
      </w:r>
      <w:r w:rsidRPr="001C5B17">
        <w:rPr>
          <w:rFonts w:ascii="Times New Roman" w:hAnsi="Times New Roman"/>
          <w:sz w:val="24"/>
          <w:szCs w:val="24"/>
          <w:lang w:val="mk-MK"/>
        </w:rPr>
        <w:t>основа.</w:t>
      </w:r>
      <w:r w:rsidRPr="00E5192E">
        <w:rPr>
          <w:rFonts w:ascii="Times New Roman" w:hAnsi="Times New Roman"/>
          <w:sz w:val="24"/>
          <w:szCs w:val="24"/>
          <w:lang w:val="mk-MK"/>
        </w:rPr>
        <w:t xml:space="preserve"> Исто така, </w:t>
      </w:r>
      <w:r w:rsidRPr="001C5B17">
        <w:rPr>
          <w:rFonts w:ascii="Times New Roman" w:hAnsi="Times New Roman"/>
          <w:sz w:val="24"/>
          <w:szCs w:val="24"/>
          <w:lang w:val="mk-MK"/>
        </w:rPr>
        <w:t>во</w:t>
      </w:r>
      <w:r>
        <w:rPr>
          <w:rFonts w:ascii="Times New Roman" w:hAnsi="Times New Roman"/>
          <w:sz w:val="24"/>
          <w:szCs w:val="24"/>
          <w:lang w:val="mk-MK"/>
        </w:rPr>
        <w:t xml:space="preserve"> </w:t>
      </w:r>
      <w:r w:rsidRPr="001C5B17">
        <w:rPr>
          <w:rFonts w:ascii="Times New Roman" w:hAnsi="Times New Roman"/>
          <w:sz w:val="24"/>
          <w:szCs w:val="24"/>
          <w:lang w:val="mk-MK"/>
        </w:rPr>
        <w:t>текот</w:t>
      </w:r>
      <w:r>
        <w:rPr>
          <w:rFonts w:ascii="Times New Roman" w:hAnsi="Times New Roman"/>
          <w:sz w:val="24"/>
          <w:szCs w:val="24"/>
          <w:lang w:val="mk-MK"/>
        </w:rPr>
        <w:t xml:space="preserve"> </w:t>
      </w:r>
      <w:r w:rsidRPr="001C5B17">
        <w:rPr>
          <w:rFonts w:ascii="Times New Roman" w:hAnsi="Times New Roman"/>
          <w:sz w:val="24"/>
          <w:szCs w:val="24"/>
          <w:lang w:val="mk-MK"/>
        </w:rPr>
        <w:t>на</w:t>
      </w:r>
      <w:r>
        <w:rPr>
          <w:rFonts w:ascii="Times New Roman" w:hAnsi="Times New Roman"/>
          <w:sz w:val="24"/>
          <w:szCs w:val="24"/>
          <w:lang w:val="mk-MK"/>
        </w:rPr>
        <w:t xml:space="preserve"> </w:t>
      </w:r>
      <w:r w:rsidRPr="001C5B17">
        <w:rPr>
          <w:rFonts w:ascii="Times New Roman" w:hAnsi="Times New Roman"/>
          <w:sz w:val="24"/>
          <w:szCs w:val="24"/>
          <w:lang w:val="mk-MK"/>
        </w:rPr>
        <w:t>202</w:t>
      </w:r>
      <w:r w:rsidR="00A84679" w:rsidRPr="001C5B17">
        <w:rPr>
          <w:rFonts w:ascii="Times New Roman" w:hAnsi="Times New Roman"/>
          <w:sz w:val="24"/>
          <w:szCs w:val="24"/>
          <w:lang w:val="mk-MK"/>
        </w:rPr>
        <w:t>2</w:t>
      </w:r>
      <w:r>
        <w:rPr>
          <w:rFonts w:ascii="Times New Roman" w:hAnsi="Times New Roman"/>
          <w:sz w:val="24"/>
          <w:szCs w:val="24"/>
          <w:lang w:val="mk-MK"/>
        </w:rPr>
        <w:t xml:space="preserve"> </w:t>
      </w:r>
      <w:r w:rsidRPr="001C5B17">
        <w:rPr>
          <w:rFonts w:ascii="Times New Roman" w:hAnsi="Times New Roman"/>
          <w:sz w:val="24"/>
          <w:szCs w:val="24"/>
          <w:lang w:val="mk-MK"/>
        </w:rPr>
        <w:t>година</w:t>
      </w:r>
      <w:r w:rsidRPr="00E5192E">
        <w:rPr>
          <w:rFonts w:ascii="Times New Roman" w:hAnsi="Times New Roman"/>
          <w:sz w:val="24"/>
          <w:szCs w:val="24"/>
          <w:lang w:val="mk-MK"/>
        </w:rPr>
        <w:t xml:space="preserve"> бројот на вработени во С</w:t>
      </w:r>
      <w:r w:rsidRPr="001C5B17">
        <w:rPr>
          <w:rFonts w:ascii="Times New Roman" w:hAnsi="Times New Roman"/>
          <w:sz w:val="24"/>
          <w:szCs w:val="24"/>
          <w:lang w:val="mk-MK"/>
        </w:rPr>
        <w:t>екторот</w:t>
      </w:r>
      <w:r w:rsidRPr="00E5192E">
        <w:rPr>
          <w:rFonts w:ascii="Times New Roman" w:hAnsi="Times New Roman"/>
          <w:sz w:val="24"/>
          <w:szCs w:val="24"/>
          <w:lang w:val="mk-MK"/>
        </w:rPr>
        <w:t xml:space="preserve"> беше </w:t>
      </w:r>
      <w:r>
        <w:rPr>
          <w:rFonts w:ascii="Times New Roman" w:hAnsi="Times New Roman"/>
          <w:sz w:val="24"/>
          <w:szCs w:val="24"/>
          <w:lang w:val="mk-MK"/>
        </w:rPr>
        <w:t xml:space="preserve">одржуван на ниво предвидено </w:t>
      </w:r>
      <w:r w:rsidRPr="00E5192E">
        <w:rPr>
          <w:rFonts w:ascii="Times New Roman" w:hAnsi="Times New Roman"/>
          <w:sz w:val="24"/>
          <w:szCs w:val="24"/>
          <w:lang w:val="mk-MK"/>
        </w:rPr>
        <w:t>согласно со одредбите од Закон</w:t>
      </w:r>
      <w:r>
        <w:rPr>
          <w:rFonts w:ascii="Times New Roman" w:hAnsi="Times New Roman"/>
          <w:sz w:val="24"/>
          <w:szCs w:val="24"/>
          <w:lang w:val="mk-MK"/>
        </w:rPr>
        <w:t>от</w:t>
      </w:r>
      <w:r w:rsidRPr="00E5192E">
        <w:rPr>
          <w:rFonts w:ascii="Times New Roman" w:hAnsi="Times New Roman"/>
          <w:sz w:val="24"/>
          <w:szCs w:val="24"/>
          <w:lang w:val="mk-MK"/>
        </w:rPr>
        <w:t>.</w:t>
      </w:r>
    </w:p>
    <w:p w14:paraId="43F18627" w14:textId="77777777" w:rsidR="00A75476" w:rsidRPr="001C5B17" w:rsidRDefault="003D3DA3" w:rsidP="00F972A7">
      <w:pPr>
        <w:autoSpaceDE w:val="0"/>
        <w:autoSpaceDN w:val="0"/>
        <w:adjustRightInd w:val="0"/>
        <w:spacing w:before="240"/>
        <w:jc w:val="both"/>
        <w:rPr>
          <w:rFonts w:ascii="Times New Roman" w:hAnsi="Times New Roman"/>
          <w:sz w:val="24"/>
          <w:szCs w:val="24"/>
          <w:lang w:val="mk-MK"/>
        </w:rPr>
      </w:pPr>
      <w:r w:rsidRPr="001C5B17">
        <w:rPr>
          <w:rFonts w:ascii="Times New Roman" w:hAnsi="Times New Roman"/>
          <w:sz w:val="24"/>
          <w:szCs w:val="24"/>
          <w:lang w:val="mk-MK"/>
        </w:rPr>
        <w:t>Секторот</w:t>
      </w:r>
      <w:r>
        <w:rPr>
          <w:rFonts w:ascii="Times New Roman" w:hAnsi="Times New Roman"/>
          <w:sz w:val="24"/>
          <w:szCs w:val="24"/>
          <w:lang w:val="mk-MK"/>
        </w:rPr>
        <w:t xml:space="preserve"> </w:t>
      </w:r>
      <w:r w:rsidRPr="001C5B17">
        <w:rPr>
          <w:rFonts w:ascii="Times New Roman" w:hAnsi="Times New Roman"/>
          <w:sz w:val="24"/>
          <w:szCs w:val="24"/>
          <w:lang w:val="mk-MK"/>
        </w:rPr>
        <w:t>за</w:t>
      </w:r>
      <w:r>
        <w:rPr>
          <w:rFonts w:ascii="Times New Roman" w:hAnsi="Times New Roman"/>
          <w:sz w:val="24"/>
          <w:szCs w:val="24"/>
          <w:lang w:val="mk-MK"/>
        </w:rPr>
        <w:t xml:space="preserve"> </w:t>
      </w:r>
      <w:r w:rsidRPr="001C5B17">
        <w:rPr>
          <w:rFonts w:ascii="Times New Roman" w:hAnsi="Times New Roman"/>
          <w:sz w:val="24"/>
          <w:szCs w:val="24"/>
          <w:lang w:val="mk-MK"/>
        </w:rPr>
        <w:t>контрола</w:t>
      </w:r>
      <w:r>
        <w:rPr>
          <w:rFonts w:ascii="Times New Roman" w:hAnsi="Times New Roman"/>
          <w:sz w:val="24"/>
          <w:szCs w:val="24"/>
          <w:lang w:val="mk-MK"/>
        </w:rPr>
        <w:t xml:space="preserve"> </w:t>
      </w:r>
      <w:r w:rsidRPr="001C5B17">
        <w:rPr>
          <w:rFonts w:ascii="Times New Roman" w:hAnsi="Times New Roman"/>
          <w:sz w:val="24"/>
          <w:szCs w:val="24"/>
          <w:lang w:val="mk-MK"/>
        </w:rPr>
        <w:t>на</w:t>
      </w:r>
      <w:r>
        <w:rPr>
          <w:rFonts w:ascii="Times New Roman" w:hAnsi="Times New Roman"/>
          <w:sz w:val="24"/>
          <w:szCs w:val="24"/>
          <w:lang w:val="mk-MK"/>
        </w:rPr>
        <w:t xml:space="preserve"> </w:t>
      </w:r>
      <w:r w:rsidRPr="001C5B17">
        <w:rPr>
          <w:rFonts w:ascii="Times New Roman" w:hAnsi="Times New Roman"/>
          <w:sz w:val="24"/>
          <w:szCs w:val="24"/>
          <w:lang w:val="mk-MK"/>
        </w:rPr>
        <w:t>усогласеноста</w:t>
      </w:r>
      <w:r>
        <w:rPr>
          <w:rFonts w:ascii="Times New Roman" w:hAnsi="Times New Roman"/>
          <w:sz w:val="24"/>
          <w:szCs w:val="24"/>
          <w:lang w:val="mk-MK"/>
        </w:rPr>
        <w:t xml:space="preserve"> </w:t>
      </w:r>
      <w:r w:rsidRPr="001C5B17">
        <w:rPr>
          <w:rFonts w:ascii="Times New Roman" w:hAnsi="Times New Roman"/>
          <w:sz w:val="24"/>
          <w:szCs w:val="24"/>
          <w:lang w:val="mk-MK"/>
        </w:rPr>
        <w:t>на</w:t>
      </w:r>
      <w:r>
        <w:rPr>
          <w:rFonts w:ascii="Times New Roman" w:hAnsi="Times New Roman"/>
          <w:sz w:val="24"/>
          <w:szCs w:val="24"/>
          <w:lang w:val="mk-MK"/>
        </w:rPr>
        <w:t xml:space="preserve"> </w:t>
      </w:r>
      <w:r w:rsidRPr="001C5B17">
        <w:rPr>
          <w:rFonts w:ascii="Times New Roman" w:hAnsi="Times New Roman"/>
          <w:sz w:val="24"/>
          <w:szCs w:val="24"/>
          <w:lang w:val="mk-MK"/>
        </w:rPr>
        <w:t>работењето</w:t>
      </w:r>
      <w:r>
        <w:rPr>
          <w:rFonts w:ascii="Times New Roman" w:hAnsi="Times New Roman"/>
          <w:sz w:val="24"/>
          <w:szCs w:val="24"/>
          <w:lang w:val="mk-MK"/>
        </w:rPr>
        <w:t xml:space="preserve"> </w:t>
      </w:r>
      <w:r w:rsidRPr="001C5B17">
        <w:rPr>
          <w:rFonts w:ascii="Times New Roman" w:hAnsi="Times New Roman"/>
          <w:sz w:val="24"/>
          <w:szCs w:val="24"/>
          <w:lang w:val="mk-MK"/>
        </w:rPr>
        <w:t>со</w:t>
      </w:r>
      <w:r>
        <w:rPr>
          <w:rFonts w:ascii="Times New Roman" w:hAnsi="Times New Roman"/>
          <w:sz w:val="24"/>
          <w:szCs w:val="24"/>
          <w:lang w:val="mk-MK"/>
        </w:rPr>
        <w:t xml:space="preserve"> </w:t>
      </w:r>
      <w:r w:rsidRPr="001C5B17">
        <w:rPr>
          <w:rFonts w:ascii="Times New Roman" w:hAnsi="Times New Roman"/>
          <w:sz w:val="24"/>
          <w:szCs w:val="24"/>
          <w:lang w:val="mk-MK"/>
        </w:rPr>
        <w:t>прописите</w:t>
      </w:r>
      <w:r>
        <w:rPr>
          <w:rFonts w:ascii="Times New Roman" w:hAnsi="Times New Roman"/>
          <w:sz w:val="24"/>
          <w:szCs w:val="24"/>
          <w:lang w:val="mk-MK"/>
        </w:rPr>
        <w:t xml:space="preserve"> </w:t>
      </w:r>
      <w:r w:rsidRPr="001C5B17">
        <w:rPr>
          <w:rFonts w:ascii="Times New Roman" w:hAnsi="Times New Roman"/>
          <w:sz w:val="24"/>
          <w:szCs w:val="24"/>
          <w:lang w:val="mk-MK"/>
        </w:rPr>
        <w:t>ќе</w:t>
      </w:r>
      <w:r>
        <w:rPr>
          <w:rFonts w:ascii="Times New Roman" w:hAnsi="Times New Roman"/>
          <w:sz w:val="24"/>
          <w:szCs w:val="24"/>
          <w:lang w:val="mk-MK"/>
        </w:rPr>
        <w:t xml:space="preserve"> </w:t>
      </w:r>
      <w:r w:rsidRPr="001C5B17">
        <w:rPr>
          <w:rFonts w:ascii="Times New Roman" w:hAnsi="Times New Roman"/>
          <w:sz w:val="24"/>
          <w:szCs w:val="24"/>
          <w:lang w:val="mk-MK"/>
        </w:rPr>
        <w:t>продолжи</w:t>
      </w:r>
      <w:r>
        <w:rPr>
          <w:rFonts w:ascii="Times New Roman" w:hAnsi="Times New Roman"/>
          <w:sz w:val="24"/>
          <w:szCs w:val="24"/>
          <w:lang w:val="mk-MK"/>
        </w:rPr>
        <w:t xml:space="preserve"> </w:t>
      </w:r>
      <w:r w:rsidRPr="001C5B17">
        <w:rPr>
          <w:rFonts w:ascii="Times New Roman" w:hAnsi="Times New Roman"/>
          <w:sz w:val="24"/>
          <w:szCs w:val="24"/>
          <w:lang w:val="mk-MK"/>
        </w:rPr>
        <w:t>да</w:t>
      </w:r>
      <w:r>
        <w:rPr>
          <w:rFonts w:ascii="Times New Roman" w:hAnsi="Times New Roman"/>
          <w:sz w:val="24"/>
          <w:szCs w:val="24"/>
          <w:lang w:val="mk-MK"/>
        </w:rPr>
        <w:t xml:space="preserve"> </w:t>
      </w:r>
      <w:r w:rsidRPr="001C5B17">
        <w:rPr>
          <w:rFonts w:ascii="Times New Roman" w:hAnsi="Times New Roman"/>
          <w:sz w:val="24"/>
          <w:szCs w:val="24"/>
          <w:lang w:val="mk-MK"/>
        </w:rPr>
        <w:t>ги</w:t>
      </w:r>
      <w:r>
        <w:rPr>
          <w:rFonts w:ascii="Times New Roman" w:hAnsi="Times New Roman"/>
          <w:sz w:val="24"/>
          <w:szCs w:val="24"/>
          <w:lang w:val="mk-MK"/>
        </w:rPr>
        <w:t xml:space="preserve"> </w:t>
      </w:r>
      <w:r w:rsidRPr="001C5B17">
        <w:rPr>
          <w:rFonts w:ascii="Times New Roman" w:hAnsi="Times New Roman"/>
          <w:sz w:val="24"/>
          <w:szCs w:val="24"/>
          <w:lang w:val="mk-MK"/>
        </w:rPr>
        <w:t>врши</w:t>
      </w:r>
      <w:r>
        <w:rPr>
          <w:rFonts w:ascii="Times New Roman" w:hAnsi="Times New Roman"/>
          <w:sz w:val="24"/>
          <w:szCs w:val="24"/>
          <w:lang w:val="mk-MK"/>
        </w:rPr>
        <w:t xml:space="preserve"> </w:t>
      </w:r>
      <w:r w:rsidRPr="001C5B17">
        <w:rPr>
          <w:rFonts w:ascii="Times New Roman" w:hAnsi="Times New Roman"/>
          <w:sz w:val="24"/>
          <w:szCs w:val="24"/>
          <w:lang w:val="mk-MK"/>
        </w:rPr>
        <w:t>своите</w:t>
      </w:r>
      <w:r>
        <w:rPr>
          <w:rFonts w:ascii="Times New Roman" w:hAnsi="Times New Roman"/>
          <w:sz w:val="24"/>
          <w:szCs w:val="24"/>
          <w:lang w:val="mk-MK"/>
        </w:rPr>
        <w:t xml:space="preserve"> </w:t>
      </w:r>
      <w:r w:rsidRPr="001C5B17">
        <w:rPr>
          <w:rFonts w:ascii="Times New Roman" w:hAnsi="Times New Roman"/>
          <w:sz w:val="24"/>
          <w:szCs w:val="24"/>
          <w:lang w:val="mk-MK"/>
        </w:rPr>
        <w:t>редовни</w:t>
      </w:r>
      <w:r>
        <w:rPr>
          <w:rFonts w:ascii="Times New Roman" w:hAnsi="Times New Roman"/>
          <w:sz w:val="24"/>
          <w:szCs w:val="24"/>
          <w:lang w:val="mk-MK"/>
        </w:rPr>
        <w:t xml:space="preserve"> </w:t>
      </w:r>
      <w:r w:rsidRPr="001C5B17">
        <w:rPr>
          <w:rFonts w:ascii="Times New Roman" w:hAnsi="Times New Roman"/>
          <w:sz w:val="24"/>
          <w:szCs w:val="24"/>
          <w:lang w:val="mk-MK"/>
        </w:rPr>
        <w:t>активности</w:t>
      </w:r>
      <w:r>
        <w:rPr>
          <w:rFonts w:ascii="Times New Roman" w:hAnsi="Times New Roman"/>
          <w:sz w:val="24"/>
          <w:szCs w:val="24"/>
          <w:lang w:val="mk-MK"/>
        </w:rPr>
        <w:t xml:space="preserve"> </w:t>
      </w:r>
      <w:r w:rsidRPr="00E5192E">
        <w:rPr>
          <w:rFonts w:ascii="Times New Roman" w:hAnsi="Times New Roman"/>
          <w:sz w:val="24"/>
          <w:szCs w:val="24"/>
          <w:lang w:val="mk-MK"/>
        </w:rPr>
        <w:t xml:space="preserve">во насока на </w:t>
      </w:r>
      <w:r w:rsidRPr="001C5B17">
        <w:rPr>
          <w:rFonts w:ascii="Times New Roman" w:hAnsi="Times New Roman"/>
          <w:sz w:val="24"/>
          <w:szCs w:val="24"/>
          <w:lang w:val="mk-MK"/>
        </w:rPr>
        <w:t>одржува</w:t>
      </w:r>
      <w:r w:rsidRPr="00E5192E">
        <w:rPr>
          <w:rFonts w:ascii="Times New Roman" w:hAnsi="Times New Roman"/>
          <w:sz w:val="24"/>
          <w:szCs w:val="24"/>
          <w:lang w:val="mk-MK"/>
        </w:rPr>
        <w:t xml:space="preserve">ње </w:t>
      </w:r>
      <w:r w:rsidRPr="001C5B17">
        <w:rPr>
          <w:rFonts w:ascii="Times New Roman" w:hAnsi="Times New Roman"/>
          <w:sz w:val="24"/>
          <w:szCs w:val="24"/>
          <w:lang w:val="mk-MK"/>
        </w:rPr>
        <w:t>и зајакн</w:t>
      </w:r>
      <w:r w:rsidRPr="00E5192E">
        <w:rPr>
          <w:rFonts w:ascii="Times New Roman" w:hAnsi="Times New Roman"/>
          <w:sz w:val="24"/>
          <w:szCs w:val="24"/>
          <w:lang w:val="mk-MK"/>
        </w:rPr>
        <w:t>ување на</w:t>
      </w:r>
      <w:r>
        <w:rPr>
          <w:rFonts w:ascii="Times New Roman" w:hAnsi="Times New Roman"/>
          <w:sz w:val="24"/>
          <w:szCs w:val="24"/>
          <w:lang w:val="mk-MK"/>
        </w:rPr>
        <w:t xml:space="preserve"> </w:t>
      </w:r>
      <w:r w:rsidRPr="001C5B17">
        <w:rPr>
          <w:rFonts w:ascii="Times New Roman" w:hAnsi="Times New Roman"/>
          <w:sz w:val="24"/>
          <w:szCs w:val="24"/>
          <w:lang w:val="mk-MK"/>
        </w:rPr>
        <w:t>култура</w:t>
      </w:r>
      <w:r w:rsidRPr="00E5192E">
        <w:rPr>
          <w:rFonts w:ascii="Times New Roman" w:hAnsi="Times New Roman"/>
          <w:sz w:val="24"/>
          <w:szCs w:val="24"/>
          <w:lang w:val="mk-MK"/>
        </w:rPr>
        <w:t>та</w:t>
      </w:r>
      <w:r>
        <w:rPr>
          <w:rFonts w:ascii="Times New Roman" w:hAnsi="Times New Roman"/>
          <w:sz w:val="24"/>
          <w:szCs w:val="24"/>
          <w:lang w:val="mk-MK"/>
        </w:rPr>
        <w:t xml:space="preserve"> </w:t>
      </w:r>
      <w:r w:rsidRPr="001C5B17">
        <w:rPr>
          <w:rFonts w:ascii="Times New Roman" w:hAnsi="Times New Roman"/>
          <w:sz w:val="24"/>
          <w:szCs w:val="24"/>
          <w:lang w:val="mk-MK"/>
        </w:rPr>
        <w:t>за</w:t>
      </w:r>
      <w:r>
        <w:rPr>
          <w:rFonts w:ascii="Times New Roman" w:hAnsi="Times New Roman"/>
          <w:sz w:val="24"/>
          <w:szCs w:val="24"/>
          <w:lang w:val="mk-MK"/>
        </w:rPr>
        <w:t xml:space="preserve"> </w:t>
      </w:r>
      <w:r w:rsidRPr="001C5B17">
        <w:rPr>
          <w:rFonts w:ascii="Times New Roman" w:hAnsi="Times New Roman"/>
          <w:sz w:val="24"/>
          <w:szCs w:val="24"/>
          <w:lang w:val="mk-MK"/>
        </w:rPr>
        <w:t>усогласеност</w:t>
      </w:r>
      <w:r>
        <w:rPr>
          <w:rFonts w:ascii="Times New Roman" w:hAnsi="Times New Roman"/>
          <w:sz w:val="24"/>
          <w:szCs w:val="24"/>
          <w:lang w:val="mk-MK"/>
        </w:rPr>
        <w:t xml:space="preserve"> </w:t>
      </w:r>
      <w:r w:rsidRPr="001C5B17">
        <w:rPr>
          <w:rFonts w:ascii="Times New Roman" w:hAnsi="Times New Roman"/>
          <w:sz w:val="24"/>
          <w:szCs w:val="24"/>
          <w:lang w:val="mk-MK"/>
        </w:rPr>
        <w:t>со</w:t>
      </w:r>
      <w:r>
        <w:rPr>
          <w:rFonts w:ascii="Times New Roman" w:hAnsi="Times New Roman"/>
          <w:sz w:val="24"/>
          <w:szCs w:val="24"/>
          <w:lang w:val="mk-MK"/>
        </w:rPr>
        <w:t xml:space="preserve"> </w:t>
      </w:r>
      <w:r w:rsidRPr="001C5B17">
        <w:rPr>
          <w:rFonts w:ascii="Times New Roman" w:hAnsi="Times New Roman"/>
          <w:sz w:val="24"/>
          <w:szCs w:val="24"/>
          <w:lang w:val="mk-MK"/>
        </w:rPr>
        <w:t>прописите</w:t>
      </w:r>
      <w:r>
        <w:rPr>
          <w:rFonts w:ascii="Times New Roman" w:hAnsi="Times New Roman"/>
          <w:sz w:val="24"/>
          <w:szCs w:val="24"/>
          <w:lang w:val="mk-MK"/>
        </w:rPr>
        <w:t xml:space="preserve"> </w:t>
      </w:r>
      <w:r w:rsidRPr="001C5B17">
        <w:rPr>
          <w:rFonts w:ascii="Times New Roman" w:hAnsi="Times New Roman"/>
          <w:sz w:val="24"/>
          <w:szCs w:val="24"/>
          <w:lang w:val="mk-MK"/>
        </w:rPr>
        <w:t>во</w:t>
      </w:r>
      <w:r>
        <w:rPr>
          <w:rFonts w:ascii="Times New Roman" w:hAnsi="Times New Roman"/>
          <w:sz w:val="24"/>
          <w:szCs w:val="24"/>
          <w:lang w:val="mk-MK"/>
        </w:rPr>
        <w:t xml:space="preserve"> </w:t>
      </w:r>
      <w:r w:rsidRPr="001C5B17">
        <w:rPr>
          <w:rFonts w:ascii="Times New Roman" w:hAnsi="Times New Roman"/>
          <w:sz w:val="24"/>
          <w:szCs w:val="24"/>
          <w:lang w:val="mk-MK"/>
        </w:rPr>
        <w:t>рамките</w:t>
      </w:r>
      <w:r>
        <w:rPr>
          <w:rFonts w:ascii="Times New Roman" w:hAnsi="Times New Roman"/>
          <w:sz w:val="24"/>
          <w:szCs w:val="24"/>
          <w:lang w:val="mk-MK"/>
        </w:rPr>
        <w:t xml:space="preserve"> </w:t>
      </w:r>
      <w:r w:rsidRPr="001C5B17">
        <w:rPr>
          <w:rFonts w:ascii="Times New Roman" w:hAnsi="Times New Roman"/>
          <w:sz w:val="24"/>
          <w:szCs w:val="24"/>
          <w:lang w:val="mk-MK"/>
        </w:rPr>
        <w:t xml:space="preserve">на СБ, </w:t>
      </w:r>
      <w:r w:rsidRPr="00E5192E">
        <w:rPr>
          <w:rFonts w:ascii="Times New Roman" w:hAnsi="Times New Roman"/>
          <w:sz w:val="24"/>
          <w:szCs w:val="24"/>
          <w:lang w:val="mk-MK"/>
        </w:rPr>
        <w:t xml:space="preserve">како и </w:t>
      </w:r>
      <w:r w:rsidRPr="001C5B17">
        <w:rPr>
          <w:rFonts w:ascii="Times New Roman" w:hAnsi="Times New Roman"/>
          <w:sz w:val="24"/>
          <w:szCs w:val="24"/>
          <w:lang w:val="mk-MK"/>
        </w:rPr>
        <w:t>постигнување</w:t>
      </w:r>
      <w:r>
        <w:rPr>
          <w:rFonts w:ascii="Times New Roman" w:hAnsi="Times New Roman"/>
          <w:sz w:val="24"/>
          <w:szCs w:val="24"/>
          <w:lang w:val="mk-MK"/>
        </w:rPr>
        <w:t xml:space="preserve"> </w:t>
      </w:r>
      <w:r w:rsidRPr="001C5B17">
        <w:rPr>
          <w:rFonts w:ascii="Times New Roman" w:hAnsi="Times New Roman"/>
          <w:sz w:val="24"/>
          <w:szCs w:val="24"/>
          <w:lang w:val="mk-MK"/>
        </w:rPr>
        <w:t>севкупна</w:t>
      </w:r>
      <w:r>
        <w:rPr>
          <w:rFonts w:ascii="Times New Roman" w:hAnsi="Times New Roman"/>
          <w:sz w:val="24"/>
          <w:szCs w:val="24"/>
          <w:lang w:val="mk-MK"/>
        </w:rPr>
        <w:t xml:space="preserve"> </w:t>
      </w:r>
      <w:r w:rsidRPr="001C5B17">
        <w:rPr>
          <w:rFonts w:ascii="Times New Roman" w:hAnsi="Times New Roman"/>
          <w:sz w:val="24"/>
          <w:szCs w:val="24"/>
          <w:lang w:val="mk-MK"/>
        </w:rPr>
        <w:t>усогласеност</w:t>
      </w:r>
      <w:r>
        <w:rPr>
          <w:rFonts w:ascii="Times New Roman" w:hAnsi="Times New Roman"/>
          <w:sz w:val="24"/>
          <w:szCs w:val="24"/>
          <w:lang w:val="mk-MK"/>
        </w:rPr>
        <w:t xml:space="preserve"> </w:t>
      </w:r>
      <w:r w:rsidRPr="001C5B17">
        <w:rPr>
          <w:rFonts w:ascii="Times New Roman" w:hAnsi="Times New Roman"/>
          <w:sz w:val="24"/>
          <w:szCs w:val="24"/>
          <w:lang w:val="mk-MK"/>
        </w:rPr>
        <w:t>на</w:t>
      </w:r>
      <w:r>
        <w:rPr>
          <w:rFonts w:ascii="Times New Roman" w:hAnsi="Times New Roman"/>
          <w:sz w:val="24"/>
          <w:szCs w:val="24"/>
          <w:lang w:val="mk-MK"/>
        </w:rPr>
        <w:t xml:space="preserve"> </w:t>
      </w:r>
      <w:r w:rsidRPr="001C5B17">
        <w:rPr>
          <w:rFonts w:ascii="Times New Roman" w:hAnsi="Times New Roman"/>
          <w:sz w:val="24"/>
          <w:szCs w:val="24"/>
          <w:lang w:val="mk-MK"/>
        </w:rPr>
        <w:t>работењето</w:t>
      </w:r>
      <w:r>
        <w:rPr>
          <w:rFonts w:ascii="Times New Roman" w:hAnsi="Times New Roman"/>
          <w:sz w:val="24"/>
          <w:szCs w:val="24"/>
          <w:lang w:val="mk-MK"/>
        </w:rPr>
        <w:t xml:space="preserve"> </w:t>
      </w:r>
      <w:r w:rsidRPr="001C5B17">
        <w:rPr>
          <w:rFonts w:ascii="Times New Roman" w:hAnsi="Times New Roman"/>
          <w:sz w:val="24"/>
          <w:szCs w:val="24"/>
          <w:lang w:val="mk-MK"/>
        </w:rPr>
        <w:t>на</w:t>
      </w:r>
      <w:r>
        <w:rPr>
          <w:rFonts w:ascii="Times New Roman" w:hAnsi="Times New Roman"/>
          <w:sz w:val="24"/>
          <w:szCs w:val="24"/>
          <w:lang w:val="mk-MK"/>
        </w:rPr>
        <w:t xml:space="preserve"> </w:t>
      </w:r>
      <w:r w:rsidRPr="001C5B17">
        <w:rPr>
          <w:rFonts w:ascii="Times New Roman" w:hAnsi="Times New Roman"/>
          <w:sz w:val="24"/>
          <w:szCs w:val="24"/>
          <w:lang w:val="mk-MK"/>
        </w:rPr>
        <w:t>Банката</w:t>
      </w:r>
      <w:r>
        <w:rPr>
          <w:rFonts w:ascii="Times New Roman" w:hAnsi="Times New Roman"/>
          <w:sz w:val="24"/>
          <w:szCs w:val="24"/>
          <w:lang w:val="mk-MK"/>
        </w:rPr>
        <w:t xml:space="preserve"> </w:t>
      </w:r>
      <w:r w:rsidRPr="001C5B17">
        <w:rPr>
          <w:rFonts w:ascii="Times New Roman" w:hAnsi="Times New Roman"/>
          <w:sz w:val="24"/>
          <w:szCs w:val="24"/>
          <w:lang w:val="mk-MK"/>
        </w:rPr>
        <w:t>со</w:t>
      </w:r>
      <w:r>
        <w:rPr>
          <w:rFonts w:ascii="Times New Roman" w:hAnsi="Times New Roman"/>
          <w:sz w:val="24"/>
          <w:szCs w:val="24"/>
          <w:lang w:val="mk-MK"/>
        </w:rPr>
        <w:t xml:space="preserve"> </w:t>
      </w:r>
      <w:r w:rsidRPr="001C5B17">
        <w:rPr>
          <w:rFonts w:ascii="Times New Roman" w:hAnsi="Times New Roman"/>
          <w:sz w:val="24"/>
          <w:szCs w:val="24"/>
          <w:lang w:val="mk-MK"/>
        </w:rPr>
        <w:t>релевантната</w:t>
      </w:r>
      <w:r>
        <w:rPr>
          <w:rFonts w:ascii="Times New Roman" w:hAnsi="Times New Roman"/>
          <w:sz w:val="24"/>
          <w:szCs w:val="24"/>
          <w:lang w:val="mk-MK"/>
        </w:rPr>
        <w:t xml:space="preserve"> </w:t>
      </w:r>
      <w:r w:rsidRPr="001C5B17">
        <w:rPr>
          <w:rFonts w:ascii="Times New Roman" w:hAnsi="Times New Roman"/>
          <w:sz w:val="24"/>
          <w:szCs w:val="24"/>
          <w:lang w:val="mk-MK"/>
        </w:rPr>
        <w:t>регулатива</w:t>
      </w:r>
      <w:r w:rsidRPr="00E5192E">
        <w:rPr>
          <w:rFonts w:ascii="Times New Roman" w:hAnsi="Times New Roman"/>
          <w:sz w:val="24"/>
          <w:szCs w:val="24"/>
          <w:lang w:val="mk-MK"/>
        </w:rPr>
        <w:t xml:space="preserve"> како нејзина главна цел</w:t>
      </w:r>
      <w:r w:rsidRPr="001C5B17">
        <w:rPr>
          <w:rFonts w:ascii="Times New Roman" w:hAnsi="Times New Roman"/>
          <w:sz w:val="24"/>
          <w:szCs w:val="24"/>
          <w:lang w:val="mk-MK"/>
        </w:rPr>
        <w:t>.</w:t>
      </w:r>
    </w:p>
    <w:p w14:paraId="3410371E" w14:textId="77777777" w:rsidR="001C5B17" w:rsidRDefault="001C5B17" w:rsidP="001C5B17">
      <w:pPr>
        <w:autoSpaceDE w:val="0"/>
        <w:autoSpaceDN w:val="0"/>
        <w:spacing w:before="360"/>
        <w:jc w:val="both"/>
        <w:rPr>
          <w:rFonts w:ascii="Times New Roman" w:hAnsi="Times New Roman"/>
          <w:b/>
          <w:bCs/>
          <w:color w:val="000000"/>
          <w:sz w:val="28"/>
          <w:szCs w:val="28"/>
          <w:lang w:val="mk-MK" w:eastAsia="en-GB"/>
        </w:rPr>
      </w:pPr>
    </w:p>
    <w:p w14:paraId="305A8513" w14:textId="0AAD43D7" w:rsidR="001C5B17" w:rsidRPr="00B80125" w:rsidRDefault="001C5B17" w:rsidP="001C5B17">
      <w:pPr>
        <w:autoSpaceDE w:val="0"/>
        <w:autoSpaceDN w:val="0"/>
        <w:spacing w:before="360"/>
        <w:jc w:val="both"/>
        <w:rPr>
          <w:rFonts w:ascii="Times New Roman" w:hAnsi="Times New Roman"/>
          <w:b/>
          <w:bCs/>
          <w:color w:val="000000"/>
          <w:sz w:val="28"/>
          <w:szCs w:val="28"/>
          <w:lang w:val="mk-MK" w:eastAsia="en-GB"/>
        </w:rPr>
      </w:pPr>
      <w:r w:rsidRPr="00B80125">
        <w:rPr>
          <w:rFonts w:ascii="Times New Roman" w:hAnsi="Times New Roman"/>
          <w:b/>
          <w:bCs/>
          <w:color w:val="000000"/>
          <w:sz w:val="28"/>
          <w:szCs w:val="28"/>
          <w:lang w:val="mk-MK" w:eastAsia="en-GB"/>
        </w:rPr>
        <w:lastRenderedPageBreak/>
        <w:t>Заштита на лични податоци</w:t>
      </w:r>
    </w:p>
    <w:p w14:paraId="1BB00099" w14:textId="77777777" w:rsidR="001C5B17" w:rsidRPr="00B80125" w:rsidRDefault="001C5B17" w:rsidP="001C5B17">
      <w:pPr>
        <w:autoSpaceDE w:val="0"/>
        <w:autoSpaceDN w:val="0"/>
        <w:adjustRightInd w:val="0"/>
        <w:spacing w:before="240"/>
        <w:jc w:val="both"/>
        <w:rPr>
          <w:rFonts w:ascii="Times New Roman" w:hAnsi="Times New Roman"/>
          <w:bCs/>
          <w:color w:val="000000"/>
          <w:sz w:val="24"/>
          <w:szCs w:val="24"/>
          <w:lang w:eastAsia="en-GB"/>
        </w:rPr>
      </w:pPr>
      <w:r w:rsidRPr="00B80125">
        <w:rPr>
          <w:rFonts w:ascii="Times New Roman" w:hAnsi="Times New Roman"/>
          <w:bCs/>
          <w:color w:val="000000"/>
          <w:sz w:val="24"/>
          <w:szCs w:val="24"/>
          <w:lang w:val="mk-MK" w:eastAsia="en-GB"/>
        </w:rPr>
        <w:t>Приватноста и доверливоста на клиентите на Банката е од најголема важност за Стопанска банка, имајќи ја предвид природата на банкарското работење и податоците што банките ги собираат за нивното секојдневно работење.</w:t>
      </w:r>
    </w:p>
    <w:p w14:paraId="4A13A720" w14:textId="77777777" w:rsidR="001C5B17" w:rsidRPr="00B80125" w:rsidRDefault="001C5B17" w:rsidP="001C5B17">
      <w:pPr>
        <w:autoSpaceDE w:val="0"/>
        <w:autoSpaceDN w:val="0"/>
        <w:adjustRightInd w:val="0"/>
        <w:spacing w:before="240"/>
        <w:jc w:val="both"/>
        <w:rPr>
          <w:rFonts w:ascii="Times New Roman" w:hAnsi="Times New Roman"/>
          <w:bCs/>
          <w:color w:val="000000"/>
          <w:sz w:val="24"/>
          <w:szCs w:val="24"/>
          <w:lang w:eastAsia="en-GB"/>
        </w:rPr>
      </w:pPr>
      <w:r w:rsidRPr="00B80125">
        <w:rPr>
          <w:rFonts w:ascii="Times New Roman" w:hAnsi="Times New Roman"/>
          <w:bCs/>
          <w:color w:val="000000"/>
          <w:sz w:val="24"/>
          <w:szCs w:val="24"/>
          <w:lang w:val="mk-MK" w:eastAsia="en-GB"/>
        </w:rPr>
        <w:t>Во согласност со Законот за заштита на лични податоци, Банката има именувано Одговорно лице за заштита на лични податоци и континуирано превзема голем број на активности со кои се обезбедува дека податоците</w:t>
      </w:r>
      <w:r w:rsidRPr="00B80125">
        <w:rPr>
          <w:rFonts w:ascii="Times New Roman" w:hAnsi="Times New Roman"/>
          <w:bCs/>
          <w:color w:val="000000"/>
          <w:sz w:val="24"/>
          <w:szCs w:val="24"/>
          <w:lang w:eastAsia="en-GB"/>
        </w:rPr>
        <w:t>:</w:t>
      </w:r>
    </w:p>
    <w:p w14:paraId="6EFF63A5" w14:textId="77777777" w:rsidR="001C5B17" w:rsidRPr="00B80125" w:rsidRDefault="001C5B17" w:rsidP="001C5B17">
      <w:pPr>
        <w:numPr>
          <w:ilvl w:val="0"/>
          <w:numId w:val="32"/>
        </w:numPr>
        <w:autoSpaceDE w:val="0"/>
        <w:autoSpaceDN w:val="0"/>
        <w:adjustRightInd w:val="0"/>
        <w:spacing w:before="240"/>
        <w:jc w:val="both"/>
        <w:rPr>
          <w:rFonts w:ascii="Times New Roman" w:hAnsi="Times New Roman"/>
          <w:bCs/>
          <w:color w:val="000000"/>
          <w:sz w:val="24"/>
          <w:szCs w:val="24"/>
          <w:lang w:val="mk-MK" w:eastAsia="en-GB"/>
        </w:rPr>
      </w:pPr>
      <w:r w:rsidRPr="00B80125">
        <w:rPr>
          <w:rFonts w:ascii="Times New Roman" w:hAnsi="Times New Roman"/>
          <w:bCs/>
          <w:color w:val="000000"/>
          <w:sz w:val="24"/>
          <w:szCs w:val="24"/>
          <w:lang w:val="mk-MK" w:eastAsia="en-GB"/>
        </w:rPr>
        <w:t>обработуваат на етички и законски начин,</w:t>
      </w:r>
    </w:p>
    <w:p w14:paraId="569E95CB" w14:textId="77777777" w:rsidR="001C5B17" w:rsidRPr="00B80125" w:rsidRDefault="001C5B17" w:rsidP="001C5B17">
      <w:pPr>
        <w:numPr>
          <w:ilvl w:val="0"/>
          <w:numId w:val="32"/>
        </w:numPr>
        <w:autoSpaceDE w:val="0"/>
        <w:autoSpaceDN w:val="0"/>
        <w:adjustRightInd w:val="0"/>
        <w:spacing w:before="240"/>
        <w:jc w:val="both"/>
        <w:rPr>
          <w:rFonts w:ascii="Times New Roman" w:hAnsi="Times New Roman"/>
          <w:bCs/>
          <w:color w:val="000000"/>
          <w:sz w:val="24"/>
          <w:szCs w:val="24"/>
          <w:lang w:val="mk-MK" w:eastAsia="en-GB"/>
        </w:rPr>
      </w:pPr>
      <w:r w:rsidRPr="00B80125">
        <w:rPr>
          <w:rFonts w:ascii="Times New Roman" w:hAnsi="Times New Roman"/>
          <w:bCs/>
          <w:color w:val="000000"/>
          <w:sz w:val="24"/>
          <w:szCs w:val="24"/>
          <w:lang w:val="mk-MK" w:eastAsia="en-GB"/>
        </w:rPr>
        <w:t>се собираат за конретни, јасни и легитимни цели и</w:t>
      </w:r>
    </w:p>
    <w:p w14:paraId="1CE57978" w14:textId="77777777" w:rsidR="001C5B17" w:rsidRPr="00B80125" w:rsidRDefault="001C5B17" w:rsidP="001C5B17">
      <w:pPr>
        <w:numPr>
          <w:ilvl w:val="0"/>
          <w:numId w:val="32"/>
        </w:numPr>
        <w:autoSpaceDE w:val="0"/>
        <w:autoSpaceDN w:val="0"/>
        <w:adjustRightInd w:val="0"/>
        <w:spacing w:before="240"/>
        <w:jc w:val="both"/>
        <w:rPr>
          <w:rFonts w:ascii="Times New Roman" w:hAnsi="Times New Roman"/>
          <w:bCs/>
          <w:color w:val="000000"/>
          <w:sz w:val="24"/>
          <w:szCs w:val="24"/>
          <w:lang w:val="mk-MK" w:eastAsia="en-GB"/>
        </w:rPr>
      </w:pPr>
      <w:r w:rsidRPr="00B80125">
        <w:rPr>
          <w:rFonts w:ascii="Times New Roman" w:hAnsi="Times New Roman"/>
          <w:bCs/>
          <w:color w:val="000000"/>
          <w:sz w:val="24"/>
          <w:szCs w:val="24"/>
          <w:lang w:val="mk-MK" w:eastAsia="en-GB"/>
        </w:rPr>
        <w:t>се чуваат и обработуваат со соодветно ниво на безбедност и само за временскиот период предвиден за исполнување на целите на собирање и обработка.</w:t>
      </w:r>
    </w:p>
    <w:p w14:paraId="2A71B993" w14:textId="77777777" w:rsidR="001C5B17" w:rsidRPr="00B80125" w:rsidRDefault="001C5B17" w:rsidP="001C5B17">
      <w:pPr>
        <w:autoSpaceDE w:val="0"/>
        <w:autoSpaceDN w:val="0"/>
        <w:adjustRightInd w:val="0"/>
        <w:spacing w:before="240"/>
        <w:jc w:val="both"/>
        <w:rPr>
          <w:rFonts w:ascii="Times New Roman" w:hAnsi="Times New Roman"/>
          <w:sz w:val="24"/>
          <w:lang w:val="mk-MK"/>
        </w:rPr>
      </w:pPr>
      <w:r w:rsidRPr="00B80125">
        <w:rPr>
          <w:rFonts w:ascii="Times New Roman" w:hAnsi="Times New Roman"/>
          <w:sz w:val="24"/>
          <w:lang w:val="mk-MK"/>
        </w:rPr>
        <w:t xml:space="preserve">СБ има имплементирано голем сет на технолошки, административни и организациски мерки како и мерки за физичка безбедност со цел да се заштити доверливоста, интегритетот и достапноста на личните податоци. Во оваа насока, со цел да одговори на потребите на клиентите, Банката има воспоставено процедура за одговорање на поплаки поврзани со заштита на личните податоци со која ги разрешува поплаките поврзани со оваа тема и/или барањата поврзани со правата на субјектите на лични податоци во разумно време, како и протокол при нарушување на безбедноста на личните податоци, со што влева доверба кај субјектите на лични податоци дека Банката ги чува безбедно нивните податоци и ги обработува на законски начин. </w:t>
      </w:r>
    </w:p>
    <w:p w14:paraId="67E91318" w14:textId="77777777" w:rsidR="001C5B17" w:rsidRPr="002D6093" w:rsidRDefault="001C5B17" w:rsidP="001C5B17">
      <w:pPr>
        <w:autoSpaceDE w:val="0"/>
        <w:autoSpaceDN w:val="0"/>
        <w:adjustRightInd w:val="0"/>
        <w:spacing w:before="240"/>
        <w:jc w:val="both"/>
        <w:rPr>
          <w:rFonts w:ascii="Times New Roman" w:hAnsi="Times New Roman"/>
          <w:sz w:val="24"/>
        </w:rPr>
      </w:pPr>
      <w:r w:rsidRPr="00B80125">
        <w:rPr>
          <w:rFonts w:ascii="Times New Roman" w:hAnsi="Times New Roman"/>
          <w:sz w:val="24"/>
          <w:lang w:val="mk-MK"/>
        </w:rPr>
        <w:t>Повеќе информации за начинот на кој СБ ги собира, обработува, користи, споделува и уништува личните податоци може да се најдат на веб-страницата на Банката во склоп на Политиката на приватност како и по барање на субјектите на лични податоци.</w:t>
      </w:r>
      <w:r w:rsidRPr="002D6093">
        <w:rPr>
          <w:rFonts w:ascii="Times New Roman" w:hAnsi="Times New Roman"/>
          <w:sz w:val="24"/>
          <w:lang w:val="mk-MK"/>
        </w:rPr>
        <w:t xml:space="preserve"> </w:t>
      </w:r>
    </w:p>
    <w:p w14:paraId="738E5FA0" w14:textId="77777777" w:rsidR="001C5B17" w:rsidRDefault="001C5B17" w:rsidP="001C5B17">
      <w:pPr>
        <w:autoSpaceDE w:val="0"/>
        <w:autoSpaceDN w:val="0"/>
        <w:adjustRightInd w:val="0"/>
        <w:spacing w:before="240"/>
        <w:jc w:val="both"/>
        <w:rPr>
          <w:rFonts w:asciiTheme="minorHAnsi" w:hAnsiTheme="minorHAnsi" w:cstheme="minorHAnsi"/>
        </w:rPr>
      </w:pPr>
    </w:p>
    <w:p w14:paraId="37F76A26" w14:textId="77777777" w:rsidR="001C5B17" w:rsidRDefault="001C5B17" w:rsidP="001C5B17">
      <w:pPr>
        <w:autoSpaceDE w:val="0"/>
        <w:autoSpaceDN w:val="0"/>
        <w:adjustRightInd w:val="0"/>
        <w:spacing w:before="240"/>
        <w:jc w:val="both"/>
        <w:rPr>
          <w:rFonts w:asciiTheme="minorHAnsi" w:hAnsiTheme="minorHAnsi" w:cstheme="minorHAnsi"/>
        </w:rPr>
      </w:pPr>
    </w:p>
    <w:p w14:paraId="29AFF25F" w14:textId="77777777" w:rsidR="001C5B17" w:rsidRDefault="001C5B17" w:rsidP="001C5B17">
      <w:pPr>
        <w:autoSpaceDE w:val="0"/>
        <w:autoSpaceDN w:val="0"/>
        <w:adjustRightInd w:val="0"/>
        <w:spacing w:before="240"/>
        <w:jc w:val="both"/>
        <w:rPr>
          <w:rFonts w:asciiTheme="minorHAnsi" w:hAnsiTheme="minorHAnsi" w:cstheme="minorHAnsi"/>
        </w:rPr>
      </w:pPr>
    </w:p>
    <w:p w14:paraId="5DF1F3B0" w14:textId="77777777" w:rsidR="001C5B17" w:rsidRDefault="001C5B17" w:rsidP="001C5B17">
      <w:pPr>
        <w:autoSpaceDE w:val="0"/>
        <w:autoSpaceDN w:val="0"/>
        <w:adjustRightInd w:val="0"/>
        <w:spacing w:before="240" w:after="480"/>
        <w:rPr>
          <w:rFonts w:ascii="Times New Roman" w:eastAsia="Times New Roman" w:hAnsi="Times New Roman"/>
          <w:b/>
          <w:bCs/>
          <w:color w:val="000000"/>
          <w:sz w:val="24"/>
          <w:szCs w:val="24"/>
          <w:lang w:eastAsia="en-GB"/>
        </w:rPr>
      </w:pPr>
    </w:p>
    <w:p w14:paraId="261E843A" w14:textId="77777777" w:rsidR="001C5B17" w:rsidRDefault="001C5B17" w:rsidP="001C5B17">
      <w:pPr>
        <w:autoSpaceDE w:val="0"/>
        <w:autoSpaceDN w:val="0"/>
        <w:adjustRightInd w:val="0"/>
        <w:spacing w:before="240" w:after="480"/>
        <w:rPr>
          <w:rFonts w:ascii="Times New Roman" w:eastAsia="Times New Roman" w:hAnsi="Times New Roman"/>
          <w:b/>
          <w:bCs/>
          <w:color w:val="000000"/>
          <w:sz w:val="24"/>
          <w:szCs w:val="24"/>
          <w:lang w:eastAsia="en-GB"/>
        </w:rPr>
      </w:pPr>
    </w:p>
    <w:p w14:paraId="7BC35E03" w14:textId="77777777" w:rsidR="001C5B17" w:rsidRPr="00EB77D6" w:rsidRDefault="001C5B17" w:rsidP="001C5B17">
      <w:pPr>
        <w:pStyle w:val="Heading1"/>
        <w:rPr>
          <w:b/>
          <w:szCs w:val="24"/>
          <w:lang w:val="mk-MK" w:eastAsia="en-GB"/>
        </w:rPr>
      </w:pPr>
      <w:bookmarkStart w:id="77" w:name="_Toc39126950"/>
      <w:r w:rsidRPr="00EB77D6">
        <w:rPr>
          <w:b/>
          <w:szCs w:val="24"/>
          <w:lang w:val="mk-MK" w:eastAsia="en-GB"/>
        </w:rPr>
        <w:lastRenderedPageBreak/>
        <w:t>ИЗВЕШТАЈ ЗА КОРПОРАТИВНО УПРАВУВАЊЕ ЗА 2022 ГОДИНА</w:t>
      </w:r>
      <w:bookmarkEnd w:id="77"/>
    </w:p>
    <w:p w14:paraId="10FA9B18" w14:textId="77777777" w:rsidR="001C5B17" w:rsidRPr="00EB77D6" w:rsidRDefault="001C5B17" w:rsidP="001C5B17">
      <w:pPr>
        <w:autoSpaceDE w:val="0"/>
        <w:autoSpaceDN w:val="0"/>
        <w:adjustRightInd w:val="0"/>
        <w:spacing w:before="240"/>
        <w:jc w:val="both"/>
        <w:rPr>
          <w:rFonts w:ascii="Times New Roman" w:hAnsi="Times New Roman"/>
          <w:sz w:val="24"/>
          <w:szCs w:val="24"/>
        </w:rPr>
      </w:pPr>
      <w:r w:rsidRPr="00EB77D6">
        <w:rPr>
          <w:rFonts w:ascii="Times New Roman" w:eastAsia="Times New Roman" w:hAnsi="Times New Roman"/>
          <w:color w:val="000000"/>
          <w:sz w:val="24"/>
          <w:szCs w:val="24"/>
          <w:lang w:val="mk-MK" w:eastAsia="en-GB"/>
        </w:rPr>
        <w:t xml:space="preserve">Стопанска банка АД – Скопје (СБ) е една од најголемите, најпрофитабилните и најсолидните системски банки во земјата со високо софистициран и ефикасен систем на корпоративно управување воспоставен преку следење на најдобрите практики, стандардите на НБГ Групацијата, соодветната регулатива, како и стратешките потреби на Банката и нејзините заинтересирани страни. Одговорното корпоративно управување е највисок приоритет за Банката што поддржува целосно спроведување на нејзиниот деловен план со оперативна извонредност и интегритет. </w:t>
      </w:r>
      <w:r w:rsidRPr="00EB77D6">
        <w:rPr>
          <w:rFonts w:ascii="Times New Roman" w:hAnsi="Times New Roman"/>
          <w:sz w:val="24"/>
          <w:szCs w:val="24"/>
        </w:rPr>
        <w:t xml:space="preserve"> </w:t>
      </w:r>
    </w:p>
    <w:p w14:paraId="791CA0E3" w14:textId="24E88F6B" w:rsidR="001C5B17" w:rsidRPr="00EB77D6" w:rsidRDefault="001C5B17" w:rsidP="001C5B17">
      <w:pPr>
        <w:autoSpaceDE w:val="0"/>
        <w:autoSpaceDN w:val="0"/>
        <w:adjustRightInd w:val="0"/>
        <w:spacing w:before="240"/>
        <w:jc w:val="both"/>
        <w:rPr>
          <w:rFonts w:ascii="Times New Roman" w:hAnsi="Times New Roman"/>
          <w:sz w:val="24"/>
          <w:szCs w:val="24"/>
        </w:rPr>
      </w:pPr>
      <w:r w:rsidRPr="00EB77D6">
        <w:rPr>
          <w:rFonts w:ascii="Times New Roman" w:eastAsia="Times New Roman" w:hAnsi="Times New Roman"/>
          <w:color w:val="000000"/>
          <w:sz w:val="24"/>
          <w:szCs w:val="24"/>
          <w:lang w:val="mk-MK" w:eastAsia="en-GB"/>
        </w:rPr>
        <w:t xml:space="preserve">Извештајот за корпоративно управување се презентира на акционерите на СБ и на јавноста во согласност со Законот за трговски друштва, Одлуката за правилата за добро корпоративно управување во банка на Народна банка на Република Северна Македонија и Кодексот за корпоративно управување на акционерските друштва на Македонска берза. </w:t>
      </w:r>
    </w:p>
    <w:p w14:paraId="5A551502" w14:textId="77777777" w:rsidR="001C5B17" w:rsidRPr="00EB77D6" w:rsidRDefault="001C5B17" w:rsidP="001C5B17">
      <w:pPr>
        <w:autoSpaceDE w:val="0"/>
        <w:autoSpaceDN w:val="0"/>
        <w:adjustRightInd w:val="0"/>
        <w:spacing w:before="240"/>
        <w:ind w:left="810"/>
        <w:jc w:val="both"/>
        <w:rPr>
          <w:rFonts w:ascii="Times New Roman" w:eastAsia="Times New Roman" w:hAnsi="Times New Roman"/>
          <w:color w:val="000000"/>
          <w:sz w:val="24"/>
          <w:szCs w:val="24"/>
          <w:lang w:val="mk-MK" w:eastAsia="en-GB"/>
        </w:rPr>
      </w:pPr>
      <w:r w:rsidRPr="00EB77D6">
        <w:rPr>
          <w:rFonts w:ascii="Times New Roman" w:eastAsia="Times New Roman" w:hAnsi="Times New Roman"/>
          <w:b/>
          <w:bCs/>
          <w:color w:val="000000"/>
          <w:sz w:val="24"/>
          <w:szCs w:val="24"/>
          <w:lang w:eastAsia="en-GB"/>
        </w:rPr>
        <w:t xml:space="preserve">1. </w:t>
      </w:r>
      <w:r w:rsidRPr="00EB77D6">
        <w:rPr>
          <w:rFonts w:ascii="Times New Roman" w:eastAsia="Times New Roman" w:hAnsi="Times New Roman"/>
          <w:b/>
          <w:bCs/>
          <w:color w:val="000000"/>
          <w:sz w:val="24"/>
          <w:szCs w:val="24"/>
          <w:lang w:val="mk-MK" w:eastAsia="en-GB"/>
        </w:rPr>
        <w:t>Органи на СБ</w:t>
      </w:r>
    </w:p>
    <w:p w14:paraId="0D13C0FA" w14:textId="77777777" w:rsidR="001C5B17" w:rsidRPr="00EB77D6" w:rsidRDefault="001C5B17" w:rsidP="001C5B17">
      <w:pPr>
        <w:autoSpaceDE w:val="0"/>
        <w:autoSpaceDN w:val="0"/>
        <w:adjustRightInd w:val="0"/>
        <w:spacing w:before="240"/>
        <w:ind w:left="810"/>
        <w:rPr>
          <w:rFonts w:ascii="Times New Roman" w:eastAsia="Times New Roman" w:hAnsi="Times New Roman"/>
          <w:color w:val="000000"/>
          <w:sz w:val="24"/>
          <w:szCs w:val="24"/>
          <w:lang w:eastAsia="en-GB"/>
        </w:rPr>
      </w:pPr>
      <w:r w:rsidRPr="00EB77D6">
        <w:rPr>
          <w:rFonts w:ascii="Times New Roman" w:eastAsia="Times New Roman" w:hAnsi="Times New Roman"/>
          <w:b/>
          <w:bCs/>
          <w:color w:val="000000"/>
          <w:sz w:val="24"/>
          <w:szCs w:val="24"/>
          <w:lang w:eastAsia="en-GB"/>
        </w:rPr>
        <w:t xml:space="preserve">1.1. </w:t>
      </w:r>
      <w:r w:rsidRPr="00EB77D6">
        <w:rPr>
          <w:rFonts w:ascii="Times New Roman" w:eastAsia="Times New Roman" w:hAnsi="Times New Roman"/>
          <w:b/>
          <w:bCs/>
          <w:color w:val="000000"/>
          <w:sz w:val="24"/>
          <w:szCs w:val="24"/>
          <w:lang w:val="mk-MK" w:eastAsia="en-GB"/>
        </w:rPr>
        <w:t>НАДЗОРЕН ОДБОР</w:t>
      </w:r>
      <w:r w:rsidRPr="00EB77D6">
        <w:rPr>
          <w:rFonts w:ascii="Times New Roman" w:eastAsia="Times New Roman" w:hAnsi="Times New Roman"/>
          <w:b/>
          <w:bCs/>
          <w:color w:val="000000"/>
          <w:sz w:val="24"/>
          <w:szCs w:val="24"/>
          <w:lang w:eastAsia="en-GB"/>
        </w:rPr>
        <w:t xml:space="preserve"> </w:t>
      </w:r>
    </w:p>
    <w:p w14:paraId="49DEE2BA" w14:textId="77777777" w:rsidR="001C5B17" w:rsidRPr="00EB77D6" w:rsidRDefault="001C5B17" w:rsidP="001C5B17">
      <w:pPr>
        <w:autoSpaceDE w:val="0"/>
        <w:autoSpaceDN w:val="0"/>
        <w:adjustRightInd w:val="0"/>
        <w:spacing w:before="240"/>
        <w:jc w:val="both"/>
        <w:rPr>
          <w:rFonts w:ascii="Times New Roman" w:hAnsi="Times New Roman"/>
          <w:sz w:val="24"/>
          <w:szCs w:val="24"/>
        </w:rPr>
      </w:pPr>
      <w:r w:rsidRPr="00EB77D6">
        <w:rPr>
          <w:rFonts w:ascii="Times New Roman" w:eastAsia="Times New Roman" w:hAnsi="Times New Roman"/>
          <w:color w:val="000000"/>
          <w:sz w:val="24"/>
          <w:szCs w:val="24"/>
          <w:lang w:val="mk-MK" w:eastAsia="en-GB"/>
        </w:rPr>
        <w:t>Надзорниот одбор на Стопанска банка АД - Скопје се состои од 7 членови, од кои 2 се независни, со утврден мандат од четири години, а ги именува Собранието на акционери. Составот на Надзорниот одбор во 2022 година е следен:</w:t>
      </w:r>
    </w:p>
    <w:p w14:paraId="06ACE459" w14:textId="77777777" w:rsidR="001C5B17" w:rsidRPr="00EB77D6" w:rsidRDefault="001C5B17" w:rsidP="001C5B17">
      <w:pPr>
        <w:pStyle w:val="ListParagraph"/>
        <w:numPr>
          <w:ilvl w:val="0"/>
          <w:numId w:val="17"/>
        </w:numPr>
        <w:autoSpaceDE w:val="0"/>
        <w:autoSpaceDN w:val="0"/>
        <w:adjustRightInd w:val="0"/>
        <w:spacing w:before="120" w:after="120" w:line="276" w:lineRule="auto"/>
        <w:contextualSpacing w:val="0"/>
        <w:jc w:val="both"/>
        <w:rPr>
          <w:color w:val="000000"/>
          <w:lang w:eastAsia="en-GB"/>
        </w:rPr>
      </w:pPr>
      <w:r w:rsidRPr="00EB77D6">
        <w:rPr>
          <w:color w:val="000000"/>
          <w:lang w:val="mk-MK" w:eastAsia="en-GB"/>
        </w:rPr>
        <w:t xml:space="preserve">Маринис Стратопулос, </w:t>
      </w:r>
      <w:r w:rsidRPr="00EB77D6">
        <w:rPr>
          <w:b/>
          <w:color w:val="000000"/>
          <w:lang w:val="mk-MK" w:eastAsia="en-GB"/>
        </w:rPr>
        <w:t>Претседател на Надзорниот одбор на СБ</w:t>
      </w:r>
      <w:r w:rsidRPr="00EB77D6">
        <w:rPr>
          <w:b/>
          <w:bCs/>
          <w:color w:val="000000"/>
          <w:lang w:val="mk-MK" w:eastAsia="en-GB"/>
        </w:rPr>
        <w:t xml:space="preserve">, </w:t>
      </w:r>
      <w:r w:rsidRPr="00EB77D6">
        <w:rPr>
          <w:bCs/>
          <w:color w:val="000000"/>
          <w:lang w:val="mk-MK" w:eastAsia="en-GB"/>
        </w:rPr>
        <w:t>Генерален извршен директор на НБГ Кипар ДОО</w:t>
      </w:r>
      <w:r w:rsidRPr="00EB77D6">
        <w:rPr>
          <w:color w:val="000000"/>
          <w:lang w:val="mk-MK" w:eastAsia="en-GB"/>
        </w:rPr>
        <w:t>;</w:t>
      </w:r>
    </w:p>
    <w:p w14:paraId="31C0D797" w14:textId="77777777" w:rsidR="001C5B17" w:rsidRPr="00EB77D6" w:rsidRDefault="001C5B17" w:rsidP="001C5B17">
      <w:pPr>
        <w:pStyle w:val="ListParagraph"/>
        <w:numPr>
          <w:ilvl w:val="0"/>
          <w:numId w:val="17"/>
        </w:numPr>
        <w:autoSpaceDE w:val="0"/>
        <w:autoSpaceDN w:val="0"/>
        <w:adjustRightInd w:val="0"/>
        <w:spacing w:before="120" w:after="120" w:line="276" w:lineRule="auto"/>
        <w:contextualSpacing w:val="0"/>
        <w:jc w:val="both"/>
        <w:rPr>
          <w:color w:val="000000"/>
          <w:lang w:eastAsia="en-GB"/>
        </w:rPr>
      </w:pPr>
      <w:r w:rsidRPr="00EB77D6">
        <w:rPr>
          <w:color w:val="000000"/>
          <w:lang w:val="mk-MK" w:eastAsia="en-GB"/>
        </w:rPr>
        <w:t xml:space="preserve">Христодолу Христодулос, </w:t>
      </w:r>
      <w:r w:rsidRPr="00EB77D6">
        <w:rPr>
          <w:b/>
          <w:color w:val="000000"/>
          <w:lang w:val="mk-MK" w:eastAsia="en-GB"/>
        </w:rPr>
        <w:t xml:space="preserve">член на Надзорниот одбор на СБ, </w:t>
      </w:r>
      <w:r w:rsidRPr="00EB77D6">
        <w:rPr>
          <w:color w:val="000000"/>
          <w:lang w:val="mk-MK" w:eastAsia="en-GB"/>
        </w:rPr>
        <w:t>Генерален финансиски директор, Национална банка на Грција С.А. Атина;</w:t>
      </w:r>
    </w:p>
    <w:p w14:paraId="4E1B8A9B" w14:textId="77777777" w:rsidR="001C5B17" w:rsidRPr="00EB77D6" w:rsidRDefault="001C5B17" w:rsidP="001C5B17">
      <w:pPr>
        <w:pStyle w:val="ListParagraph"/>
        <w:numPr>
          <w:ilvl w:val="0"/>
          <w:numId w:val="17"/>
        </w:numPr>
        <w:autoSpaceDE w:val="0"/>
        <w:autoSpaceDN w:val="0"/>
        <w:adjustRightInd w:val="0"/>
        <w:spacing w:before="120" w:after="120" w:line="276" w:lineRule="auto"/>
        <w:contextualSpacing w:val="0"/>
        <w:jc w:val="both"/>
        <w:rPr>
          <w:color w:val="000000"/>
          <w:lang w:eastAsia="en-GB"/>
        </w:rPr>
      </w:pPr>
      <w:r w:rsidRPr="00EB77D6">
        <w:rPr>
          <w:color w:val="000000"/>
          <w:lang w:val="mk-MK" w:eastAsia="en-GB"/>
        </w:rPr>
        <w:t xml:space="preserve">Димитра Гудуфа, </w:t>
      </w:r>
      <w:r w:rsidRPr="00EB77D6">
        <w:rPr>
          <w:b/>
          <w:color w:val="000000"/>
          <w:lang w:val="mk-MK" w:eastAsia="en-GB"/>
        </w:rPr>
        <w:t>член на Надзорниот одбор на СБ</w:t>
      </w:r>
      <w:r w:rsidRPr="00EB77D6">
        <w:rPr>
          <w:b/>
          <w:bCs/>
          <w:color w:val="000000"/>
          <w:lang w:val="mk-MK" w:eastAsia="en-GB"/>
        </w:rPr>
        <w:t xml:space="preserve">, </w:t>
      </w:r>
      <w:r w:rsidRPr="00EB77D6">
        <w:rPr>
          <w:bCs/>
          <w:color w:val="000000"/>
          <w:lang w:val="mk-MK" w:eastAsia="en-GB"/>
        </w:rPr>
        <w:t>Директор на Секторот за стратегија на Групацијата,</w:t>
      </w:r>
      <w:r w:rsidRPr="00EB77D6">
        <w:rPr>
          <w:color w:val="000000"/>
          <w:lang w:val="mk-MK" w:eastAsia="en-GB"/>
        </w:rPr>
        <w:t xml:space="preserve"> Национална банка на Грција С.А. Атина;</w:t>
      </w:r>
    </w:p>
    <w:p w14:paraId="11A1327B" w14:textId="77777777" w:rsidR="001C5B17" w:rsidRPr="00EB77D6" w:rsidRDefault="001C5B17" w:rsidP="001C5B17">
      <w:pPr>
        <w:pStyle w:val="ListParagraph"/>
        <w:numPr>
          <w:ilvl w:val="0"/>
          <w:numId w:val="17"/>
        </w:numPr>
        <w:autoSpaceDE w:val="0"/>
        <w:autoSpaceDN w:val="0"/>
        <w:adjustRightInd w:val="0"/>
        <w:spacing w:before="120" w:after="120" w:line="276" w:lineRule="auto"/>
        <w:contextualSpacing w:val="0"/>
        <w:jc w:val="both"/>
        <w:rPr>
          <w:color w:val="000000"/>
          <w:lang w:eastAsia="en-GB"/>
        </w:rPr>
      </w:pPr>
      <w:r w:rsidRPr="00EB77D6">
        <w:rPr>
          <w:color w:val="000000"/>
          <w:lang w:val="mk-MK" w:eastAsia="en-GB"/>
        </w:rPr>
        <w:t xml:space="preserve">Јанис Кајулис, </w:t>
      </w:r>
      <w:r w:rsidRPr="00EB77D6">
        <w:rPr>
          <w:b/>
          <w:color w:val="000000"/>
          <w:lang w:val="mk-MK" w:eastAsia="en-GB"/>
        </w:rPr>
        <w:t>член на Надзорниот одбор на СБ</w:t>
      </w:r>
      <w:r w:rsidRPr="00EB77D6">
        <w:rPr>
          <w:color w:val="000000"/>
          <w:lang w:val="mk-MK" w:eastAsia="en-GB"/>
        </w:rPr>
        <w:t>, Раководител на Секторот за култура на ризик и канцеларија за проектен менаџмент за ризици на Групацијата, Национална банка на Грција С.А. Атина;</w:t>
      </w:r>
    </w:p>
    <w:p w14:paraId="701A47D0" w14:textId="77777777" w:rsidR="001C5B17" w:rsidRPr="00EB77D6" w:rsidRDefault="001C5B17" w:rsidP="001C5B17">
      <w:pPr>
        <w:pStyle w:val="ListParagraph"/>
        <w:numPr>
          <w:ilvl w:val="0"/>
          <w:numId w:val="17"/>
        </w:numPr>
        <w:autoSpaceDE w:val="0"/>
        <w:autoSpaceDN w:val="0"/>
        <w:adjustRightInd w:val="0"/>
        <w:spacing w:before="120" w:after="120" w:line="276" w:lineRule="auto"/>
        <w:contextualSpacing w:val="0"/>
        <w:jc w:val="both"/>
        <w:rPr>
          <w:color w:val="000000"/>
          <w:lang w:eastAsia="en-GB"/>
        </w:rPr>
      </w:pPr>
      <w:r w:rsidRPr="00EB77D6">
        <w:rPr>
          <w:color w:val="000000"/>
          <w:lang w:val="mk-MK" w:eastAsia="en-GB"/>
        </w:rPr>
        <w:t xml:space="preserve">Владимир Филиповски, </w:t>
      </w:r>
      <w:r w:rsidRPr="00EB77D6">
        <w:rPr>
          <w:b/>
          <w:color w:val="000000"/>
          <w:lang w:val="mk-MK" w:eastAsia="en-GB"/>
        </w:rPr>
        <w:t>независен член на Надзорниот одбор на СБ</w:t>
      </w:r>
      <w:r w:rsidRPr="00EB77D6">
        <w:rPr>
          <w:b/>
          <w:bCs/>
          <w:color w:val="000000"/>
          <w:lang w:val="mk-MK" w:eastAsia="en-GB"/>
        </w:rPr>
        <w:t xml:space="preserve">, </w:t>
      </w:r>
      <w:r w:rsidRPr="00EB77D6">
        <w:rPr>
          <w:bCs/>
          <w:color w:val="000000"/>
          <w:lang w:val="mk-MK" w:eastAsia="en-GB"/>
        </w:rPr>
        <w:t>професор</w:t>
      </w:r>
      <w:r w:rsidRPr="00EB77D6">
        <w:rPr>
          <w:b/>
          <w:bCs/>
          <w:color w:val="000000"/>
          <w:lang w:val="mk-MK" w:eastAsia="en-GB"/>
        </w:rPr>
        <w:t xml:space="preserve">, </w:t>
      </w:r>
      <w:r w:rsidRPr="00EB77D6">
        <w:rPr>
          <w:bCs/>
          <w:color w:val="000000"/>
          <w:lang w:val="mk-MK" w:eastAsia="en-GB"/>
        </w:rPr>
        <w:t>Економски факултет</w:t>
      </w:r>
      <w:r w:rsidRPr="00EB77D6">
        <w:rPr>
          <w:color w:val="000000"/>
          <w:lang w:val="mk-MK" w:eastAsia="en-GB"/>
        </w:rPr>
        <w:t xml:space="preserve"> – Универзитет “Св. Кирил и Методиј” Скопје; и</w:t>
      </w:r>
    </w:p>
    <w:p w14:paraId="3B41DA11" w14:textId="77777777" w:rsidR="001C5B17" w:rsidRPr="00EB77D6" w:rsidRDefault="001C5B17" w:rsidP="001C5B17">
      <w:pPr>
        <w:pStyle w:val="ListParagraph"/>
        <w:numPr>
          <w:ilvl w:val="0"/>
          <w:numId w:val="17"/>
        </w:numPr>
        <w:autoSpaceDE w:val="0"/>
        <w:autoSpaceDN w:val="0"/>
        <w:adjustRightInd w:val="0"/>
        <w:spacing w:before="120" w:after="120" w:line="276" w:lineRule="auto"/>
        <w:contextualSpacing w:val="0"/>
        <w:jc w:val="both"/>
        <w:rPr>
          <w:color w:val="000000"/>
          <w:lang w:eastAsia="en-GB"/>
        </w:rPr>
      </w:pPr>
      <w:r w:rsidRPr="00EB77D6">
        <w:rPr>
          <w:color w:val="000000"/>
          <w:lang w:val="mk-MK" w:eastAsia="en-GB"/>
        </w:rPr>
        <w:t xml:space="preserve">Сашо Ќосев, </w:t>
      </w:r>
      <w:r w:rsidRPr="00EB77D6">
        <w:rPr>
          <w:b/>
          <w:color w:val="000000"/>
          <w:lang w:val="mk-MK" w:eastAsia="en-GB"/>
        </w:rPr>
        <w:t>независен член на Надзорниот одбор на СБ</w:t>
      </w:r>
      <w:r w:rsidRPr="00EB77D6">
        <w:rPr>
          <w:b/>
          <w:bCs/>
          <w:color w:val="000000"/>
          <w:lang w:val="mk-MK" w:eastAsia="en-GB"/>
        </w:rPr>
        <w:t xml:space="preserve">, </w:t>
      </w:r>
      <w:r w:rsidRPr="00EB77D6">
        <w:rPr>
          <w:bCs/>
          <w:color w:val="000000"/>
          <w:lang w:val="mk-MK" w:eastAsia="en-GB"/>
        </w:rPr>
        <w:t>професор</w:t>
      </w:r>
      <w:r w:rsidRPr="00EB77D6">
        <w:rPr>
          <w:b/>
          <w:bCs/>
          <w:color w:val="000000"/>
          <w:lang w:val="mk-MK" w:eastAsia="en-GB"/>
        </w:rPr>
        <w:t xml:space="preserve">, </w:t>
      </w:r>
      <w:r w:rsidRPr="00EB77D6">
        <w:rPr>
          <w:bCs/>
          <w:color w:val="000000"/>
          <w:lang w:val="mk-MK" w:eastAsia="en-GB"/>
        </w:rPr>
        <w:t>Економски факултет</w:t>
      </w:r>
      <w:r w:rsidRPr="00EB77D6">
        <w:rPr>
          <w:color w:val="000000"/>
          <w:lang w:val="mk-MK" w:eastAsia="en-GB"/>
        </w:rPr>
        <w:t xml:space="preserve"> – Универзитет “Св. Кирил и Методиј” Скопје</w:t>
      </w:r>
      <w:r w:rsidRPr="00EB77D6">
        <w:rPr>
          <w:color w:val="000000"/>
          <w:lang w:eastAsia="en-GB"/>
        </w:rPr>
        <w:t>.</w:t>
      </w:r>
    </w:p>
    <w:p w14:paraId="6857A068" w14:textId="77777777" w:rsidR="001C5B17" w:rsidRPr="00EB77D6" w:rsidRDefault="001C5B17" w:rsidP="001C5B17">
      <w:pPr>
        <w:pStyle w:val="ListParagraph"/>
        <w:numPr>
          <w:ilvl w:val="0"/>
          <w:numId w:val="17"/>
        </w:numPr>
        <w:autoSpaceDE w:val="0"/>
        <w:autoSpaceDN w:val="0"/>
        <w:adjustRightInd w:val="0"/>
        <w:spacing w:before="120" w:after="120" w:line="276" w:lineRule="auto"/>
        <w:contextualSpacing w:val="0"/>
        <w:jc w:val="both"/>
        <w:rPr>
          <w:color w:val="000000"/>
          <w:lang w:eastAsia="en-GB"/>
        </w:rPr>
      </w:pPr>
      <w:r w:rsidRPr="00EB77D6">
        <w:rPr>
          <w:color w:val="000000"/>
          <w:lang w:val="mk-MK" w:eastAsia="en-GB"/>
        </w:rPr>
        <w:t xml:space="preserve">Анастасиос Лизос, </w:t>
      </w:r>
      <w:r w:rsidRPr="00EB77D6">
        <w:rPr>
          <w:b/>
          <w:color w:val="000000"/>
          <w:lang w:val="mk-MK" w:eastAsia="en-GB"/>
        </w:rPr>
        <w:t>член на Надзорниот одбор на СБ</w:t>
      </w:r>
      <w:r w:rsidRPr="00EB77D6">
        <w:rPr>
          <w:color w:val="000000"/>
          <w:lang w:val="mk-MK" w:eastAsia="en-GB"/>
        </w:rPr>
        <w:t xml:space="preserve">, во пензија. </w:t>
      </w:r>
    </w:p>
    <w:p w14:paraId="04B194A5" w14:textId="77777777" w:rsidR="001C5B17" w:rsidRPr="00EB77D6" w:rsidRDefault="001C5B17" w:rsidP="001C5B17">
      <w:pPr>
        <w:tabs>
          <w:tab w:val="left" w:pos="720"/>
        </w:tabs>
        <w:autoSpaceDE w:val="0"/>
        <w:autoSpaceDN w:val="0"/>
        <w:adjustRightInd w:val="0"/>
        <w:spacing w:after="0"/>
        <w:jc w:val="both"/>
        <w:rPr>
          <w:rFonts w:ascii="Times New Roman" w:eastAsia="Times New Roman" w:hAnsi="Times New Roman"/>
          <w:color w:val="000000"/>
          <w:sz w:val="24"/>
          <w:szCs w:val="24"/>
          <w:lang w:eastAsia="en-GB"/>
        </w:rPr>
      </w:pPr>
      <w:r w:rsidRPr="00EB77D6">
        <w:rPr>
          <w:rFonts w:ascii="Times New Roman" w:eastAsia="Times New Roman" w:hAnsi="Times New Roman"/>
          <w:color w:val="000000"/>
          <w:sz w:val="24"/>
          <w:szCs w:val="24"/>
          <w:lang w:eastAsia="en-GB"/>
        </w:rPr>
        <w:tab/>
      </w:r>
      <w:r w:rsidRPr="00EB77D6">
        <w:rPr>
          <w:rFonts w:ascii="Times New Roman" w:hAnsi="Times New Roman"/>
          <w:color w:val="000000"/>
          <w:sz w:val="24"/>
          <w:szCs w:val="24"/>
          <w:lang w:val="mk-MK" w:eastAsia="en-GB"/>
        </w:rPr>
        <w:t xml:space="preserve">Последната самооценка на Надзорниот одбор потврдува дека сегашниот состав на Надзорниот одбор е таков што неговите членови имаат колективно и индивидуално </w:t>
      </w:r>
      <w:r w:rsidRPr="00EB77D6">
        <w:rPr>
          <w:rFonts w:ascii="Times New Roman" w:hAnsi="Times New Roman"/>
          <w:color w:val="000000"/>
          <w:sz w:val="24"/>
          <w:szCs w:val="24"/>
          <w:lang w:val="mk-MK" w:eastAsia="en-GB"/>
        </w:rPr>
        <w:lastRenderedPageBreak/>
        <w:t>знаење, способности и стручно искуство како и интегритет и репутација соодветни за системска банка како СБ. Освен тоа, сите членови на Надзорниот одбор посветуваат соодвенто време и фокусирање на нивните надзорни и стратешки одговорности</w:t>
      </w:r>
      <w:r w:rsidRPr="00EB77D6">
        <w:rPr>
          <w:rFonts w:ascii="Times New Roman" w:eastAsia="Times New Roman" w:hAnsi="Times New Roman"/>
          <w:color w:val="000000"/>
          <w:sz w:val="24"/>
          <w:szCs w:val="24"/>
          <w:lang w:eastAsia="en-GB"/>
        </w:rPr>
        <w:t xml:space="preserve">. </w:t>
      </w:r>
    </w:p>
    <w:p w14:paraId="2BA02FC5" w14:textId="77777777" w:rsidR="001C5B17" w:rsidRPr="00EB77D6" w:rsidRDefault="001C5B17" w:rsidP="001C5B17">
      <w:pPr>
        <w:tabs>
          <w:tab w:val="left" w:pos="720"/>
        </w:tabs>
        <w:autoSpaceDE w:val="0"/>
        <w:autoSpaceDN w:val="0"/>
        <w:adjustRightInd w:val="0"/>
        <w:spacing w:after="0"/>
        <w:jc w:val="both"/>
        <w:rPr>
          <w:rFonts w:ascii="Times New Roman" w:eastAsia="Times New Roman" w:hAnsi="Times New Roman"/>
          <w:color w:val="000000"/>
          <w:sz w:val="24"/>
          <w:szCs w:val="24"/>
          <w:lang w:eastAsia="en-GB"/>
        </w:rPr>
      </w:pPr>
    </w:p>
    <w:p w14:paraId="3B556A64" w14:textId="77777777" w:rsidR="001C5B17" w:rsidRPr="00EB77D6" w:rsidRDefault="001C5B17" w:rsidP="001C5B17">
      <w:pPr>
        <w:tabs>
          <w:tab w:val="left" w:pos="720"/>
        </w:tabs>
        <w:autoSpaceDE w:val="0"/>
        <w:autoSpaceDN w:val="0"/>
        <w:adjustRightInd w:val="0"/>
        <w:spacing w:after="0"/>
        <w:jc w:val="both"/>
        <w:rPr>
          <w:rFonts w:ascii="Times New Roman" w:eastAsia="Times New Roman" w:hAnsi="Times New Roman"/>
          <w:color w:val="000000"/>
          <w:sz w:val="24"/>
          <w:szCs w:val="24"/>
          <w:lang w:eastAsia="en-GB"/>
        </w:rPr>
      </w:pPr>
      <w:r w:rsidRPr="00EB77D6">
        <w:rPr>
          <w:rFonts w:ascii="Times New Roman" w:eastAsia="Times New Roman" w:hAnsi="Times New Roman"/>
          <w:color w:val="000000"/>
          <w:sz w:val="24"/>
          <w:szCs w:val="24"/>
          <w:lang w:eastAsia="en-GB"/>
        </w:rPr>
        <w:tab/>
      </w:r>
      <w:r w:rsidRPr="00EB77D6">
        <w:rPr>
          <w:rFonts w:ascii="Times New Roman" w:hAnsi="Times New Roman"/>
          <w:color w:val="000000"/>
          <w:sz w:val="24"/>
          <w:szCs w:val="24"/>
          <w:lang w:val="mk-MK" w:eastAsia="en-GB"/>
        </w:rPr>
        <w:t>С</w:t>
      </w:r>
      <w:r w:rsidRPr="00EB77D6">
        <w:rPr>
          <w:rFonts w:ascii="Times New Roman" w:eastAsia="Times New Roman" w:hAnsi="Times New Roman"/>
          <w:color w:val="000000"/>
          <w:sz w:val="24"/>
          <w:szCs w:val="24"/>
          <w:lang w:val="mk-MK" w:eastAsia="en-GB"/>
        </w:rPr>
        <w:t>ите</w:t>
      </w:r>
      <w:r w:rsidRPr="00EB77D6">
        <w:rPr>
          <w:rFonts w:ascii="Times New Roman" w:eastAsia="Times New Roman" w:hAnsi="Times New Roman"/>
          <w:b/>
          <w:color w:val="000000"/>
          <w:sz w:val="24"/>
          <w:szCs w:val="24"/>
          <w:lang w:val="mk-MK" w:eastAsia="en-GB"/>
        </w:rPr>
        <w:t xml:space="preserve"> критериуми за независност се запазени</w:t>
      </w:r>
      <w:r w:rsidRPr="00EB77D6">
        <w:rPr>
          <w:rFonts w:ascii="Times New Roman" w:eastAsia="Times New Roman" w:hAnsi="Times New Roman"/>
          <w:color w:val="000000"/>
          <w:sz w:val="24"/>
          <w:szCs w:val="24"/>
          <w:lang w:val="mk-MK" w:eastAsia="en-GB"/>
        </w:rPr>
        <w:t xml:space="preserve"> и во извештајниот период </w:t>
      </w:r>
      <w:r w:rsidRPr="00EB77D6">
        <w:rPr>
          <w:rFonts w:ascii="Times New Roman" w:eastAsia="Times New Roman" w:hAnsi="Times New Roman"/>
          <w:b/>
          <w:color w:val="000000"/>
          <w:sz w:val="24"/>
          <w:szCs w:val="24"/>
          <w:lang w:val="mk-MK" w:eastAsia="en-GB"/>
        </w:rPr>
        <w:t>не е пријавен никаков судир на интереси</w:t>
      </w:r>
      <w:r w:rsidRPr="00EB77D6">
        <w:rPr>
          <w:rFonts w:ascii="Times New Roman" w:eastAsia="Times New Roman" w:hAnsi="Times New Roman"/>
          <w:color w:val="000000"/>
          <w:sz w:val="24"/>
          <w:szCs w:val="24"/>
          <w:lang w:val="mk-MK" w:eastAsia="en-GB"/>
        </w:rPr>
        <w:t xml:space="preserve"> од ниту еден од членовите на Надзорниот одбор.</w:t>
      </w:r>
    </w:p>
    <w:p w14:paraId="56DF3F4A" w14:textId="77777777" w:rsidR="001C5B17" w:rsidRPr="00EB77D6" w:rsidRDefault="001C5B17" w:rsidP="001C5B17">
      <w:pPr>
        <w:tabs>
          <w:tab w:val="left" w:pos="720"/>
        </w:tabs>
        <w:autoSpaceDE w:val="0"/>
        <w:autoSpaceDN w:val="0"/>
        <w:adjustRightInd w:val="0"/>
        <w:spacing w:after="0"/>
        <w:jc w:val="both"/>
        <w:rPr>
          <w:rFonts w:ascii="Times New Roman" w:eastAsia="Times New Roman" w:hAnsi="Times New Roman"/>
          <w:color w:val="000000"/>
          <w:sz w:val="24"/>
          <w:szCs w:val="24"/>
          <w:lang w:eastAsia="en-GB"/>
        </w:rPr>
      </w:pPr>
      <w:r w:rsidRPr="00EB77D6">
        <w:rPr>
          <w:rFonts w:ascii="Times New Roman" w:eastAsia="Times New Roman" w:hAnsi="Times New Roman"/>
          <w:color w:val="000000"/>
          <w:sz w:val="24"/>
          <w:szCs w:val="24"/>
          <w:lang w:eastAsia="en-GB"/>
        </w:rPr>
        <w:tab/>
      </w:r>
    </w:p>
    <w:p w14:paraId="4D8BE63B" w14:textId="77777777" w:rsidR="001C5B17" w:rsidRPr="00EB77D6" w:rsidRDefault="001C5B17" w:rsidP="001C5B17">
      <w:pPr>
        <w:tabs>
          <w:tab w:val="left" w:pos="720"/>
        </w:tabs>
        <w:autoSpaceDE w:val="0"/>
        <w:autoSpaceDN w:val="0"/>
        <w:adjustRightInd w:val="0"/>
        <w:spacing w:after="0"/>
        <w:jc w:val="both"/>
        <w:rPr>
          <w:rFonts w:ascii="Times New Roman" w:eastAsia="Times New Roman" w:hAnsi="Times New Roman"/>
          <w:color w:val="000000"/>
          <w:sz w:val="24"/>
          <w:szCs w:val="24"/>
          <w:lang w:eastAsia="en-GB"/>
        </w:rPr>
      </w:pPr>
      <w:r w:rsidRPr="00EB77D6">
        <w:rPr>
          <w:rFonts w:ascii="Times New Roman" w:eastAsia="Times New Roman" w:hAnsi="Times New Roman"/>
          <w:color w:val="000000"/>
          <w:sz w:val="24"/>
          <w:szCs w:val="24"/>
          <w:lang w:eastAsia="en-GB"/>
        </w:rPr>
        <w:tab/>
      </w:r>
      <w:r w:rsidRPr="00EB77D6">
        <w:rPr>
          <w:rFonts w:ascii="Times New Roman" w:eastAsia="Times New Roman" w:hAnsi="Times New Roman"/>
          <w:b/>
          <w:color w:val="000000"/>
          <w:sz w:val="24"/>
          <w:szCs w:val="24"/>
          <w:lang w:val="mk-MK" w:eastAsia="en-GB"/>
        </w:rPr>
        <w:t>Одговорностите</w:t>
      </w:r>
      <w:r w:rsidRPr="00EB77D6">
        <w:rPr>
          <w:rFonts w:ascii="Times New Roman" w:eastAsia="Times New Roman" w:hAnsi="Times New Roman"/>
          <w:color w:val="000000"/>
          <w:sz w:val="24"/>
          <w:szCs w:val="24"/>
          <w:lang w:val="mk-MK" w:eastAsia="en-GB"/>
        </w:rPr>
        <w:t xml:space="preserve"> на Надзорниот одбор се утврдени во член 89 од Законот за банки и истите се инкорпорирани во Статутот на СБ, како што е подолу наведено:</w:t>
      </w:r>
    </w:p>
    <w:p w14:paraId="0B0C31F0" w14:textId="77777777" w:rsidR="001C5B17" w:rsidRPr="00EB77D6" w:rsidRDefault="001C5B17" w:rsidP="001C5B17">
      <w:pPr>
        <w:pStyle w:val="ListParagraph"/>
        <w:numPr>
          <w:ilvl w:val="0"/>
          <w:numId w:val="19"/>
        </w:numPr>
        <w:autoSpaceDE w:val="0"/>
        <w:autoSpaceDN w:val="0"/>
        <w:adjustRightInd w:val="0"/>
        <w:spacing w:line="276" w:lineRule="auto"/>
        <w:jc w:val="both"/>
        <w:rPr>
          <w:lang w:val="en-GB" w:eastAsia="en-GB"/>
        </w:rPr>
      </w:pPr>
      <w:r w:rsidRPr="00EB77D6">
        <w:rPr>
          <w:color w:val="000000"/>
          <w:lang w:val="mk-MK" w:eastAsia="en-GB"/>
        </w:rPr>
        <w:t>одобрува деловна политика и развоен план на СБ и ја следи нивната имплементација</w:t>
      </w:r>
      <w:r w:rsidRPr="00EB77D6">
        <w:rPr>
          <w:lang w:val="en-GB" w:eastAsia="en-GB"/>
        </w:rPr>
        <w:t>;</w:t>
      </w:r>
    </w:p>
    <w:p w14:paraId="6DE4891E" w14:textId="77777777" w:rsidR="001C5B17" w:rsidRPr="00EB77D6" w:rsidRDefault="001C5B17" w:rsidP="001C5B17">
      <w:pPr>
        <w:pStyle w:val="ListParagraph"/>
        <w:numPr>
          <w:ilvl w:val="0"/>
          <w:numId w:val="19"/>
        </w:numPr>
        <w:autoSpaceDE w:val="0"/>
        <w:autoSpaceDN w:val="0"/>
        <w:adjustRightInd w:val="0"/>
        <w:spacing w:line="276" w:lineRule="auto"/>
        <w:jc w:val="both"/>
        <w:rPr>
          <w:lang w:val="en-GB" w:eastAsia="en-GB"/>
        </w:rPr>
      </w:pPr>
      <w:r w:rsidRPr="00EB77D6">
        <w:rPr>
          <w:color w:val="000000"/>
          <w:lang w:val="mk-MK" w:eastAsia="en-GB"/>
        </w:rPr>
        <w:t>именува и разрешува членови на Управниот одбор на СБ</w:t>
      </w:r>
      <w:r w:rsidRPr="00EB77D6">
        <w:rPr>
          <w:lang w:val="en-GB" w:eastAsia="en-GB"/>
        </w:rPr>
        <w:t>;</w:t>
      </w:r>
    </w:p>
    <w:p w14:paraId="736D484B" w14:textId="77777777" w:rsidR="001C5B17" w:rsidRPr="00EB77D6" w:rsidRDefault="001C5B17" w:rsidP="001C5B17">
      <w:pPr>
        <w:pStyle w:val="ListParagraph"/>
        <w:numPr>
          <w:ilvl w:val="0"/>
          <w:numId w:val="19"/>
        </w:numPr>
        <w:autoSpaceDE w:val="0"/>
        <w:autoSpaceDN w:val="0"/>
        <w:adjustRightInd w:val="0"/>
        <w:spacing w:line="276" w:lineRule="auto"/>
        <w:jc w:val="both"/>
        <w:rPr>
          <w:lang w:val="en-GB" w:eastAsia="en-GB"/>
        </w:rPr>
      </w:pPr>
      <w:r w:rsidRPr="00EB77D6">
        <w:rPr>
          <w:color w:val="000000"/>
          <w:lang w:val="mk-MK" w:eastAsia="en-GB"/>
        </w:rPr>
        <w:t>именува и разрешува членови</w:t>
      </w:r>
      <w:r w:rsidRPr="00EB77D6">
        <w:rPr>
          <w:lang w:val="en-GB" w:eastAsia="en-GB"/>
        </w:rPr>
        <w:t xml:space="preserve"> </w:t>
      </w:r>
      <w:r w:rsidRPr="00EB77D6">
        <w:rPr>
          <w:lang w:val="mk-MK" w:eastAsia="en-GB"/>
        </w:rPr>
        <w:t>на</w:t>
      </w:r>
      <w:r w:rsidRPr="00EB77D6">
        <w:rPr>
          <w:lang w:val="en-GB" w:eastAsia="en-GB"/>
        </w:rPr>
        <w:t xml:space="preserve"> </w:t>
      </w:r>
      <w:r w:rsidRPr="00EB77D6">
        <w:rPr>
          <w:color w:val="000000"/>
          <w:lang w:val="mk-MK" w:eastAsia="en-GB"/>
        </w:rPr>
        <w:t>Одборот за управување со ризици на СБ</w:t>
      </w:r>
      <w:r w:rsidRPr="00EB77D6">
        <w:rPr>
          <w:lang w:val="en-GB" w:eastAsia="en-GB"/>
        </w:rPr>
        <w:t>;</w:t>
      </w:r>
    </w:p>
    <w:p w14:paraId="427B63F3" w14:textId="77777777" w:rsidR="001C5B17" w:rsidRPr="00EB77D6" w:rsidRDefault="001C5B17" w:rsidP="001C5B17">
      <w:pPr>
        <w:pStyle w:val="ListParagraph"/>
        <w:numPr>
          <w:ilvl w:val="0"/>
          <w:numId w:val="19"/>
        </w:numPr>
        <w:autoSpaceDE w:val="0"/>
        <w:autoSpaceDN w:val="0"/>
        <w:adjustRightInd w:val="0"/>
        <w:spacing w:line="276" w:lineRule="auto"/>
        <w:jc w:val="both"/>
        <w:rPr>
          <w:lang w:val="en-GB" w:eastAsia="en-GB"/>
        </w:rPr>
      </w:pPr>
      <w:r w:rsidRPr="00EB77D6">
        <w:rPr>
          <w:color w:val="000000"/>
          <w:lang w:val="mk-MK" w:eastAsia="en-GB"/>
        </w:rPr>
        <w:t>именува и разрешува членови</w:t>
      </w:r>
      <w:r w:rsidRPr="00EB77D6">
        <w:rPr>
          <w:lang w:val="en-GB" w:eastAsia="en-GB"/>
        </w:rPr>
        <w:t xml:space="preserve"> </w:t>
      </w:r>
      <w:r w:rsidRPr="00EB77D6">
        <w:rPr>
          <w:lang w:val="mk-MK" w:eastAsia="en-GB"/>
        </w:rPr>
        <w:t>на</w:t>
      </w:r>
      <w:r w:rsidRPr="00EB77D6">
        <w:rPr>
          <w:lang w:val="en-GB" w:eastAsia="en-GB"/>
        </w:rPr>
        <w:t xml:space="preserve"> </w:t>
      </w:r>
      <w:r w:rsidRPr="00EB77D6">
        <w:rPr>
          <w:lang w:val="mk-MK" w:eastAsia="en-GB"/>
        </w:rPr>
        <w:t>Одборот за ревизија на СБ</w:t>
      </w:r>
      <w:r w:rsidRPr="00EB77D6">
        <w:rPr>
          <w:lang w:val="en-GB" w:eastAsia="en-GB"/>
        </w:rPr>
        <w:t>;</w:t>
      </w:r>
    </w:p>
    <w:p w14:paraId="12B6411D" w14:textId="77777777" w:rsidR="001C5B17" w:rsidRPr="00EB77D6" w:rsidRDefault="001C5B17" w:rsidP="001C5B17">
      <w:pPr>
        <w:pStyle w:val="ListParagraph"/>
        <w:numPr>
          <w:ilvl w:val="0"/>
          <w:numId w:val="19"/>
        </w:numPr>
        <w:autoSpaceDE w:val="0"/>
        <w:autoSpaceDN w:val="0"/>
        <w:adjustRightInd w:val="0"/>
        <w:spacing w:line="276" w:lineRule="auto"/>
        <w:jc w:val="both"/>
        <w:rPr>
          <w:lang w:val="en-GB" w:eastAsia="en-GB"/>
        </w:rPr>
      </w:pPr>
      <w:r w:rsidRPr="00EB77D6">
        <w:rPr>
          <w:color w:val="000000"/>
          <w:lang w:val="mk-MK" w:eastAsia="en-GB"/>
        </w:rPr>
        <w:t>одобрува финансиски план/Буџет на СБ</w:t>
      </w:r>
      <w:r w:rsidRPr="00EB77D6">
        <w:rPr>
          <w:lang w:val="en-GB" w:eastAsia="en-GB"/>
        </w:rPr>
        <w:t>;</w:t>
      </w:r>
    </w:p>
    <w:p w14:paraId="74ECB539" w14:textId="77777777" w:rsidR="001C5B17" w:rsidRPr="00EB77D6" w:rsidRDefault="001C5B17" w:rsidP="001C5B17">
      <w:pPr>
        <w:pStyle w:val="ListParagraph"/>
        <w:numPr>
          <w:ilvl w:val="0"/>
          <w:numId w:val="19"/>
        </w:numPr>
        <w:autoSpaceDE w:val="0"/>
        <w:autoSpaceDN w:val="0"/>
        <w:adjustRightInd w:val="0"/>
        <w:spacing w:line="276" w:lineRule="auto"/>
        <w:jc w:val="both"/>
        <w:rPr>
          <w:lang w:val="en-GB" w:eastAsia="en-GB"/>
        </w:rPr>
      </w:pPr>
      <w:r w:rsidRPr="00EB77D6">
        <w:rPr>
          <w:color w:val="000000"/>
          <w:lang w:val="mk-MK" w:eastAsia="en-GB"/>
        </w:rPr>
        <w:t>го организира Секторот за внатрешна ревизија</w:t>
      </w:r>
      <w:r w:rsidRPr="00EB77D6">
        <w:rPr>
          <w:lang w:val="en-GB" w:eastAsia="en-GB"/>
        </w:rPr>
        <w:t xml:space="preserve">, </w:t>
      </w:r>
      <w:r w:rsidRPr="00EB77D6">
        <w:rPr>
          <w:color w:val="000000"/>
          <w:lang w:val="mk-MK" w:eastAsia="en-GB"/>
        </w:rPr>
        <w:t>именува и разрешува директор на Секторот за внатрешна ревизија</w:t>
      </w:r>
      <w:r w:rsidRPr="00EB77D6">
        <w:rPr>
          <w:lang w:val="en-GB" w:eastAsia="en-GB"/>
        </w:rPr>
        <w:t xml:space="preserve"> </w:t>
      </w:r>
      <w:r w:rsidRPr="00EB77D6">
        <w:rPr>
          <w:lang w:val="mk-MK" w:eastAsia="en-GB"/>
        </w:rPr>
        <w:t>и ја следи неговата/нејзината работа</w:t>
      </w:r>
      <w:r w:rsidRPr="00EB77D6">
        <w:rPr>
          <w:lang w:val="en-GB" w:eastAsia="en-GB"/>
        </w:rPr>
        <w:t>;</w:t>
      </w:r>
    </w:p>
    <w:p w14:paraId="37F134AF" w14:textId="77777777" w:rsidR="001C5B17" w:rsidRPr="00EB77D6" w:rsidRDefault="001C5B17" w:rsidP="001C5B17">
      <w:pPr>
        <w:pStyle w:val="ListParagraph"/>
        <w:numPr>
          <w:ilvl w:val="0"/>
          <w:numId w:val="19"/>
        </w:numPr>
        <w:autoSpaceDE w:val="0"/>
        <w:autoSpaceDN w:val="0"/>
        <w:adjustRightInd w:val="0"/>
        <w:spacing w:line="276" w:lineRule="auto"/>
        <w:jc w:val="both"/>
        <w:rPr>
          <w:lang w:val="en-GB" w:eastAsia="en-GB"/>
        </w:rPr>
      </w:pPr>
      <w:r w:rsidRPr="00EB77D6">
        <w:rPr>
          <w:color w:val="000000"/>
          <w:lang w:val="mk-MK" w:eastAsia="en-GB"/>
        </w:rPr>
        <w:t>одобрува годишен план на Секторот за внатрешна ревизија</w:t>
      </w:r>
      <w:r w:rsidRPr="00EB77D6">
        <w:rPr>
          <w:lang w:val="en-GB" w:eastAsia="en-GB"/>
        </w:rPr>
        <w:t>;</w:t>
      </w:r>
    </w:p>
    <w:p w14:paraId="3B7EE37C" w14:textId="77777777" w:rsidR="001C5B17" w:rsidRPr="00EB77D6" w:rsidRDefault="001C5B17" w:rsidP="001C5B17">
      <w:pPr>
        <w:pStyle w:val="ListParagraph"/>
        <w:numPr>
          <w:ilvl w:val="0"/>
          <w:numId w:val="19"/>
        </w:numPr>
        <w:autoSpaceDE w:val="0"/>
        <w:autoSpaceDN w:val="0"/>
        <w:adjustRightInd w:val="0"/>
        <w:spacing w:line="276" w:lineRule="auto"/>
        <w:jc w:val="both"/>
        <w:rPr>
          <w:lang w:val="en-GB" w:eastAsia="en-GB"/>
        </w:rPr>
      </w:pPr>
      <w:r w:rsidRPr="00EB77D6">
        <w:rPr>
          <w:color w:val="000000"/>
          <w:lang w:val="mk-MK" w:eastAsia="en-GB"/>
        </w:rPr>
        <w:t>одобрува политика за сигурност на информативниот систем</w:t>
      </w:r>
      <w:r w:rsidRPr="00EB77D6">
        <w:rPr>
          <w:lang w:val="en-GB" w:eastAsia="en-GB"/>
        </w:rPr>
        <w:t>;</w:t>
      </w:r>
    </w:p>
    <w:p w14:paraId="0DE9D195" w14:textId="77777777" w:rsidR="001C5B17" w:rsidRPr="00EB77D6" w:rsidRDefault="001C5B17" w:rsidP="001C5B17">
      <w:pPr>
        <w:pStyle w:val="ListParagraph"/>
        <w:numPr>
          <w:ilvl w:val="0"/>
          <w:numId w:val="19"/>
        </w:numPr>
        <w:autoSpaceDE w:val="0"/>
        <w:autoSpaceDN w:val="0"/>
        <w:adjustRightInd w:val="0"/>
        <w:spacing w:line="276" w:lineRule="auto"/>
        <w:jc w:val="both"/>
        <w:rPr>
          <w:lang w:val="en-GB" w:eastAsia="en-GB"/>
        </w:rPr>
      </w:pPr>
      <w:r w:rsidRPr="00EB77D6">
        <w:rPr>
          <w:color w:val="000000"/>
          <w:lang w:val="mk-MK" w:eastAsia="en-GB"/>
        </w:rPr>
        <w:t>одобрува политики за управување со ризици на СБ</w:t>
      </w:r>
      <w:r w:rsidRPr="00EB77D6">
        <w:rPr>
          <w:lang w:val="en-GB" w:eastAsia="en-GB"/>
        </w:rPr>
        <w:t>;</w:t>
      </w:r>
    </w:p>
    <w:p w14:paraId="5E1A0A2F" w14:textId="77777777" w:rsidR="001C5B17" w:rsidRPr="00EB77D6" w:rsidRDefault="001C5B17" w:rsidP="001C5B17">
      <w:pPr>
        <w:pStyle w:val="ListParagraph"/>
        <w:numPr>
          <w:ilvl w:val="0"/>
          <w:numId w:val="19"/>
        </w:numPr>
        <w:autoSpaceDE w:val="0"/>
        <w:autoSpaceDN w:val="0"/>
        <w:adjustRightInd w:val="0"/>
        <w:spacing w:line="276" w:lineRule="auto"/>
        <w:jc w:val="both"/>
        <w:rPr>
          <w:lang w:val="en-GB" w:eastAsia="en-GB"/>
        </w:rPr>
      </w:pPr>
      <w:r w:rsidRPr="00EB77D6">
        <w:rPr>
          <w:color w:val="000000"/>
          <w:lang w:val="mk-MK" w:eastAsia="en-GB"/>
        </w:rPr>
        <w:t>одобрува политика за судир на интереси која утврдува можен судир на интереси и мерки и активности за негово избегнување</w:t>
      </w:r>
      <w:r w:rsidRPr="00EB77D6">
        <w:rPr>
          <w:lang w:val="en-GB" w:eastAsia="en-GB"/>
        </w:rPr>
        <w:t>;</w:t>
      </w:r>
    </w:p>
    <w:p w14:paraId="28058ABD" w14:textId="77777777" w:rsidR="001C5B17" w:rsidRPr="00EB77D6" w:rsidRDefault="001C5B17" w:rsidP="001C5B17">
      <w:pPr>
        <w:pStyle w:val="ListParagraph"/>
        <w:numPr>
          <w:ilvl w:val="0"/>
          <w:numId w:val="19"/>
        </w:numPr>
        <w:autoSpaceDE w:val="0"/>
        <w:autoSpaceDN w:val="0"/>
        <w:adjustRightInd w:val="0"/>
        <w:spacing w:line="276" w:lineRule="auto"/>
        <w:jc w:val="both"/>
        <w:rPr>
          <w:lang w:val="en-GB" w:eastAsia="en-GB"/>
        </w:rPr>
      </w:pPr>
      <w:r w:rsidRPr="00EB77D6">
        <w:rPr>
          <w:lang w:val="mk-MK" w:eastAsia="en-GB"/>
        </w:rPr>
        <w:t>во согласност со деловниот план</w:t>
      </w:r>
      <w:r w:rsidRPr="00EB77D6">
        <w:rPr>
          <w:lang w:val="en-GB" w:eastAsia="en-GB"/>
        </w:rPr>
        <w:t xml:space="preserve">, </w:t>
      </w:r>
      <w:r w:rsidRPr="00EB77D6">
        <w:rPr>
          <w:lang w:val="mk-MK" w:eastAsia="en-GB"/>
        </w:rPr>
        <w:t>развојниот план</w:t>
      </w:r>
      <w:r w:rsidRPr="00EB77D6">
        <w:rPr>
          <w:lang w:val="en-GB" w:eastAsia="en-GB"/>
        </w:rPr>
        <w:t xml:space="preserve">, </w:t>
      </w:r>
      <w:r w:rsidRPr="00EB77D6">
        <w:rPr>
          <w:lang w:val="mk-MK" w:eastAsia="en-GB"/>
        </w:rPr>
        <w:t>финансискиот план</w:t>
      </w:r>
      <w:r w:rsidRPr="00EB77D6">
        <w:rPr>
          <w:lang w:val="en-GB" w:eastAsia="en-GB"/>
        </w:rPr>
        <w:t xml:space="preserve"> / </w:t>
      </w:r>
      <w:r w:rsidRPr="00EB77D6">
        <w:rPr>
          <w:lang w:val="mk-MK" w:eastAsia="en-GB"/>
        </w:rPr>
        <w:t>Буџет</w:t>
      </w:r>
      <w:r w:rsidRPr="00EB77D6">
        <w:rPr>
          <w:lang w:val="en-GB" w:eastAsia="en-GB"/>
        </w:rPr>
        <w:t xml:space="preserve"> </w:t>
      </w:r>
      <w:r w:rsidRPr="00EB77D6">
        <w:rPr>
          <w:lang w:val="mk-MK" w:eastAsia="en-GB"/>
        </w:rPr>
        <w:t>и</w:t>
      </w:r>
      <w:r w:rsidRPr="00EB77D6">
        <w:rPr>
          <w:lang w:val="en-GB" w:eastAsia="en-GB"/>
        </w:rPr>
        <w:t xml:space="preserve"> </w:t>
      </w:r>
      <w:r w:rsidRPr="00EB77D6">
        <w:rPr>
          <w:lang w:val="mk-MK" w:eastAsia="en-GB"/>
        </w:rPr>
        <w:t>политиката за избегнување судир на интереси</w:t>
      </w:r>
      <w:r w:rsidRPr="00EB77D6">
        <w:rPr>
          <w:lang w:val="en-GB" w:eastAsia="en-GB"/>
        </w:rPr>
        <w:t xml:space="preserve">, </w:t>
      </w:r>
      <w:r w:rsidRPr="00EB77D6">
        <w:rPr>
          <w:color w:val="000000"/>
          <w:lang w:val="mk-MK" w:eastAsia="en-GB"/>
        </w:rPr>
        <w:t>одобрува политика за наградување</w:t>
      </w:r>
      <w:r w:rsidRPr="00EB77D6">
        <w:rPr>
          <w:lang w:val="en-GB" w:eastAsia="en-GB"/>
        </w:rPr>
        <w:t>;</w:t>
      </w:r>
    </w:p>
    <w:p w14:paraId="77A82A15" w14:textId="77777777" w:rsidR="001C5B17" w:rsidRPr="00EB77D6" w:rsidRDefault="001C5B17" w:rsidP="001C5B17">
      <w:pPr>
        <w:pStyle w:val="ListParagraph"/>
        <w:numPr>
          <w:ilvl w:val="0"/>
          <w:numId w:val="19"/>
        </w:numPr>
        <w:autoSpaceDE w:val="0"/>
        <w:autoSpaceDN w:val="0"/>
        <w:adjustRightInd w:val="0"/>
        <w:spacing w:line="276" w:lineRule="auto"/>
        <w:jc w:val="both"/>
        <w:rPr>
          <w:lang w:val="en-GB" w:eastAsia="en-GB"/>
        </w:rPr>
      </w:pPr>
      <w:r w:rsidRPr="00EB77D6">
        <w:rPr>
          <w:color w:val="000000"/>
          <w:lang w:val="mk-MK" w:eastAsia="en-GB"/>
        </w:rPr>
        <w:t>одобрува и спроведува политика за избор, следење на работењето и разрешување на членови на Надзорниот одбор, Одборот за управување со ризици, Одборот за ревизија и Управниот одбор на СБ</w:t>
      </w:r>
      <w:r w:rsidRPr="00EB77D6">
        <w:rPr>
          <w:lang w:val="en-GB" w:eastAsia="en-GB"/>
        </w:rPr>
        <w:t>;</w:t>
      </w:r>
    </w:p>
    <w:p w14:paraId="09635507" w14:textId="77777777" w:rsidR="001C5B17" w:rsidRPr="00EB77D6" w:rsidRDefault="001C5B17" w:rsidP="001C5B17">
      <w:pPr>
        <w:pStyle w:val="ListParagraph"/>
        <w:numPr>
          <w:ilvl w:val="0"/>
          <w:numId w:val="19"/>
        </w:numPr>
        <w:autoSpaceDE w:val="0"/>
        <w:autoSpaceDN w:val="0"/>
        <w:adjustRightInd w:val="0"/>
        <w:spacing w:line="276" w:lineRule="auto"/>
        <w:jc w:val="both"/>
        <w:rPr>
          <w:lang w:val="en-GB" w:eastAsia="en-GB"/>
        </w:rPr>
      </w:pPr>
      <w:r w:rsidRPr="00EB77D6">
        <w:rPr>
          <w:color w:val="000000"/>
          <w:lang w:val="mk-MK" w:eastAsia="en-GB"/>
        </w:rPr>
        <w:t>разгледува извештаи за работењето на Управниот одбор на СБ</w:t>
      </w:r>
      <w:r w:rsidRPr="00EB77D6">
        <w:rPr>
          <w:lang w:val="en-GB" w:eastAsia="en-GB"/>
        </w:rPr>
        <w:t>;</w:t>
      </w:r>
    </w:p>
    <w:p w14:paraId="42C1A883" w14:textId="77777777" w:rsidR="001C5B17" w:rsidRPr="00EB77D6" w:rsidRDefault="001C5B17" w:rsidP="001C5B17">
      <w:pPr>
        <w:pStyle w:val="ListParagraph"/>
        <w:numPr>
          <w:ilvl w:val="0"/>
          <w:numId w:val="19"/>
        </w:numPr>
        <w:autoSpaceDE w:val="0"/>
        <w:autoSpaceDN w:val="0"/>
        <w:adjustRightInd w:val="0"/>
        <w:spacing w:line="276" w:lineRule="auto"/>
        <w:jc w:val="both"/>
        <w:rPr>
          <w:lang w:val="en-GB" w:eastAsia="en-GB"/>
        </w:rPr>
      </w:pPr>
      <w:r w:rsidRPr="00EB77D6">
        <w:rPr>
          <w:color w:val="000000"/>
          <w:lang w:val="mk-MK" w:eastAsia="en-GB"/>
        </w:rPr>
        <w:t>разгледува извештаи за работењето на</w:t>
      </w:r>
      <w:r w:rsidRPr="00EB77D6">
        <w:rPr>
          <w:lang w:val="en-GB" w:eastAsia="en-GB"/>
        </w:rPr>
        <w:t xml:space="preserve"> </w:t>
      </w:r>
      <w:r w:rsidRPr="00EB77D6">
        <w:rPr>
          <w:color w:val="000000"/>
          <w:lang w:val="mk-MK" w:eastAsia="en-GB"/>
        </w:rPr>
        <w:t>Одборот за управување со ризици на СБ</w:t>
      </w:r>
      <w:r w:rsidRPr="00EB77D6">
        <w:rPr>
          <w:lang w:val="en-GB" w:eastAsia="en-GB"/>
        </w:rPr>
        <w:t>;</w:t>
      </w:r>
    </w:p>
    <w:p w14:paraId="1A6A818F" w14:textId="77777777" w:rsidR="001C5B17" w:rsidRPr="00EB77D6" w:rsidRDefault="001C5B17" w:rsidP="001C5B17">
      <w:pPr>
        <w:pStyle w:val="ListParagraph"/>
        <w:numPr>
          <w:ilvl w:val="0"/>
          <w:numId w:val="19"/>
        </w:numPr>
        <w:autoSpaceDE w:val="0"/>
        <w:autoSpaceDN w:val="0"/>
        <w:adjustRightInd w:val="0"/>
        <w:spacing w:line="276" w:lineRule="auto"/>
        <w:jc w:val="both"/>
        <w:rPr>
          <w:lang w:val="en-GB" w:eastAsia="en-GB"/>
        </w:rPr>
      </w:pPr>
      <w:r w:rsidRPr="00EB77D6">
        <w:rPr>
          <w:color w:val="000000"/>
          <w:lang w:val="mk-MK" w:eastAsia="en-GB"/>
        </w:rPr>
        <w:t>разгледува извештаи за работењето на</w:t>
      </w:r>
      <w:r w:rsidRPr="00EB77D6">
        <w:rPr>
          <w:lang w:val="en-GB" w:eastAsia="en-GB"/>
        </w:rPr>
        <w:t xml:space="preserve"> </w:t>
      </w:r>
      <w:r w:rsidRPr="00EB77D6">
        <w:rPr>
          <w:color w:val="000000"/>
          <w:lang w:val="mk-MK" w:eastAsia="en-GB"/>
        </w:rPr>
        <w:t>Одборот за ревизија</w:t>
      </w:r>
      <w:r w:rsidRPr="00EB77D6">
        <w:rPr>
          <w:lang w:val="en-GB" w:eastAsia="en-GB"/>
        </w:rPr>
        <w:t>;</w:t>
      </w:r>
    </w:p>
    <w:p w14:paraId="02F907DF" w14:textId="77777777" w:rsidR="001C5B17" w:rsidRPr="00EB77D6" w:rsidRDefault="001C5B17" w:rsidP="001C5B17">
      <w:pPr>
        <w:pStyle w:val="ListParagraph"/>
        <w:numPr>
          <w:ilvl w:val="0"/>
          <w:numId w:val="19"/>
        </w:numPr>
        <w:autoSpaceDE w:val="0"/>
        <w:autoSpaceDN w:val="0"/>
        <w:adjustRightInd w:val="0"/>
        <w:spacing w:line="276" w:lineRule="auto"/>
        <w:jc w:val="both"/>
        <w:rPr>
          <w:lang w:val="en-GB" w:eastAsia="en-GB"/>
        </w:rPr>
      </w:pPr>
      <w:r w:rsidRPr="00EB77D6">
        <w:rPr>
          <w:color w:val="000000"/>
          <w:lang w:val="mk-MK" w:eastAsia="en-GB"/>
        </w:rPr>
        <w:t>разгледува извештаи за работењето на</w:t>
      </w:r>
      <w:r w:rsidRPr="00EB77D6">
        <w:rPr>
          <w:lang w:val="en-GB" w:eastAsia="en-GB"/>
        </w:rPr>
        <w:t xml:space="preserve"> </w:t>
      </w:r>
      <w:r w:rsidRPr="00EB77D6">
        <w:rPr>
          <w:color w:val="000000"/>
          <w:lang w:val="mk-MK" w:eastAsia="en-GB"/>
        </w:rPr>
        <w:t>Секторот за внатрешна ревизија</w:t>
      </w:r>
      <w:r w:rsidRPr="00EB77D6">
        <w:rPr>
          <w:lang w:val="en-GB" w:eastAsia="en-GB"/>
        </w:rPr>
        <w:t>;</w:t>
      </w:r>
    </w:p>
    <w:p w14:paraId="26AF9CFA" w14:textId="77777777" w:rsidR="001C5B17" w:rsidRPr="00EB77D6" w:rsidRDefault="001C5B17" w:rsidP="001C5B17">
      <w:pPr>
        <w:pStyle w:val="ListParagraph"/>
        <w:numPr>
          <w:ilvl w:val="0"/>
          <w:numId w:val="19"/>
        </w:numPr>
        <w:autoSpaceDE w:val="0"/>
        <w:autoSpaceDN w:val="0"/>
        <w:adjustRightInd w:val="0"/>
        <w:spacing w:line="276" w:lineRule="auto"/>
        <w:jc w:val="both"/>
        <w:rPr>
          <w:lang w:val="en-GB" w:eastAsia="en-GB"/>
        </w:rPr>
      </w:pPr>
      <w:r w:rsidRPr="00EB77D6">
        <w:rPr>
          <w:color w:val="000000"/>
          <w:lang w:val="mk-MK" w:eastAsia="en-GB"/>
        </w:rPr>
        <w:t>разгледува извештаи за работењето на</w:t>
      </w:r>
      <w:r w:rsidRPr="00EB77D6">
        <w:rPr>
          <w:lang w:val="en-GB" w:eastAsia="en-GB"/>
        </w:rPr>
        <w:t xml:space="preserve"> </w:t>
      </w:r>
      <w:r w:rsidRPr="00EB77D6">
        <w:rPr>
          <w:color w:val="000000"/>
          <w:lang w:val="mk-MK" w:eastAsia="en-GB"/>
        </w:rPr>
        <w:t>Секторот за контрола на усогласеноста на работењето на Банката со прописите</w:t>
      </w:r>
      <w:r w:rsidRPr="00EB77D6">
        <w:rPr>
          <w:lang w:val="en-GB" w:eastAsia="en-GB"/>
        </w:rPr>
        <w:t>;</w:t>
      </w:r>
    </w:p>
    <w:p w14:paraId="3A25E7AF" w14:textId="77777777" w:rsidR="001C5B17" w:rsidRPr="00EB77D6" w:rsidRDefault="001C5B17" w:rsidP="001C5B17">
      <w:pPr>
        <w:pStyle w:val="ListParagraph"/>
        <w:numPr>
          <w:ilvl w:val="0"/>
          <w:numId w:val="19"/>
        </w:numPr>
        <w:autoSpaceDE w:val="0"/>
        <w:autoSpaceDN w:val="0"/>
        <w:adjustRightInd w:val="0"/>
        <w:spacing w:line="276" w:lineRule="auto"/>
        <w:jc w:val="both"/>
        <w:rPr>
          <w:lang w:val="en-GB" w:eastAsia="en-GB"/>
        </w:rPr>
      </w:pPr>
      <w:r w:rsidRPr="00EB77D6">
        <w:rPr>
          <w:color w:val="000000"/>
          <w:lang w:val="mk-MK" w:eastAsia="en-GB"/>
        </w:rPr>
        <w:t>одобрува годишна сметка и финансиски извештаи на СБ</w:t>
      </w:r>
      <w:r w:rsidRPr="00EB77D6">
        <w:rPr>
          <w:lang w:val="en-GB" w:eastAsia="en-GB"/>
        </w:rPr>
        <w:t>;</w:t>
      </w:r>
    </w:p>
    <w:p w14:paraId="5B35EC47" w14:textId="77777777" w:rsidR="001C5B17" w:rsidRPr="00EB77D6" w:rsidRDefault="001C5B17" w:rsidP="001C5B17">
      <w:pPr>
        <w:pStyle w:val="ListParagraph"/>
        <w:numPr>
          <w:ilvl w:val="0"/>
          <w:numId w:val="19"/>
        </w:numPr>
        <w:autoSpaceDE w:val="0"/>
        <w:autoSpaceDN w:val="0"/>
        <w:adjustRightInd w:val="0"/>
        <w:spacing w:line="276" w:lineRule="auto"/>
        <w:jc w:val="both"/>
        <w:rPr>
          <w:lang w:val="en-GB" w:eastAsia="en-GB"/>
        </w:rPr>
      </w:pPr>
      <w:r w:rsidRPr="00EB77D6">
        <w:rPr>
          <w:color w:val="000000"/>
          <w:lang w:val="mk-MK" w:eastAsia="en-GB"/>
        </w:rPr>
        <w:t>одобрува изложеност кон поединечно лице од над</w:t>
      </w:r>
      <w:r w:rsidRPr="00EB77D6">
        <w:rPr>
          <w:lang w:val="en-GB" w:eastAsia="en-GB"/>
        </w:rPr>
        <w:t xml:space="preserve"> 10% </w:t>
      </w:r>
      <w:r w:rsidRPr="00EB77D6">
        <w:rPr>
          <w:color w:val="000000"/>
          <w:lang w:val="mk-MK" w:eastAsia="en-GB"/>
        </w:rPr>
        <w:t>од сопствените средства на СБ,</w:t>
      </w:r>
      <w:r w:rsidRPr="00EB77D6">
        <w:rPr>
          <w:lang w:val="en-GB" w:eastAsia="en-GB"/>
        </w:rPr>
        <w:t xml:space="preserve"> </w:t>
      </w:r>
      <w:r w:rsidRPr="00EB77D6">
        <w:rPr>
          <w:lang w:val="mk-MK" w:eastAsia="en-GB"/>
        </w:rPr>
        <w:t>или</w:t>
      </w:r>
      <w:r w:rsidRPr="00EB77D6">
        <w:rPr>
          <w:lang w:val="en-GB" w:eastAsia="en-GB"/>
        </w:rPr>
        <w:t xml:space="preserve"> 10,000,001</w:t>
      </w:r>
      <w:r w:rsidRPr="00EB77D6">
        <w:rPr>
          <w:lang w:val="mk-MK" w:eastAsia="en-GB"/>
        </w:rPr>
        <w:t xml:space="preserve"> евра</w:t>
      </w:r>
      <w:r w:rsidRPr="00EB77D6">
        <w:rPr>
          <w:lang w:val="en-GB" w:eastAsia="en-GB"/>
        </w:rPr>
        <w:t xml:space="preserve">, </w:t>
      </w:r>
      <w:r w:rsidRPr="00EB77D6">
        <w:rPr>
          <w:color w:val="000000"/>
          <w:lang w:val="mk-MK" w:eastAsia="en-GB"/>
        </w:rPr>
        <w:t>со исклучок на изложеност врз основа на купување на хартии од вредност издадени од Народна Банка и Владата на РСМ</w:t>
      </w:r>
      <w:r w:rsidRPr="00EB77D6">
        <w:rPr>
          <w:lang w:val="en-GB" w:eastAsia="en-GB"/>
        </w:rPr>
        <w:t xml:space="preserve">; </w:t>
      </w:r>
    </w:p>
    <w:p w14:paraId="3EB6597A" w14:textId="77777777" w:rsidR="001C5B17" w:rsidRPr="00EB77D6" w:rsidRDefault="001C5B17" w:rsidP="001C5B17">
      <w:pPr>
        <w:pStyle w:val="ListParagraph"/>
        <w:numPr>
          <w:ilvl w:val="0"/>
          <w:numId w:val="19"/>
        </w:numPr>
        <w:autoSpaceDE w:val="0"/>
        <w:autoSpaceDN w:val="0"/>
        <w:adjustRightInd w:val="0"/>
        <w:spacing w:line="276" w:lineRule="auto"/>
        <w:jc w:val="both"/>
        <w:rPr>
          <w:lang w:val="en-GB" w:eastAsia="en-GB"/>
        </w:rPr>
      </w:pPr>
      <w:r w:rsidRPr="00EB77D6">
        <w:rPr>
          <w:color w:val="000000"/>
          <w:lang w:val="mk-MK" w:eastAsia="en-GB"/>
        </w:rPr>
        <w:t>одобрува трансакции со поврзани лица со СБ во износ од над 6.000.000 денари</w:t>
      </w:r>
      <w:r w:rsidRPr="00EB77D6">
        <w:rPr>
          <w:lang w:val="en-GB" w:eastAsia="en-GB"/>
        </w:rPr>
        <w:t>;</w:t>
      </w:r>
    </w:p>
    <w:p w14:paraId="7493768F" w14:textId="77777777" w:rsidR="001C5B17" w:rsidRPr="00EB77D6" w:rsidRDefault="001C5B17" w:rsidP="001C5B17">
      <w:pPr>
        <w:pStyle w:val="ListParagraph"/>
        <w:numPr>
          <w:ilvl w:val="0"/>
          <w:numId w:val="19"/>
        </w:numPr>
        <w:autoSpaceDE w:val="0"/>
        <w:autoSpaceDN w:val="0"/>
        <w:adjustRightInd w:val="0"/>
        <w:spacing w:line="276" w:lineRule="auto"/>
        <w:jc w:val="both"/>
        <w:rPr>
          <w:lang w:val="en-GB" w:eastAsia="en-GB"/>
        </w:rPr>
      </w:pPr>
      <w:r w:rsidRPr="00EB77D6">
        <w:rPr>
          <w:color w:val="000000"/>
          <w:lang w:val="mk-MK" w:eastAsia="en-GB"/>
        </w:rPr>
        <w:t>одобрува стекнување на капитални удели и купување на хартии од вредност во износ повисок од 5% од сопствените средства на СБ, освен купување на хартии од вредност издадени од Народна банка и Владата на РСМ</w:t>
      </w:r>
      <w:r w:rsidRPr="00EB77D6">
        <w:rPr>
          <w:lang w:val="en-GB" w:eastAsia="en-GB"/>
        </w:rPr>
        <w:t>;</w:t>
      </w:r>
    </w:p>
    <w:p w14:paraId="5838329A" w14:textId="77777777" w:rsidR="001C5B17" w:rsidRPr="00EB77D6" w:rsidRDefault="001C5B17" w:rsidP="001C5B17">
      <w:pPr>
        <w:pStyle w:val="ListParagraph"/>
        <w:numPr>
          <w:ilvl w:val="0"/>
          <w:numId w:val="19"/>
        </w:numPr>
        <w:autoSpaceDE w:val="0"/>
        <w:autoSpaceDN w:val="0"/>
        <w:adjustRightInd w:val="0"/>
        <w:spacing w:line="276" w:lineRule="auto"/>
        <w:jc w:val="both"/>
        <w:rPr>
          <w:lang w:val="en-GB" w:eastAsia="en-GB"/>
        </w:rPr>
      </w:pPr>
      <w:r w:rsidRPr="00EB77D6">
        <w:rPr>
          <w:color w:val="000000"/>
          <w:lang w:val="mk-MK" w:eastAsia="en-GB"/>
        </w:rPr>
        <w:lastRenderedPageBreak/>
        <w:t>одобрува предлог на Одборот за ревизија за назначување на надворешно друштво за ревизија, или предлог за раскинување на договорот со надворешното друштво за ревизија и е одговорен за обезбедување на соодветна ревизија</w:t>
      </w:r>
      <w:r w:rsidRPr="00EB77D6">
        <w:rPr>
          <w:lang w:val="en-GB" w:eastAsia="en-GB"/>
        </w:rPr>
        <w:t>;</w:t>
      </w:r>
    </w:p>
    <w:p w14:paraId="7EFA1216" w14:textId="77777777" w:rsidR="001C5B17" w:rsidRPr="00EB77D6" w:rsidRDefault="001C5B17" w:rsidP="001C5B17">
      <w:pPr>
        <w:pStyle w:val="ListParagraph"/>
        <w:numPr>
          <w:ilvl w:val="0"/>
          <w:numId w:val="19"/>
        </w:numPr>
        <w:autoSpaceDE w:val="0"/>
        <w:autoSpaceDN w:val="0"/>
        <w:adjustRightInd w:val="0"/>
        <w:spacing w:line="276" w:lineRule="auto"/>
        <w:jc w:val="both"/>
        <w:rPr>
          <w:lang w:val="en-GB" w:eastAsia="en-GB"/>
        </w:rPr>
      </w:pPr>
      <w:r w:rsidRPr="00EB77D6">
        <w:rPr>
          <w:color w:val="000000"/>
          <w:lang w:val="mk-MK" w:eastAsia="en-GB"/>
        </w:rPr>
        <w:t>одобрува Политика за вршење на внатрешна ревизија</w:t>
      </w:r>
      <w:r w:rsidRPr="00EB77D6">
        <w:rPr>
          <w:lang w:val="en-GB" w:eastAsia="en-GB"/>
        </w:rPr>
        <w:t>;</w:t>
      </w:r>
    </w:p>
    <w:p w14:paraId="5A94D585" w14:textId="77777777" w:rsidR="001C5B17" w:rsidRPr="00EB77D6" w:rsidRDefault="001C5B17" w:rsidP="001C5B17">
      <w:pPr>
        <w:pStyle w:val="ListParagraph"/>
        <w:numPr>
          <w:ilvl w:val="0"/>
          <w:numId w:val="19"/>
        </w:numPr>
        <w:autoSpaceDE w:val="0"/>
        <w:autoSpaceDN w:val="0"/>
        <w:adjustRightInd w:val="0"/>
        <w:spacing w:line="276" w:lineRule="auto"/>
        <w:jc w:val="both"/>
        <w:rPr>
          <w:lang w:val="en-GB" w:eastAsia="en-GB"/>
        </w:rPr>
      </w:pPr>
      <w:r w:rsidRPr="00EB77D6">
        <w:rPr>
          <w:color w:val="000000"/>
          <w:lang w:val="mk-MK" w:eastAsia="en-GB"/>
        </w:rPr>
        <w:t>разгледува извештаи од супервизијата, други извештаи доставени од Народна банка, Управата за јавни приходи и други надлежни институции и предлага, односно превзема мерки и активности за надминување на утврдените неусогласености и слабости во работењето на СБ</w:t>
      </w:r>
      <w:r w:rsidRPr="00EB77D6">
        <w:rPr>
          <w:lang w:val="en-GB" w:eastAsia="en-GB"/>
        </w:rPr>
        <w:t>;</w:t>
      </w:r>
    </w:p>
    <w:p w14:paraId="1AD02F27" w14:textId="77777777" w:rsidR="001C5B17" w:rsidRPr="00EB77D6" w:rsidRDefault="001C5B17" w:rsidP="001C5B17">
      <w:pPr>
        <w:pStyle w:val="ListParagraph"/>
        <w:numPr>
          <w:ilvl w:val="0"/>
          <w:numId w:val="19"/>
        </w:numPr>
        <w:autoSpaceDE w:val="0"/>
        <w:autoSpaceDN w:val="0"/>
        <w:adjustRightInd w:val="0"/>
        <w:spacing w:line="276" w:lineRule="auto"/>
        <w:jc w:val="both"/>
        <w:rPr>
          <w:lang w:val="en-GB" w:eastAsia="en-GB"/>
        </w:rPr>
      </w:pPr>
      <w:r w:rsidRPr="00EB77D6">
        <w:rPr>
          <w:color w:val="000000"/>
          <w:lang w:val="mk-MK" w:eastAsia="en-GB"/>
        </w:rPr>
        <w:t>одобрува годишен извештај за работењето на СБ и доставува мислење во писмена форма по истиот до Собранието на акционери на СБ</w:t>
      </w:r>
      <w:r w:rsidRPr="00EB77D6">
        <w:rPr>
          <w:lang w:val="en-GB" w:eastAsia="en-GB"/>
        </w:rPr>
        <w:t>;</w:t>
      </w:r>
    </w:p>
    <w:p w14:paraId="3FADAADB" w14:textId="77777777" w:rsidR="001C5B17" w:rsidRPr="00EB77D6" w:rsidRDefault="001C5B17" w:rsidP="001C5B17">
      <w:pPr>
        <w:pStyle w:val="ListParagraph"/>
        <w:numPr>
          <w:ilvl w:val="0"/>
          <w:numId w:val="19"/>
        </w:numPr>
        <w:autoSpaceDE w:val="0"/>
        <w:autoSpaceDN w:val="0"/>
        <w:adjustRightInd w:val="0"/>
        <w:spacing w:line="276" w:lineRule="auto"/>
        <w:jc w:val="both"/>
        <w:rPr>
          <w:lang w:val="en-GB" w:eastAsia="en-GB"/>
        </w:rPr>
      </w:pPr>
      <w:r w:rsidRPr="00EB77D6">
        <w:rPr>
          <w:color w:val="000000"/>
          <w:lang w:val="mk-MK" w:eastAsia="en-GB"/>
        </w:rPr>
        <w:t>разгледува извештај од надворешното друштво за ревизија и доставува мислење во писмена форма по истиот до Собранието на акционери на СБ</w:t>
      </w:r>
      <w:r w:rsidRPr="00EB77D6">
        <w:rPr>
          <w:lang w:val="en-GB" w:eastAsia="en-GB"/>
        </w:rPr>
        <w:t>;</w:t>
      </w:r>
    </w:p>
    <w:p w14:paraId="04807C89" w14:textId="77777777" w:rsidR="001C5B17" w:rsidRPr="00EB77D6" w:rsidRDefault="001C5B17" w:rsidP="001C5B17">
      <w:pPr>
        <w:pStyle w:val="ListParagraph"/>
        <w:numPr>
          <w:ilvl w:val="0"/>
          <w:numId w:val="19"/>
        </w:numPr>
        <w:autoSpaceDE w:val="0"/>
        <w:autoSpaceDN w:val="0"/>
        <w:adjustRightInd w:val="0"/>
        <w:spacing w:line="276" w:lineRule="auto"/>
        <w:jc w:val="both"/>
        <w:rPr>
          <w:lang w:val="en-GB" w:eastAsia="en-GB"/>
        </w:rPr>
      </w:pPr>
      <w:r w:rsidRPr="00EB77D6">
        <w:rPr>
          <w:color w:val="000000"/>
          <w:lang w:val="mk-MK" w:eastAsia="en-GB"/>
        </w:rPr>
        <w:t>одобрува Кодекс на етика на СБ</w:t>
      </w:r>
      <w:r w:rsidRPr="00EB77D6">
        <w:rPr>
          <w:lang w:val="en-GB" w:eastAsia="en-GB"/>
        </w:rPr>
        <w:t xml:space="preserve">; </w:t>
      </w:r>
    </w:p>
    <w:p w14:paraId="5036599A" w14:textId="77777777" w:rsidR="001C5B17" w:rsidRPr="00EB77D6" w:rsidRDefault="001C5B17" w:rsidP="001C5B17">
      <w:pPr>
        <w:pStyle w:val="ListParagraph"/>
        <w:numPr>
          <w:ilvl w:val="0"/>
          <w:numId w:val="19"/>
        </w:numPr>
        <w:autoSpaceDE w:val="0"/>
        <w:autoSpaceDN w:val="0"/>
        <w:adjustRightInd w:val="0"/>
        <w:spacing w:line="276" w:lineRule="auto"/>
        <w:jc w:val="both"/>
        <w:rPr>
          <w:lang w:val="en-GB" w:eastAsia="en-GB"/>
        </w:rPr>
      </w:pPr>
      <w:r w:rsidRPr="00EB77D6">
        <w:rPr>
          <w:lang w:val="mk-MK" w:eastAsia="en-GB"/>
        </w:rPr>
        <w:t xml:space="preserve">одобрува </w:t>
      </w:r>
      <w:r w:rsidRPr="00EB77D6">
        <w:rPr>
          <w:color w:val="000000"/>
          <w:lang w:val="mk-MK" w:eastAsia="en-GB"/>
        </w:rPr>
        <w:t>Кодекс на корпоратвино упрвување на СБ;</w:t>
      </w:r>
    </w:p>
    <w:p w14:paraId="50184DE0" w14:textId="77777777" w:rsidR="001C5B17" w:rsidRPr="00EB77D6" w:rsidRDefault="001C5B17" w:rsidP="001C5B17">
      <w:pPr>
        <w:pStyle w:val="ListParagraph"/>
        <w:numPr>
          <w:ilvl w:val="0"/>
          <w:numId w:val="19"/>
        </w:numPr>
        <w:autoSpaceDE w:val="0"/>
        <w:autoSpaceDN w:val="0"/>
        <w:adjustRightInd w:val="0"/>
        <w:spacing w:line="276" w:lineRule="auto"/>
        <w:jc w:val="both"/>
        <w:rPr>
          <w:lang w:val="en-GB" w:eastAsia="en-GB"/>
        </w:rPr>
      </w:pPr>
      <w:r w:rsidRPr="00EB77D6">
        <w:rPr>
          <w:lang w:val="mk-MK" w:eastAsia="en-GB"/>
        </w:rPr>
        <w:t>одлучува за делумно или целосно отпишување на кредитна изложеност врз основа на анализа за извршено отпишување подготвена од надлежниот сектор во банката;</w:t>
      </w:r>
      <w:r w:rsidRPr="00EB77D6">
        <w:rPr>
          <w:lang w:eastAsia="en-GB"/>
        </w:rPr>
        <w:t xml:space="preserve"> </w:t>
      </w:r>
    </w:p>
    <w:p w14:paraId="4F70578D" w14:textId="77777777" w:rsidR="001C5B17" w:rsidRPr="00EB77D6" w:rsidRDefault="001C5B17" w:rsidP="001C5B17">
      <w:pPr>
        <w:pStyle w:val="ListParagraph"/>
        <w:numPr>
          <w:ilvl w:val="0"/>
          <w:numId w:val="19"/>
        </w:numPr>
        <w:autoSpaceDE w:val="0"/>
        <w:autoSpaceDN w:val="0"/>
        <w:adjustRightInd w:val="0"/>
        <w:spacing w:line="276" w:lineRule="auto"/>
        <w:jc w:val="both"/>
        <w:rPr>
          <w:color w:val="000000"/>
        </w:rPr>
      </w:pPr>
      <w:r w:rsidRPr="00EB77D6">
        <w:rPr>
          <w:color w:val="000000"/>
          <w:lang w:val="mk-MK"/>
        </w:rPr>
        <w:t>разгледува извештај за трансакции</w:t>
      </w:r>
      <w:r w:rsidRPr="00EB77D6">
        <w:rPr>
          <w:color w:val="000000"/>
        </w:rPr>
        <w:t xml:space="preserve"> </w:t>
      </w:r>
      <w:r w:rsidRPr="00EB77D6">
        <w:rPr>
          <w:color w:val="000000"/>
          <w:lang w:val="mk-MK"/>
        </w:rPr>
        <w:t>со субјекти поврзани со банката</w:t>
      </w:r>
      <w:r w:rsidRPr="00EB77D6">
        <w:rPr>
          <w:color w:val="000000"/>
        </w:rPr>
        <w:t xml:space="preserve">, </w:t>
      </w:r>
      <w:r w:rsidRPr="00EB77D6">
        <w:rPr>
          <w:color w:val="000000"/>
          <w:lang w:val="mk-MK"/>
        </w:rPr>
        <w:t>како и за</w:t>
      </w:r>
      <w:r w:rsidRPr="00EB77D6">
        <w:rPr>
          <w:color w:val="000000"/>
        </w:rPr>
        <w:t xml:space="preserve"> </w:t>
      </w:r>
      <w:r w:rsidRPr="00EB77D6">
        <w:rPr>
          <w:color w:val="000000"/>
          <w:lang w:val="mk-MK"/>
        </w:rPr>
        <w:t>износот на одобрени кредити</w:t>
      </w:r>
      <w:r w:rsidRPr="00EB77D6">
        <w:rPr>
          <w:color w:val="000000"/>
        </w:rPr>
        <w:t xml:space="preserve"> и </w:t>
      </w:r>
      <w:r w:rsidRPr="00EB77D6">
        <w:rPr>
          <w:color w:val="000000"/>
          <w:lang w:val="mk-MK"/>
        </w:rPr>
        <w:t>други форми на изложеност</w:t>
      </w:r>
      <w:r w:rsidRPr="00EB77D6">
        <w:rPr>
          <w:color w:val="000000"/>
        </w:rPr>
        <w:t xml:space="preserve"> </w:t>
      </w:r>
      <w:r w:rsidRPr="00EB77D6">
        <w:rPr>
          <w:color w:val="000000"/>
          <w:lang w:val="mk-MK"/>
        </w:rPr>
        <w:t>на лицата со посебни права</w:t>
      </w:r>
      <w:r w:rsidRPr="00EB77D6">
        <w:rPr>
          <w:color w:val="000000"/>
        </w:rPr>
        <w:t xml:space="preserve"> и </w:t>
      </w:r>
      <w:r w:rsidRPr="00EB77D6">
        <w:rPr>
          <w:color w:val="000000"/>
          <w:lang w:val="mk-MK"/>
        </w:rPr>
        <w:t>одговорности во банката</w:t>
      </w:r>
      <w:r w:rsidRPr="00EB77D6">
        <w:rPr>
          <w:color w:val="000000"/>
        </w:rPr>
        <w:t xml:space="preserve">, </w:t>
      </w:r>
      <w:r w:rsidRPr="00EB77D6">
        <w:rPr>
          <w:color w:val="000000"/>
          <w:lang w:val="mk-MK"/>
        </w:rPr>
        <w:t>најмалку еднаш квартално</w:t>
      </w:r>
      <w:r w:rsidRPr="00EB77D6">
        <w:rPr>
          <w:color w:val="000000"/>
        </w:rPr>
        <w:t xml:space="preserve">; </w:t>
      </w:r>
      <w:r w:rsidRPr="00EB77D6">
        <w:rPr>
          <w:lang w:val="mk-MK" w:eastAsia="en-GB"/>
        </w:rPr>
        <w:t>и</w:t>
      </w:r>
    </w:p>
    <w:p w14:paraId="23DB9983" w14:textId="77777777" w:rsidR="001C5B17" w:rsidRPr="00EB77D6" w:rsidRDefault="001C5B17" w:rsidP="001C5B17">
      <w:pPr>
        <w:pStyle w:val="ListParagraph"/>
        <w:numPr>
          <w:ilvl w:val="0"/>
          <w:numId w:val="19"/>
        </w:numPr>
        <w:autoSpaceDE w:val="0"/>
        <w:autoSpaceDN w:val="0"/>
        <w:adjustRightInd w:val="0"/>
        <w:spacing w:line="276" w:lineRule="auto"/>
        <w:jc w:val="both"/>
        <w:rPr>
          <w:color w:val="000000"/>
        </w:rPr>
      </w:pPr>
      <w:r w:rsidRPr="00EB77D6">
        <w:rPr>
          <w:lang w:val="mk-MK" w:eastAsia="en-GB"/>
        </w:rPr>
        <w:t>извршува</w:t>
      </w:r>
      <w:r w:rsidRPr="00EB77D6">
        <w:rPr>
          <w:lang w:eastAsia="en-GB"/>
        </w:rPr>
        <w:t xml:space="preserve"> </w:t>
      </w:r>
      <w:r w:rsidRPr="00EB77D6">
        <w:rPr>
          <w:lang w:val="mk-MK" w:eastAsia="en-GB"/>
        </w:rPr>
        <w:t>други</w:t>
      </w:r>
      <w:r w:rsidRPr="00EB77D6">
        <w:rPr>
          <w:lang w:eastAsia="en-GB"/>
        </w:rPr>
        <w:t xml:space="preserve"> </w:t>
      </w:r>
      <w:r w:rsidRPr="00EB77D6">
        <w:rPr>
          <w:lang w:val="mk-MK" w:eastAsia="en-GB"/>
        </w:rPr>
        <w:t>активности</w:t>
      </w:r>
      <w:r w:rsidRPr="00EB77D6">
        <w:rPr>
          <w:lang w:eastAsia="en-GB"/>
        </w:rPr>
        <w:t xml:space="preserve"> </w:t>
      </w:r>
      <w:r w:rsidRPr="00EB77D6">
        <w:rPr>
          <w:lang w:val="mk-MK" w:eastAsia="en-GB"/>
        </w:rPr>
        <w:t>во</w:t>
      </w:r>
      <w:r w:rsidRPr="00EB77D6">
        <w:rPr>
          <w:lang w:eastAsia="en-GB"/>
        </w:rPr>
        <w:t xml:space="preserve"> </w:t>
      </w:r>
      <w:r w:rsidRPr="00EB77D6">
        <w:rPr>
          <w:lang w:val="mk-MK" w:eastAsia="en-GB"/>
        </w:rPr>
        <w:t>согласност со</w:t>
      </w:r>
      <w:r w:rsidRPr="00EB77D6">
        <w:rPr>
          <w:lang w:eastAsia="en-GB"/>
        </w:rPr>
        <w:t xml:space="preserve"> </w:t>
      </w:r>
      <w:r w:rsidRPr="00EB77D6">
        <w:rPr>
          <w:lang w:val="mk-MK" w:eastAsia="en-GB"/>
        </w:rPr>
        <w:t>важечките</w:t>
      </w:r>
      <w:r w:rsidRPr="00EB77D6">
        <w:rPr>
          <w:lang w:eastAsia="en-GB"/>
        </w:rPr>
        <w:t xml:space="preserve"> </w:t>
      </w:r>
      <w:r w:rsidRPr="00EB77D6">
        <w:rPr>
          <w:lang w:val="mk-MK" w:eastAsia="en-GB"/>
        </w:rPr>
        <w:t>закони</w:t>
      </w:r>
      <w:r w:rsidRPr="00EB77D6">
        <w:rPr>
          <w:lang w:eastAsia="en-GB"/>
        </w:rPr>
        <w:t xml:space="preserve"> и </w:t>
      </w:r>
      <w:r w:rsidRPr="00EB77D6">
        <w:rPr>
          <w:lang w:val="mk-MK" w:eastAsia="en-GB"/>
        </w:rPr>
        <w:t>одлуки</w:t>
      </w:r>
      <w:r w:rsidRPr="00EB77D6">
        <w:rPr>
          <w:lang w:eastAsia="en-GB"/>
        </w:rPr>
        <w:t xml:space="preserve"> </w:t>
      </w:r>
      <w:r w:rsidRPr="00EB77D6">
        <w:rPr>
          <w:lang w:val="mk-MK" w:eastAsia="en-GB"/>
        </w:rPr>
        <w:t>на</w:t>
      </w:r>
      <w:r w:rsidRPr="00EB77D6">
        <w:rPr>
          <w:lang w:eastAsia="en-GB"/>
        </w:rPr>
        <w:t xml:space="preserve"> </w:t>
      </w:r>
      <w:r w:rsidRPr="00EB77D6">
        <w:rPr>
          <w:lang w:val="mk-MK" w:eastAsia="en-GB"/>
        </w:rPr>
        <w:t>Народната банка</w:t>
      </w:r>
      <w:r w:rsidRPr="00EB77D6">
        <w:rPr>
          <w:lang w:eastAsia="en-GB"/>
        </w:rPr>
        <w:t xml:space="preserve">. </w:t>
      </w:r>
    </w:p>
    <w:p w14:paraId="3A9CEF89" w14:textId="77777777" w:rsidR="001C5B17" w:rsidRPr="00EB77D6" w:rsidRDefault="001C5B17" w:rsidP="001C5B17">
      <w:pPr>
        <w:pStyle w:val="ListParagraph"/>
        <w:tabs>
          <w:tab w:val="left" w:pos="900"/>
        </w:tabs>
        <w:autoSpaceDE w:val="0"/>
        <w:autoSpaceDN w:val="0"/>
        <w:adjustRightInd w:val="0"/>
        <w:spacing w:line="276" w:lineRule="auto"/>
        <w:ind w:left="1170"/>
        <w:jc w:val="both"/>
        <w:rPr>
          <w:lang w:val="en-GB" w:eastAsia="en-GB"/>
        </w:rPr>
      </w:pPr>
    </w:p>
    <w:p w14:paraId="319E3668" w14:textId="77777777" w:rsidR="001C5B17" w:rsidRPr="00EB77D6" w:rsidRDefault="001C5B17" w:rsidP="001C5B17">
      <w:pPr>
        <w:tabs>
          <w:tab w:val="left" w:pos="900"/>
        </w:tabs>
        <w:autoSpaceDE w:val="0"/>
        <w:autoSpaceDN w:val="0"/>
        <w:adjustRightInd w:val="0"/>
        <w:jc w:val="both"/>
        <w:rPr>
          <w:rFonts w:ascii="Times New Roman" w:hAnsi="Times New Roman"/>
          <w:i/>
          <w:sz w:val="24"/>
          <w:szCs w:val="24"/>
          <w:lang w:eastAsia="en-GB"/>
        </w:rPr>
      </w:pPr>
      <w:r w:rsidRPr="00EB77D6">
        <w:rPr>
          <w:rFonts w:ascii="Times New Roman" w:hAnsi="Times New Roman"/>
          <w:sz w:val="24"/>
          <w:szCs w:val="24"/>
          <w:lang w:val="mk-MK" w:eastAsia="en-GB"/>
        </w:rPr>
        <w:t>***</w:t>
      </w:r>
      <w:r w:rsidRPr="00EB77D6">
        <w:rPr>
          <w:rFonts w:ascii="Times New Roman" w:hAnsi="Times New Roman"/>
          <w:i/>
          <w:sz w:val="24"/>
          <w:szCs w:val="24"/>
          <w:lang w:val="mk-MK" w:eastAsia="en-GB"/>
        </w:rPr>
        <w:t xml:space="preserve">Работењето на Надзорниот одбор е подетално презентирано во Годишниот извештај за работењето на Надзорниот одбор во 2022 година, доставен до Собранието на акционери на СБ. </w:t>
      </w:r>
    </w:p>
    <w:p w14:paraId="1D9A133E" w14:textId="77777777" w:rsidR="001C5B17" w:rsidRPr="00EB77D6" w:rsidRDefault="001C5B17" w:rsidP="001C5B17">
      <w:pPr>
        <w:autoSpaceDE w:val="0"/>
        <w:autoSpaceDN w:val="0"/>
        <w:adjustRightInd w:val="0"/>
        <w:spacing w:before="240"/>
        <w:ind w:left="720"/>
        <w:jc w:val="both"/>
        <w:rPr>
          <w:rFonts w:ascii="Times New Roman" w:eastAsia="Times New Roman" w:hAnsi="Times New Roman"/>
          <w:b/>
          <w:bCs/>
          <w:color w:val="000000"/>
          <w:sz w:val="24"/>
          <w:szCs w:val="24"/>
          <w:lang w:val="mk-MK" w:eastAsia="en-GB"/>
        </w:rPr>
      </w:pPr>
      <w:r w:rsidRPr="00EB77D6">
        <w:rPr>
          <w:rFonts w:ascii="Times New Roman" w:eastAsia="Times New Roman" w:hAnsi="Times New Roman"/>
          <w:b/>
          <w:bCs/>
          <w:color w:val="000000"/>
          <w:sz w:val="24"/>
          <w:szCs w:val="24"/>
          <w:lang w:val="mk-MK" w:eastAsia="en-GB"/>
        </w:rPr>
        <w:t>1.2. Одбори на Надзорниот одбор на СБ во извештајната година</w:t>
      </w:r>
      <w:r w:rsidRPr="00EB77D6">
        <w:rPr>
          <w:rFonts w:ascii="Times New Roman" w:eastAsia="Times New Roman" w:hAnsi="Times New Roman"/>
          <w:b/>
          <w:bCs/>
          <w:color w:val="000000"/>
          <w:sz w:val="24"/>
          <w:szCs w:val="24"/>
          <w:lang w:eastAsia="en-GB"/>
        </w:rPr>
        <w:t xml:space="preserve"> </w:t>
      </w:r>
    </w:p>
    <w:p w14:paraId="3AE0F4BC" w14:textId="77777777" w:rsidR="001C5B17" w:rsidRPr="00EB77D6" w:rsidRDefault="001C5B17" w:rsidP="001C5B17">
      <w:pPr>
        <w:autoSpaceDE w:val="0"/>
        <w:autoSpaceDN w:val="0"/>
        <w:adjustRightInd w:val="0"/>
        <w:spacing w:before="240"/>
        <w:jc w:val="both"/>
        <w:rPr>
          <w:rFonts w:ascii="Times New Roman" w:eastAsia="Times New Roman" w:hAnsi="Times New Roman"/>
          <w:bCs/>
          <w:color w:val="000000"/>
          <w:sz w:val="24"/>
          <w:szCs w:val="24"/>
          <w:lang w:val="mk-MK" w:eastAsia="en-GB"/>
        </w:rPr>
      </w:pPr>
      <w:r w:rsidRPr="00EB77D6">
        <w:rPr>
          <w:rFonts w:ascii="Times New Roman" w:eastAsia="Times New Roman" w:hAnsi="Times New Roman"/>
          <w:b/>
          <w:bCs/>
          <w:color w:val="000000"/>
          <w:sz w:val="24"/>
          <w:szCs w:val="24"/>
          <w:lang w:eastAsia="en-GB"/>
        </w:rPr>
        <w:tab/>
      </w:r>
      <w:r w:rsidRPr="00EB77D6">
        <w:rPr>
          <w:rFonts w:ascii="Times New Roman" w:eastAsia="Times New Roman" w:hAnsi="Times New Roman"/>
          <w:bCs/>
          <w:color w:val="000000"/>
          <w:sz w:val="24"/>
          <w:szCs w:val="24"/>
          <w:lang w:val="mk-MK" w:eastAsia="en-GB"/>
        </w:rPr>
        <w:t>Надзорниот одбор има формирано одбори со цел да ја подобри ефикасноста на своето работење преку справување со сложени работи во помали групи и нивна подготовка за Надзорен одбор. Освен тоа, Надзорниот одбор има делегирано поединечни права за донесување одлуки на одборите до степен до кој е законски дозволено согласно соодветната законска регулатива и интерните одредби на Банката.</w:t>
      </w:r>
    </w:p>
    <w:p w14:paraId="6319A783" w14:textId="77777777" w:rsidR="001C5B17" w:rsidRPr="00EB77D6" w:rsidRDefault="001C5B17" w:rsidP="001C5B17">
      <w:pPr>
        <w:autoSpaceDE w:val="0"/>
        <w:autoSpaceDN w:val="0"/>
        <w:adjustRightInd w:val="0"/>
        <w:spacing w:before="240"/>
        <w:jc w:val="both"/>
        <w:rPr>
          <w:rFonts w:ascii="Times New Roman" w:eastAsia="Times New Roman" w:hAnsi="Times New Roman"/>
          <w:bCs/>
          <w:color w:val="000000"/>
          <w:sz w:val="24"/>
          <w:szCs w:val="24"/>
          <w:lang w:eastAsia="en-GB"/>
        </w:rPr>
      </w:pPr>
      <w:r w:rsidRPr="00EB77D6">
        <w:rPr>
          <w:rFonts w:ascii="Times New Roman" w:eastAsia="Times New Roman" w:hAnsi="Times New Roman"/>
          <w:bCs/>
          <w:color w:val="000000"/>
          <w:sz w:val="24"/>
          <w:szCs w:val="24"/>
          <w:lang w:val="mk-MK" w:eastAsia="en-GB"/>
        </w:rPr>
        <w:tab/>
        <w:t xml:space="preserve">Нема значајни промени во структурата на одборите на Надзорниот одбор, односно Надзорниот одбор на СБ имаше три одбори во извештајниот период: Одбор за ревизија, Одбор за управување со ризици и Одбор за наградување. </w:t>
      </w:r>
      <w:r w:rsidRPr="00EB77D6">
        <w:rPr>
          <w:rFonts w:ascii="Times New Roman" w:eastAsia="Times New Roman" w:hAnsi="Times New Roman"/>
          <w:bCs/>
          <w:color w:val="000000"/>
          <w:sz w:val="24"/>
          <w:szCs w:val="24"/>
          <w:lang w:eastAsia="en-GB"/>
        </w:rPr>
        <w:t xml:space="preserve"> </w:t>
      </w:r>
    </w:p>
    <w:p w14:paraId="6A3C36E9" w14:textId="77777777" w:rsidR="001C5B17" w:rsidRPr="00EB77D6" w:rsidRDefault="001C5B17" w:rsidP="001C5B17">
      <w:pPr>
        <w:pStyle w:val="ListParagraph"/>
        <w:numPr>
          <w:ilvl w:val="0"/>
          <w:numId w:val="18"/>
        </w:numPr>
        <w:autoSpaceDE w:val="0"/>
        <w:autoSpaceDN w:val="0"/>
        <w:adjustRightInd w:val="0"/>
        <w:spacing w:before="240" w:line="276" w:lineRule="auto"/>
        <w:ind w:left="1080"/>
        <w:jc w:val="both"/>
        <w:rPr>
          <w:b/>
          <w:bCs/>
          <w:color w:val="000000"/>
          <w:lang w:eastAsia="en-GB"/>
        </w:rPr>
      </w:pPr>
      <w:r w:rsidRPr="00EB77D6">
        <w:rPr>
          <w:b/>
          <w:bCs/>
          <w:color w:val="000000"/>
          <w:lang w:val="mk-MK" w:eastAsia="en-GB"/>
        </w:rPr>
        <w:t>ОДБОР ЗА РЕВИЗИЈА</w:t>
      </w:r>
    </w:p>
    <w:p w14:paraId="23137F2F" w14:textId="77777777" w:rsidR="001C5B17" w:rsidRPr="00EB77D6" w:rsidRDefault="001C5B17" w:rsidP="001C5B17">
      <w:pPr>
        <w:autoSpaceDE w:val="0"/>
        <w:autoSpaceDN w:val="0"/>
        <w:adjustRightInd w:val="0"/>
        <w:spacing w:after="0"/>
        <w:ind w:firstLine="403"/>
        <w:jc w:val="both"/>
        <w:rPr>
          <w:rFonts w:ascii="Times New Roman" w:eastAsia="Times New Roman" w:hAnsi="Times New Roman"/>
          <w:color w:val="000000"/>
          <w:sz w:val="24"/>
          <w:szCs w:val="24"/>
          <w:lang w:eastAsia="en-GB"/>
        </w:rPr>
      </w:pPr>
    </w:p>
    <w:p w14:paraId="3E02EF30" w14:textId="77777777" w:rsidR="001C5B17" w:rsidRPr="00EB77D6" w:rsidRDefault="001C5B17" w:rsidP="001C5B17">
      <w:pPr>
        <w:autoSpaceDE w:val="0"/>
        <w:autoSpaceDN w:val="0"/>
        <w:adjustRightInd w:val="0"/>
        <w:spacing w:after="0"/>
        <w:ind w:firstLine="720"/>
        <w:jc w:val="both"/>
        <w:rPr>
          <w:rFonts w:ascii="Times New Roman" w:eastAsia="Times New Roman" w:hAnsi="Times New Roman"/>
          <w:color w:val="000000"/>
          <w:sz w:val="24"/>
          <w:szCs w:val="24"/>
          <w:lang w:eastAsia="en-GB"/>
        </w:rPr>
      </w:pPr>
      <w:r w:rsidRPr="00EB77D6">
        <w:rPr>
          <w:rFonts w:ascii="Times New Roman" w:eastAsia="Times New Roman" w:hAnsi="Times New Roman"/>
          <w:color w:val="000000"/>
          <w:sz w:val="24"/>
          <w:szCs w:val="24"/>
          <w:lang w:val="mk-MK" w:eastAsia="en-GB"/>
        </w:rPr>
        <w:t xml:space="preserve">Одборот за ревизија на Стопанска банка АД - Скопје се состои од пет членови кои ги именува </w:t>
      </w:r>
      <w:r w:rsidRPr="00EB77D6">
        <w:rPr>
          <w:rFonts w:ascii="Times New Roman" w:eastAsia="Times New Roman" w:hAnsi="Times New Roman"/>
          <w:bCs/>
          <w:color w:val="000000"/>
          <w:sz w:val="24"/>
          <w:szCs w:val="24"/>
          <w:lang w:val="mk-MK" w:eastAsia="en-GB"/>
        </w:rPr>
        <w:t>Надзорниот одбор</w:t>
      </w:r>
      <w:r w:rsidRPr="00EB77D6">
        <w:rPr>
          <w:rFonts w:ascii="Times New Roman" w:eastAsia="Times New Roman" w:hAnsi="Times New Roman"/>
          <w:color w:val="000000"/>
          <w:sz w:val="24"/>
          <w:szCs w:val="24"/>
          <w:lang w:val="mk-MK" w:eastAsia="en-GB"/>
        </w:rPr>
        <w:t xml:space="preserve"> со мандат од две години. Повеќето од членовите (3) се </w:t>
      </w:r>
      <w:r w:rsidRPr="00EB77D6">
        <w:rPr>
          <w:rFonts w:ascii="Times New Roman" w:eastAsia="Times New Roman" w:hAnsi="Times New Roman"/>
          <w:color w:val="000000"/>
          <w:sz w:val="24"/>
          <w:szCs w:val="24"/>
          <w:lang w:val="mk-MK" w:eastAsia="en-GB"/>
        </w:rPr>
        <w:lastRenderedPageBreak/>
        <w:t>членови на Надзорниот одбор, а останатите два члена се независни од кои еден член е овластен ревизор. Членови на Одборот за ревизија во 2022 година беа:</w:t>
      </w:r>
    </w:p>
    <w:p w14:paraId="15DF05AF" w14:textId="77777777" w:rsidR="001C5B17" w:rsidRPr="00EB77D6" w:rsidRDefault="001C5B17" w:rsidP="001C5B17">
      <w:pPr>
        <w:numPr>
          <w:ilvl w:val="0"/>
          <w:numId w:val="1"/>
        </w:numPr>
        <w:autoSpaceDE w:val="0"/>
        <w:autoSpaceDN w:val="0"/>
        <w:adjustRightInd w:val="0"/>
        <w:spacing w:after="0"/>
        <w:ind w:left="792"/>
        <w:jc w:val="both"/>
        <w:rPr>
          <w:rFonts w:ascii="Times New Roman" w:eastAsia="Times New Roman" w:hAnsi="Times New Roman"/>
          <w:color w:val="000000"/>
          <w:sz w:val="24"/>
          <w:szCs w:val="24"/>
          <w:lang w:val="mk-MK" w:eastAsia="en-GB"/>
        </w:rPr>
      </w:pPr>
      <w:r w:rsidRPr="00EB77D6">
        <w:rPr>
          <w:rFonts w:ascii="Times New Roman" w:eastAsia="Times New Roman" w:hAnsi="Times New Roman"/>
          <w:color w:val="000000"/>
          <w:sz w:val="24"/>
          <w:szCs w:val="24"/>
          <w:lang w:val="mk-MK" w:eastAsia="en-GB"/>
        </w:rPr>
        <w:t>Антонио Велјанов, претседател на Одборот за ревизија (независен член и овластен ревизор);</w:t>
      </w:r>
      <w:r w:rsidRPr="00EB77D6">
        <w:rPr>
          <w:rStyle w:val="FootnoteReference"/>
          <w:rFonts w:ascii="Times New Roman" w:eastAsia="Times New Roman" w:hAnsi="Times New Roman"/>
          <w:color w:val="000000"/>
          <w:sz w:val="24"/>
          <w:szCs w:val="24"/>
          <w:lang w:val="mk-MK" w:eastAsia="en-GB"/>
        </w:rPr>
        <w:footnoteReference w:id="1"/>
      </w:r>
    </w:p>
    <w:p w14:paraId="27E9D042" w14:textId="77777777" w:rsidR="001C5B17" w:rsidRPr="00EB77D6" w:rsidRDefault="001C5B17" w:rsidP="001C5B17">
      <w:pPr>
        <w:numPr>
          <w:ilvl w:val="0"/>
          <w:numId w:val="1"/>
        </w:numPr>
        <w:autoSpaceDE w:val="0"/>
        <w:autoSpaceDN w:val="0"/>
        <w:adjustRightInd w:val="0"/>
        <w:spacing w:after="0"/>
        <w:ind w:left="792"/>
        <w:jc w:val="both"/>
        <w:rPr>
          <w:rFonts w:ascii="Times New Roman" w:eastAsia="Times New Roman" w:hAnsi="Times New Roman"/>
          <w:color w:val="000000"/>
          <w:sz w:val="24"/>
          <w:szCs w:val="24"/>
          <w:lang w:val="mk-MK" w:eastAsia="en-GB"/>
        </w:rPr>
      </w:pPr>
      <w:r w:rsidRPr="00EB77D6">
        <w:rPr>
          <w:rFonts w:ascii="Times New Roman" w:eastAsia="Times New Roman" w:hAnsi="Times New Roman"/>
          <w:color w:val="000000"/>
          <w:sz w:val="24"/>
          <w:szCs w:val="24"/>
          <w:lang w:val="mk-MK" w:eastAsia="en-GB"/>
        </w:rPr>
        <w:t>Анастасиос Лизос, член (претставник од Надзорниот одбор);</w:t>
      </w:r>
    </w:p>
    <w:p w14:paraId="4FE74AF8" w14:textId="77777777" w:rsidR="001C5B17" w:rsidRPr="00EB77D6" w:rsidRDefault="001C5B17" w:rsidP="001C5B17">
      <w:pPr>
        <w:numPr>
          <w:ilvl w:val="0"/>
          <w:numId w:val="1"/>
        </w:numPr>
        <w:autoSpaceDE w:val="0"/>
        <w:autoSpaceDN w:val="0"/>
        <w:adjustRightInd w:val="0"/>
        <w:spacing w:after="0"/>
        <w:ind w:left="792"/>
        <w:jc w:val="both"/>
        <w:rPr>
          <w:rFonts w:ascii="Times New Roman" w:eastAsia="Times New Roman" w:hAnsi="Times New Roman"/>
          <w:color w:val="000000"/>
          <w:sz w:val="24"/>
          <w:szCs w:val="24"/>
          <w:lang w:val="mk-MK" w:eastAsia="en-GB"/>
        </w:rPr>
      </w:pPr>
      <w:r w:rsidRPr="00EB77D6">
        <w:rPr>
          <w:rFonts w:ascii="Times New Roman" w:eastAsia="Times New Roman" w:hAnsi="Times New Roman"/>
          <w:color w:val="000000"/>
          <w:sz w:val="24"/>
          <w:szCs w:val="24"/>
          <w:lang w:val="mk-MK" w:eastAsia="en-GB"/>
        </w:rPr>
        <w:t>Димитра Гудуфа, член (претставник од Надзорниот одбор);</w:t>
      </w:r>
    </w:p>
    <w:p w14:paraId="7733E182" w14:textId="77777777" w:rsidR="001C5B17" w:rsidRPr="00EB77D6" w:rsidRDefault="001C5B17" w:rsidP="001C5B17">
      <w:pPr>
        <w:numPr>
          <w:ilvl w:val="0"/>
          <w:numId w:val="1"/>
        </w:numPr>
        <w:autoSpaceDE w:val="0"/>
        <w:autoSpaceDN w:val="0"/>
        <w:adjustRightInd w:val="0"/>
        <w:spacing w:after="0"/>
        <w:ind w:left="792"/>
        <w:jc w:val="both"/>
        <w:rPr>
          <w:rFonts w:ascii="Times New Roman" w:eastAsia="Times New Roman" w:hAnsi="Times New Roman"/>
          <w:color w:val="000000"/>
          <w:sz w:val="24"/>
          <w:szCs w:val="24"/>
          <w:lang w:val="mk-MK" w:eastAsia="en-GB"/>
        </w:rPr>
      </w:pPr>
      <w:r w:rsidRPr="00EB77D6">
        <w:rPr>
          <w:rFonts w:ascii="Times New Roman" w:eastAsia="Times New Roman" w:hAnsi="Times New Roman"/>
          <w:color w:val="000000"/>
          <w:sz w:val="24"/>
          <w:szCs w:val="24"/>
          <w:lang w:val="mk-MK" w:eastAsia="en-GB"/>
        </w:rPr>
        <w:t>Владимир Филиповски, член (претставник од Надзорниот одбор); и</w:t>
      </w:r>
    </w:p>
    <w:p w14:paraId="1C5F3B21" w14:textId="77777777" w:rsidR="001C5B17" w:rsidRPr="00EB77D6" w:rsidRDefault="001C5B17" w:rsidP="001C5B17">
      <w:pPr>
        <w:numPr>
          <w:ilvl w:val="0"/>
          <w:numId w:val="1"/>
        </w:numPr>
        <w:autoSpaceDE w:val="0"/>
        <w:autoSpaceDN w:val="0"/>
        <w:adjustRightInd w:val="0"/>
        <w:spacing w:after="0"/>
        <w:ind w:left="792"/>
        <w:jc w:val="both"/>
        <w:rPr>
          <w:rFonts w:ascii="Times New Roman" w:eastAsia="Times New Roman" w:hAnsi="Times New Roman"/>
          <w:color w:val="000000"/>
          <w:sz w:val="24"/>
          <w:szCs w:val="24"/>
          <w:lang w:val="mk-MK" w:eastAsia="en-GB"/>
        </w:rPr>
      </w:pPr>
      <w:r w:rsidRPr="00EB77D6">
        <w:rPr>
          <w:rFonts w:ascii="Times New Roman" w:eastAsia="Times New Roman" w:hAnsi="Times New Roman"/>
          <w:color w:val="000000"/>
          <w:sz w:val="24"/>
          <w:szCs w:val="24"/>
          <w:lang w:val="mk-MK" w:eastAsia="en-GB"/>
        </w:rPr>
        <w:t>Зорица Божиновска-Лазаревска, член (независен член).</w:t>
      </w:r>
    </w:p>
    <w:p w14:paraId="0C6C210E" w14:textId="77777777" w:rsidR="001C5B17" w:rsidRPr="00EB77D6" w:rsidRDefault="001C5B17" w:rsidP="001C5B17">
      <w:pPr>
        <w:pStyle w:val="ListParagraph"/>
        <w:autoSpaceDE w:val="0"/>
        <w:autoSpaceDN w:val="0"/>
        <w:adjustRightInd w:val="0"/>
        <w:spacing w:before="240"/>
        <w:ind w:left="0" w:firstLine="706"/>
        <w:jc w:val="both"/>
        <w:rPr>
          <w:color w:val="000000"/>
          <w:lang w:eastAsia="en-GB"/>
        </w:rPr>
      </w:pPr>
      <w:r w:rsidRPr="00EB77D6">
        <w:rPr>
          <w:color w:val="000000"/>
          <w:lang w:val="mk-MK" w:eastAsia="en-GB"/>
        </w:rPr>
        <w:t xml:space="preserve">Одговорностите на Одборот за ревизија се строго утврдени во Законот за банки, кои се пренесени во Статутот на СБ. Накратко, Одборот за ревизија е одговорен за разгледување на интегритетот на сметководственото и финансиското известување, разгледување и оценување на системите за внатрешна контрола и други слични активности кои обезбедуваат поддршка на Надзорниот одбор при неговата контролна функција. Подетално, </w:t>
      </w:r>
      <w:r w:rsidRPr="00EB77D6">
        <w:rPr>
          <w:i/>
          <w:color w:val="000000"/>
          <w:lang w:val="mk-MK" w:eastAsia="en-GB"/>
        </w:rPr>
        <w:t>меѓу другото</w:t>
      </w:r>
      <w:r w:rsidRPr="00EB77D6">
        <w:rPr>
          <w:color w:val="000000"/>
          <w:lang w:val="mk-MK" w:eastAsia="en-GB"/>
        </w:rPr>
        <w:t>, во текот на 2022 година Одборот за ревизија:</w:t>
      </w:r>
      <w:r w:rsidRPr="00EB77D6">
        <w:rPr>
          <w:color w:val="000000"/>
          <w:lang w:eastAsia="en-GB"/>
        </w:rPr>
        <w:t xml:space="preserve"> </w:t>
      </w:r>
    </w:p>
    <w:p w14:paraId="2B3CD52D" w14:textId="77777777" w:rsidR="001C5B17" w:rsidRPr="00EB77D6" w:rsidRDefault="001C5B17" w:rsidP="001C5B17">
      <w:pPr>
        <w:numPr>
          <w:ilvl w:val="0"/>
          <w:numId w:val="38"/>
        </w:numPr>
        <w:autoSpaceDE w:val="0"/>
        <w:autoSpaceDN w:val="0"/>
        <w:adjustRightInd w:val="0"/>
        <w:spacing w:before="240" w:after="0" w:line="240" w:lineRule="auto"/>
        <w:contextualSpacing/>
        <w:jc w:val="both"/>
        <w:rPr>
          <w:rFonts w:ascii="Times New Roman" w:eastAsia="Times New Roman" w:hAnsi="Times New Roman"/>
          <w:color w:val="000000"/>
          <w:sz w:val="24"/>
          <w:szCs w:val="24"/>
          <w:lang w:val="mk-MK" w:eastAsia="en-GB"/>
        </w:rPr>
      </w:pPr>
      <w:r w:rsidRPr="00EB77D6">
        <w:rPr>
          <w:rFonts w:ascii="Times New Roman" w:eastAsia="Times New Roman" w:hAnsi="Times New Roman"/>
          <w:color w:val="000000"/>
          <w:sz w:val="24"/>
          <w:szCs w:val="24"/>
          <w:lang w:val="mk-MK" w:eastAsia="en-GB"/>
        </w:rPr>
        <w:t>ги разгледа (кварталните) извештаи на Секторот за внатрешна ревизија и неговите останати документи за известување и планирање, вклучувајќи ja и Политиката на Секторот за внатрешна ревизија,</w:t>
      </w:r>
    </w:p>
    <w:p w14:paraId="57CAF6F0" w14:textId="77777777" w:rsidR="001C5B17" w:rsidRPr="00EB77D6" w:rsidRDefault="001C5B17" w:rsidP="001C5B17">
      <w:pPr>
        <w:numPr>
          <w:ilvl w:val="0"/>
          <w:numId w:val="38"/>
        </w:numPr>
        <w:autoSpaceDE w:val="0"/>
        <w:autoSpaceDN w:val="0"/>
        <w:adjustRightInd w:val="0"/>
        <w:spacing w:before="240" w:after="0" w:line="240" w:lineRule="auto"/>
        <w:contextualSpacing/>
        <w:jc w:val="both"/>
        <w:rPr>
          <w:rFonts w:ascii="Times New Roman" w:eastAsia="Times New Roman" w:hAnsi="Times New Roman"/>
          <w:color w:val="000000"/>
          <w:sz w:val="24"/>
          <w:szCs w:val="24"/>
          <w:lang w:val="mk-MK" w:eastAsia="en-GB"/>
        </w:rPr>
      </w:pPr>
      <w:r w:rsidRPr="00EB77D6">
        <w:rPr>
          <w:rFonts w:ascii="Times New Roman" w:eastAsia="Times New Roman" w:hAnsi="Times New Roman"/>
          <w:color w:val="000000"/>
          <w:sz w:val="24"/>
          <w:szCs w:val="24"/>
          <w:lang w:val="mk-MK" w:eastAsia="en-GB"/>
        </w:rPr>
        <w:t xml:space="preserve">ги разгледа (кварталните) извештаи на Одборот за управување со ризици, </w:t>
      </w:r>
    </w:p>
    <w:p w14:paraId="20703BFE" w14:textId="77777777" w:rsidR="001C5B17" w:rsidRPr="00EB77D6" w:rsidRDefault="001C5B17" w:rsidP="001C5B17">
      <w:pPr>
        <w:numPr>
          <w:ilvl w:val="0"/>
          <w:numId w:val="38"/>
        </w:numPr>
        <w:autoSpaceDE w:val="0"/>
        <w:autoSpaceDN w:val="0"/>
        <w:adjustRightInd w:val="0"/>
        <w:spacing w:before="240" w:after="0" w:line="240" w:lineRule="auto"/>
        <w:contextualSpacing/>
        <w:jc w:val="both"/>
        <w:rPr>
          <w:rFonts w:ascii="Times New Roman" w:eastAsia="Times New Roman" w:hAnsi="Times New Roman"/>
          <w:color w:val="000000"/>
          <w:sz w:val="24"/>
          <w:szCs w:val="24"/>
          <w:lang w:val="mk-MK" w:eastAsia="en-GB"/>
        </w:rPr>
      </w:pPr>
      <w:r w:rsidRPr="00EB77D6">
        <w:rPr>
          <w:rFonts w:ascii="Times New Roman" w:eastAsia="Times New Roman" w:hAnsi="Times New Roman"/>
          <w:color w:val="000000"/>
          <w:sz w:val="24"/>
          <w:szCs w:val="24"/>
          <w:lang w:val="mk-MK" w:eastAsia="en-GB"/>
        </w:rPr>
        <w:t>изврши (квартално) разгледување на финансиските извештаи за консолидациски цели,</w:t>
      </w:r>
    </w:p>
    <w:p w14:paraId="0CBA3AD8" w14:textId="77777777" w:rsidR="001C5B17" w:rsidRPr="00EB77D6" w:rsidRDefault="001C5B17" w:rsidP="001C5B17">
      <w:pPr>
        <w:numPr>
          <w:ilvl w:val="0"/>
          <w:numId w:val="38"/>
        </w:numPr>
        <w:autoSpaceDE w:val="0"/>
        <w:autoSpaceDN w:val="0"/>
        <w:adjustRightInd w:val="0"/>
        <w:spacing w:before="240" w:after="0" w:line="240" w:lineRule="auto"/>
        <w:contextualSpacing/>
        <w:jc w:val="both"/>
        <w:rPr>
          <w:rFonts w:ascii="Times New Roman" w:eastAsia="Times New Roman" w:hAnsi="Times New Roman"/>
          <w:color w:val="000000"/>
          <w:sz w:val="24"/>
          <w:szCs w:val="24"/>
          <w:lang w:val="mk-MK" w:eastAsia="en-GB"/>
        </w:rPr>
      </w:pPr>
      <w:r w:rsidRPr="00EB77D6">
        <w:rPr>
          <w:rFonts w:ascii="Times New Roman" w:eastAsia="Times New Roman" w:hAnsi="Times New Roman"/>
          <w:color w:val="000000"/>
          <w:sz w:val="24"/>
          <w:szCs w:val="24"/>
          <w:lang w:val="mk-MK" w:eastAsia="en-GB"/>
        </w:rPr>
        <w:t xml:space="preserve">ја одобри одлуката за утврдување на предлог за избор на надворешно ревизорско друштво, </w:t>
      </w:r>
    </w:p>
    <w:p w14:paraId="5F703374" w14:textId="77777777" w:rsidR="001C5B17" w:rsidRPr="00EB77D6" w:rsidRDefault="001C5B17" w:rsidP="001C5B17">
      <w:pPr>
        <w:numPr>
          <w:ilvl w:val="0"/>
          <w:numId w:val="38"/>
        </w:numPr>
        <w:autoSpaceDE w:val="0"/>
        <w:autoSpaceDN w:val="0"/>
        <w:adjustRightInd w:val="0"/>
        <w:spacing w:before="240" w:after="0" w:line="240" w:lineRule="auto"/>
        <w:contextualSpacing/>
        <w:jc w:val="both"/>
        <w:rPr>
          <w:rFonts w:ascii="Times New Roman" w:eastAsia="Times New Roman" w:hAnsi="Times New Roman"/>
          <w:color w:val="000000"/>
          <w:sz w:val="24"/>
          <w:szCs w:val="24"/>
          <w:lang w:val="mk-MK" w:eastAsia="en-GB"/>
        </w:rPr>
      </w:pPr>
      <w:r w:rsidRPr="00EB77D6">
        <w:rPr>
          <w:rFonts w:ascii="Times New Roman" w:eastAsia="Times New Roman" w:hAnsi="Times New Roman"/>
          <w:color w:val="000000"/>
          <w:sz w:val="24"/>
          <w:szCs w:val="24"/>
          <w:lang w:val="mk-MK" w:eastAsia="en-GB"/>
        </w:rPr>
        <w:t>ги разгледа извештаите и плановите за усогласеност на работењето на Банката со прописите пред нивно доставување до Надзорниот одбор.</w:t>
      </w:r>
    </w:p>
    <w:p w14:paraId="6E72D1D0" w14:textId="77777777" w:rsidR="001C5B17" w:rsidRPr="00EB77D6" w:rsidRDefault="001C5B17" w:rsidP="001C5B17">
      <w:pPr>
        <w:pStyle w:val="ListParagraph"/>
        <w:autoSpaceDE w:val="0"/>
        <w:autoSpaceDN w:val="0"/>
        <w:adjustRightInd w:val="0"/>
        <w:spacing w:before="240" w:line="276" w:lineRule="auto"/>
        <w:ind w:left="0" w:firstLine="706"/>
        <w:jc w:val="both"/>
        <w:rPr>
          <w:color w:val="000000"/>
          <w:lang w:eastAsia="en-GB"/>
        </w:rPr>
      </w:pPr>
      <w:r w:rsidRPr="00EB77D6">
        <w:rPr>
          <w:color w:val="000000"/>
          <w:lang w:val="mk-MK" w:eastAsia="en-GB"/>
        </w:rPr>
        <w:t>Како заклучок, Одборот за ревизија го следеше Годишниот план за работа и ги изврши своите должности во целосна усогласеност со соодветните законски прописи односно легислатива и стандардите на корпоративно управување.</w:t>
      </w:r>
      <w:r w:rsidRPr="00EB77D6">
        <w:rPr>
          <w:color w:val="000000"/>
          <w:lang w:eastAsia="en-GB"/>
        </w:rPr>
        <w:t xml:space="preserve">  </w:t>
      </w:r>
    </w:p>
    <w:p w14:paraId="45E80F40" w14:textId="77777777" w:rsidR="001C5B17" w:rsidRPr="00EB77D6" w:rsidRDefault="001C5B17" w:rsidP="001C5B17">
      <w:pPr>
        <w:pStyle w:val="ListParagraph"/>
        <w:autoSpaceDE w:val="0"/>
        <w:autoSpaceDN w:val="0"/>
        <w:adjustRightInd w:val="0"/>
        <w:spacing w:before="240" w:line="276" w:lineRule="auto"/>
        <w:ind w:left="0" w:firstLine="706"/>
        <w:jc w:val="both"/>
        <w:rPr>
          <w:i/>
          <w:color w:val="000000"/>
          <w:lang w:val="mk-MK" w:eastAsia="en-GB"/>
        </w:rPr>
      </w:pPr>
    </w:p>
    <w:p w14:paraId="729DD94C" w14:textId="77777777" w:rsidR="001C5B17" w:rsidRPr="00EB77D6" w:rsidRDefault="001C5B17" w:rsidP="001C5B17">
      <w:pPr>
        <w:pStyle w:val="ListParagraph"/>
        <w:autoSpaceDE w:val="0"/>
        <w:autoSpaceDN w:val="0"/>
        <w:adjustRightInd w:val="0"/>
        <w:spacing w:before="240" w:line="276" w:lineRule="auto"/>
        <w:ind w:left="810"/>
        <w:jc w:val="both"/>
        <w:rPr>
          <w:b/>
          <w:color w:val="000000"/>
          <w:lang w:eastAsia="en-GB"/>
        </w:rPr>
      </w:pPr>
      <w:r w:rsidRPr="00EB77D6">
        <w:rPr>
          <w:b/>
          <w:bCs/>
          <w:color w:val="000000"/>
          <w:lang w:val="mk-MK" w:eastAsia="en-GB"/>
        </w:rPr>
        <w:t>Б) ОДБОР ЗА УПРАВУВАЊЕ СО РИЗИЦИ</w:t>
      </w:r>
    </w:p>
    <w:p w14:paraId="2CA62AA7" w14:textId="77777777" w:rsidR="001C5B17" w:rsidRPr="00EB77D6" w:rsidRDefault="001C5B17" w:rsidP="001C5B17">
      <w:pPr>
        <w:autoSpaceDE w:val="0"/>
        <w:autoSpaceDN w:val="0"/>
        <w:adjustRightInd w:val="0"/>
        <w:spacing w:after="0"/>
        <w:jc w:val="both"/>
        <w:rPr>
          <w:rFonts w:ascii="Times New Roman" w:eastAsia="Times New Roman" w:hAnsi="Times New Roman"/>
          <w:color w:val="000000"/>
          <w:sz w:val="24"/>
          <w:szCs w:val="24"/>
          <w:lang w:eastAsia="en-GB"/>
        </w:rPr>
      </w:pPr>
    </w:p>
    <w:p w14:paraId="7DBF0DD3" w14:textId="77777777" w:rsidR="001C5B17" w:rsidRPr="00EB77D6" w:rsidRDefault="001C5B17" w:rsidP="001C5B17">
      <w:pPr>
        <w:autoSpaceDE w:val="0"/>
        <w:autoSpaceDN w:val="0"/>
        <w:adjustRightInd w:val="0"/>
        <w:spacing w:after="0"/>
        <w:ind w:firstLine="446"/>
        <w:jc w:val="both"/>
        <w:rPr>
          <w:rFonts w:ascii="Times New Roman" w:eastAsia="Times New Roman" w:hAnsi="Times New Roman"/>
          <w:color w:val="000000"/>
          <w:sz w:val="24"/>
          <w:szCs w:val="24"/>
          <w:lang w:eastAsia="en-GB"/>
        </w:rPr>
      </w:pPr>
      <w:r w:rsidRPr="00EB77D6">
        <w:rPr>
          <w:rFonts w:ascii="Times New Roman" w:hAnsi="Times New Roman"/>
          <w:noProof/>
          <w:sz w:val="24"/>
          <w:szCs w:val="24"/>
          <w:lang w:val="en-GB" w:eastAsia="en-GB"/>
        </w:rPr>
        <w:t xml:space="preserve">Одборот за управување со ризици на Стопанска банка АД - Скопје се состои од </w:t>
      </w:r>
      <w:r w:rsidRPr="00EB77D6">
        <w:rPr>
          <w:rFonts w:ascii="Times New Roman" w:hAnsi="Times New Roman"/>
          <w:noProof/>
          <w:sz w:val="24"/>
          <w:szCs w:val="24"/>
          <w:lang w:val="mk-MK" w:eastAsia="en-GB"/>
        </w:rPr>
        <w:t>9</w:t>
      </w:r>
      <w:r w:rsidRPr="00EB77D6">
        <w:rPr>
          <w:rFonts w:ascii="Times New Roman" w:hAnsi="Times New Roman"/>
          <w:noProof/>
          <w:sz w:val="24"/>
          <w:szCs w:val="24"/>
          <w:lang w:val="en-GB" w:eastAsia="en-GB"/>
        </w:rPr>
        <w:t xml:space="preserve"> членови кои ги именува и/или разрешува Надзорниот одбор (</w:t>
      </w:r>
      <w:r w:rsidRPr="00EB77D6">
        <w:rPr>
          <w:rFonts w:ascii="Times New Roman" w:hAnsi="Times New Roman"/>
          <w:noProof/>
          <w:sz w:val="24"/>
          <w:szCs w:val="24"/>
          <w:lang w:val="mk-MK" w:eastAsia="en-GB"/>
        </w:rPr>
        <w:t>позициите на членовите во Одборот за управување со ризици се утврдени во Статутот на СБ)</w:t>
      </w:r>
      <w:r w:rsidRPr="00EB77D6">
        <w:rPr>
          <w:rFonts w:ascii="Times New Roman" w:hAnsi="Times New Roman"/>
          <w:noProof/>
          <w:sz w:val="24"/>
          <w:szCs w:val="24"/>
          <w:lang w:val="en-GB" w:eastAsia="en-GB"/>
        </w:rPr>
        <w:t>. Со состојба на 31 декември 2022 година, членови на Одборот за управување со ризици на СБ се следните:</w:t>
      </w:r>
    </w:p>
    <w:p w14:paraId="25824A98" w14:textId="77777777" w:rsidR="001C5B17" w:rsidRPr="00EB77D6" w:rsidRDefault="001C5B17" w:rsidP="001C5B17">
      <w:pPr>
        <w:pStyle w:val="ListParagraph"/>
        <w:numPr>
          <w:ilvl w:val="0"/>
          <w:numId w:val="15"/>
        </w:numPr>
        <w:autoSpaceDE w:val="0"/>
        <w:autoSpaceDN w:val="0"/>
        <w:adjustRightInd w:val="0"/>
        <w:spacing w:before="240" w:line="276" w:lineRule="auto"/>
        <w:jc w:val="both"/>
        <w:rPr>
          <w:color w:val="000000"/>
          <w:lang w:eastAsia="en-GB"/>
        </w:rPr>
      </w:pPr>
      <w:r w:rsidRPr="00EB77D6">
        <w:rPr>
          <w:lang w:val="mk-MK"/>
        </w:rPr>
        <w:t>Диомидис Николетопулос - Генерален извршен директор и претседател на Управниот одбор, претседател</w:t>
      </w:r>
      <w:r w:rsidRPr="00EB77D6">
        <w:rPr>
          <w:color w:val="000000"/>
          <w:lang w:val="mk-MK" w:eastAsia="en-GB"/>
        </w:rPr>
        <w:t>;</w:t>
      </w:r>
    </w:p>
    <w:p w14:paraId="12747546" w14:textId="77777777" w:rsidR="001C5B17" w:rsidRPr="00EB77D6" w:rsidRDefault="001C5B17" w:rsidP="001C5B17">
      <w:pPr>
        <w:pStyle w:val="ListParagraph"/>
        <w:numPr>
          <w:ilvl w:val="0"/>
          <w:numId w:val="15"/>
        </w:numPr>
        <w:autoSpaceDE w:val="0"/>
        <w:autoSpaceDN w:val="0"/>
        <w:adjustRightInd w:val="0"/>
        <w:spacing w:before="240" w:line="276" w:lineRule="auto"/>
        <w:jc w:val="both"/>
        <w:rPr>
          <w:color w:val="000000"/>
          <w:lang w:eastAsia="en-GB"/>
        </w:rPr>
      </w:pPr>
      <w:r w:rsidRPr="00EB77D6">
        <w:rPr>
          <w:lang w:val="mk-MK"/>
        </w:rPr>
        <w:t>Тони Стојановски - Генерален директор за корпоративно банкарство и член на Управниот одбор, член</w:t>
      </w:r>
      <w:r w:rsidRPr="00EB77D6">
        <w:rPr>
          <w:color w:val="000000"/>
          <w:lang w:val="mk-MK" w:eastAsia="en-GB"/>
        </w:rPr>
        <w:t>;</w:t>
      </w:r>
    </w:p>
    <w:p w14:paraId="18C3BFEB" w14:textId="77777777" w:rsidR="001C5B17" w:rsidRPr="00EB77D6" w:rsidRDefault="001C5B17" w:rsidP="001C5B17">
      <w:pPr>
        <w:pStyle w:val="ListParagraph"/>
        <w:numPr>
          <w:ilvl w:val="0"/>
          <w:numId w:val="15"/>
        </w:numPr>
        <w:autoSpaceDE w:val="0"/>
        <w:autoSpaceDN w:val="0"/>
        <w:adjustRightInd w:val="0"/>
        <w:spacing w:before="240" w:line="276" w:lineRule="auto"/>
        <w:jc w:val="both"/>
        <w:rPr>
          <w:color w:val="000000"/>
          <w:lang w:eastAsia="en-GB"/>
        </w:rPr>
      </w:pPr>
      <w:r w:rsidRPr="00EB77D6">
        <w:rPr>
          <w:lang w:val="mk-MK"/>
        </w:rPr>
        <w:lastRenderedPageBreak/>
        <w:t>Бојан Стојаноски - Генерален директор за управување со ризици и член на Управниот одбор, член</w:t>
      </w:r>
      <w:r w:rsidRPr="00EB77D6">
        <w:rPr>
          <w:color w:val="000000"/>
          <w:lang w:val="mk-MK" w:eastAsia="en-GB"/>
        </w:rPr>
        <w:t>;</w:t>
      </w:r>
    </w:p>
    <w:p w14:paraId="28A66AC5" w14:textId="77777777" w:rsidR="001C5B17" w:rsidRPr="00EB77D6" w:rsidRDefault="001C5B17" w:rsidP="001C5B17">
      <w:pPr>
        <w:pStyle w:val="ListParagraph"/>
        <w:numPr>
          <w:ilvl w:val="0"/>
          <w:numId w:val="15"/>
        </w:numPr>
        <w:autoSpaceDE w:val="0"/>
        <w:autoSpaceDN w:val="0"/>
        <w:adjustRightInd w:val="0"/>
        <w:spacing w:before="240" w:line="276" w:lineRule="auto"/>
        <w:jc w:val="both"/>
        <w:rPr>
          <w:color w:val="000000"/>
          <w:lang w:eastAsia="en-GB"/>
        </w:rPr>
      </w:pPr>
      <w:r w:rsidRPr="00EB77D6">
        <w:rPr>
          <w:lang w:val="mk-MK"/>
        </w:rPr>
        <w:t>Милица Чапаровска-Јовановска - Генерален директор за банкарство на мало и член на Управниот одбор, член</w:t>
      </w:r>
      <w:r w:rsidRPr="00EB77D6">
        <w:rPr>
          <w:color w:val="000000"/>
          <w:lang w:val="mk-MK" w:eastAsia="en-GB"/>
        </w:rPr>
        <w:t>;</w:t>
      </w:r>
    </w:p>
    <w:p w14:paraId="135ADD96" w14:textId="77777777" w:rsidR="001C5B17" w:rsidRPr="00EB77D6" w:rsidRDefault="001C5B17" w:rsidP="001C5B17">
      <w:pPr>
        <w:pStyle w:val="ListParagraph"/>
        <w:numPr>
          <w:ilvl w:val="0"/>
          <w:numId w:val="15"/>
        </w:numPr>
        <w:autoSpaceDE w:val="0"/>
        <w:autoSpaceDN w:val="0"/>
        <w:adjustRightInd w:val="0"/>
        <w:spacing w:before="240" w:line="276" w:lineRule="auto"/>
        <w:jc w:val="both"/>
        <w:rPr>
          <w:color w:val="000000"/>
          <w:lang w:eastAsia="en-GB"/>
        </w:rPr>
      </w:pPr>
      <w:r w:rsidRPr="00EB77D6">
        <w:rPr>
          <w:lang w:val="mk-MK"/>
        </w:rPr>
        <w:t xml:space="preserve">Илиас Пападопулос </w:t>
      </w:r>
      <w:r w:rsidRPr="00EB77D6">
        <w:rPr>
          <w:color w:val="000000"/>
          <w:lang w:eastAsia="en-GB"/>
        </w:rPr>
        <w:t>–</w:t>
      </w:r>
      <w:r w:rsidRPr="00EB77D6">
        <w:rPr>
          <w:color w:val="000000"/>
          <w:lang w:val="mk-MK" w:eastAsia="en-GB"/>
        </w:rPr>
        <w:t xml:space="preserve"> Сениор директор за кредитен ризик, член</w:t>
      </w:r>
      <w:r w:rsidRPr="00EB77D6">
        <w:rPr>
          <w:color w:val="000000"/>
          <w:lang w:eastAsia="en-GB"/>
        </w:rPr>
        <w:t xml:space="preserve">; </w:t>
      </w:r>
    </w:p>
    <w:p w14:paraId="1FF38B0D" w14:textId="77777777" w:rsidR="001C5B17" w:rsidRPr="00EB77D6" w:rsidRDefault="001C5B17" w:rsidP="001C5B17">
      <w:pPr>
        <w:pStyle w:val="ListParagraph"/>
        <w:numPr>
          <w:ilvl w:val="0"/>
          <w:numId w:val="15"/>
        </w:numPr>
        <w:autoSpaceDE w:val="0"/>
        <w:autoSpaceDN w:val="0"/>
        <w:adjustRightInd w:val="0"/>
        <w:spacing w:before="240" w:line="276" w:lineRule="auto"/>
        <w:jc w:val="both"/>
        <w:rPr>
          <w:color w:val="000000"/>
          <w:lang w:eastAsia="en-GB"/>
        </w:rPr>
      </w:pPr>
      <w:r w:rsidRPr="00EB77D6">
        <w:rPr>
          <w:color w:val="000000"/>
          <w:lang w:val="mk-MK" w:eastAsia="en-GB"/>
        </w:rPr>
        <w:t>Мирјана Трајановска – Сениор директор за ликвидност и финансии, член</w:t>
      </w:r>
      <w:r w:rsidRPr="00EB77D6">
        <w:rPr>
          <w:rStyle w:val="FootnoteReference"/>
          <w:color w:val="000000"/>
          <w:lang w:eastAsia="en-GB"/>
        </w:rPr>
        <w:footnoteReference w:id="2"/>
      </w:r>
      <w:r w:rsidRPr="00EB77D6">
        <w:rPr>
          <w:color w:val="000000"/>
          <w:lang w:val="mk-MK" w:eastAsia="en-GB"/>
        </w:rPr>
        <w:t>;</w:t>
      </w:r>
    </w:p>
    <w:p w14:paraId="5D2A371B" w14:textId="77777777" w:rsidR="001C5B17" w:rsidRPr="00EB77D6" w:rsidRDefault="001C5B17" w:rsidP="001C5B17">
      <w:pPr>
        <w:pStyle w:val="ListParagraph"/>
        <w:numPr>
          <w:ilvl w:val="0"/>
          <w:numId w:val="15"/>
        </w:numPr>
        <w:autoSpaceDE w:val="0"/>
        <w:autoSpaceDN w:val="0"/>
        <w:adjustRightInd w:val="0"/>
        <w:spacing w:before="240" w:line="276" w:lineRule="auto"/>
        <w:jc w:val="both"/>
        <w:rPr>
          <w:color w:val="000000"/>
          <w:lang w:eastAsia="en-GB"/>
        </w:rPr>
      </w:pPr>
      <w:r w:rsidRPr="00EB77D6">
        <w:rPr>
          <w:color w:val="000000"/>
          <w:lang w:val="mk-MK" w:eastAsia="en-GB"/>
        </w:rPr>
        <w:t>Владимир Тренески – Сениор директор за корпоративно банкарство, член;</w:t>
      </w:r>
    </w:p>
    <w:p w14:paraId="3790E84B" w14:textId="77777777" w:rsidR="001C5B17" w:rsidRPr="00EB77D6" w:rsidRDefault="001C5B17" w:rsidP="001C5B17">
      <w:pPr>
        <w:pStyle w:val="ListParagraph"/>
        <w:numPr>
          <w:ilvl w:val="0"/>
          <w:numId w:val="15"/>
        </w:numPr>
        <w:autoSpaceDE w:val="0"/>
        <w:autoSpaceDN w:val="0"/>
        <w:adjustRightInd w:val="0"/>
        <w:spacing w:before="240" w:line="276" w:lineRule="auto"/>
        <w:jc w:val="both"/>
        <w:rPr>
          <w:color w:val="000000"/>
          <w:lang w:eastAsia="en-GB"/>
        </w:rPr>
      </w:pPr>
      <w:r w:rsidRPr="00EB77D6">
        <w:rPr>
          <w:color w:val="000000"/>
          <w:lang w:val="mk-MK" w:eastAsia="en-GB"/>
        </w:rPr>
        <w:t>Мирко Аврамоски - Директор на Секторот за наплата, член</w:t>
      </w:r>
      <w:r w:rsidRPr="00EB77D6">
        <w:rPr>
          <w:color w:val="000000"/>
          <w:lang w:eastAsia="en-GB"/>
        </w:rPr>
        <w:t>;</w:t>
      </w:r>
      <w:r w:rsidRPr="00EB77D6">
        <w:rPr>
          <w:color w:val="000000"/>
          <w:lang w:val="mk-MK" w:eastAsia="en-GB"/>
        </w:rPr>
        <w:t xml:space="preserve"> и</w:t>
      </w:r>
    </w:p>
    <w:p w14:paraId="4D2C44C9" w14:textId="77777777" w:rsidR="001C5B17" w:rsidRPr="00EB77D6" w:rsidRDefault="001C5B17" w:rsidP="001C5B17">
      <w:pPr>
        <w:pStyle w:val="ListParagraph"/>
        <w:numPr>
          <w:ilvl w:val="0"/>
          <w:numId w:val="15"/>
        </w:numPr>
        <w:autoSpaceDE w:val="0"/>
        <w:autoSpaceDN w:val="0"/>
        <w:adjustRightInd w:val="0"/>
        <w:spacing w:before="240" w:line="276" w:lineRule="auto"/>
        <w:jc w:val="both"/>
        <w:rPr>
          <w:color w:val="000000"/>
          <w:lang w:eastAsia="en-GB"/>
        </w:rPr>
      </w:pPr>
      <w:r w:rsidRPr="00EB77D6">
        <w:rPr>
          <w:color w:val="000000"/>
          <w:lang w:val="mk-MK" w:eastAsia="en-GB"/>
        </w:rPr>
        <w:t>Емилија Стојанова - Директор на Секторот за управување со ризици, член</w:t>
      </w:r>
      <w:r w:rsidRPr="00EB77D6">
        <w:rPr>
          <w:color w:val="000000"/>
          <w:lang w:eastAsia="en-GB"/>
        </w:rPr>
        <w:t>.</w:t>
      </w:r>
    </w:p>
    <w:p w14:paraId="3657AE0F" w14:textId="77777777" w:rsidR="001C5B17" w:rsidRPr="00EB77D6" w:rsidRDefault="001C5B17" w:rsidP="001C5B17">
      <w:pPr>
        <w:autoSpaceDE w:val="0"/>
        <w:autoSpaceDN w:val="0"/>
        <w:adjustRightInd w:val="0"/>
        <w:spacing w:before="240"/>
        <w:ind w:firstLine="720"/>
        <w:jc w:val="both"/>
        <w:rPr>
          <w:rFonts w:ascii="Times New Roman" w:eastAsia="Times New Roman" w:hAnsi="Times New Roman"/>
          <w:color w:val="000000"/>
          <w:sz w:val="24"/>
          <w:szCs w:val="24"/>
          <w:lang w:eastAsia="en-GB"/>
        </w:rPr>
      </w:pPr>
      <w:r w:rsidRPr="00EB77D6">
        <w:rPr>
          <w:rFonts w:ascii="Times New Roman" w:eastAsia="Times New Roman" w:hAnsi="Times New Roman"/>
          <w:sz w:val="24"/>
          <w:szCs w:val="24"/>
          <w:lang w:val="mk-MK" w:eastAsia="en-GB"/>
        </w:rPr>
        <w:t xml:space="preserve">Членовите на </w:t>
      </w:r>
      <w:r w:rsidRPr="00EB77D6">
        <w:rPr>
          <w:rFonts w:ascii="Times New Roman" w:eastAsia="Times New Roman" w:hAnsi="Times New Roman"/>
          <w:color w:val="000000"/>
          <w:sz w:val="24"/>
          <w:szCs w:val="24"/>
          <w:lang w:val="mk-MK" w:eastAsia="en-GB"/>
        </w:rPr>
        <w:t>Одборот за управување со ризици</w:t>
      </w:r>
      <w:r w:rsidRPr="00EB77D6">
        <w:rPr>
          <w:rFonts w:ascii="Times New Roman" w:eastAsia="Times New Roman" w:hAnsi="Times New Roman"/>
          <w:sz w:val="24"/>
          <w:szCs w:val="24"/>
          <w:lang w:val="mk-MK" w:eastAsia="en-GB"/>
        </w:rPr>
        <w:t xml:space="preserve">, освен условите утврдени со Законот за банки, треба да имаат најмалку три години искуство во областа на финансиите или банкарството. </w:t>
      </w:r>
      <w:r w:rsidRPr="00EB77D6">
        <w:rPr>
          <w:rFonts w:ascii="Times New Roman" w:eastAsia="Times New Roman" w:hAnsi="Times New Roman"/>
          <w:color w:val="000000"/>
          <w:sz w:val="24"/>
          <w:szCs w:val="24"/>
          <w:lang w:val="mk-MK" w:eastAsia="en-GB"/>
        </w:rPr>
        <w:t>Одговорностите на ОУР се следните:</w:t>
      </w:r>
      <w:r w:rsidRPr="00EB77D6">
        <w:rPr>
          <w:rFonts w:ascii="Times New Roman" w:eastAsia="Times New Roman" w:hAnsi="Times New Roman"/>
          <w:color w:val="000000"/>
          <w:sz w:val="24"/>
          <w:szCs w:val="24"/>
          <w:lang w:eastAsia="en-GB"/>
        </w:rPr>
        <w:t xml:space="preserve"> </w:t>
      </w:r>
    </w:p>
    <w:p w14:paraId="5CBD4386" w14:textId="77777777" w:rsidR="001C5B17" w:rsidRPr="00EB77D6" w:rsidRDefault="001C5B17" w:rsidP="001C5B17">
      <w:pPr>
        <w:pStyle w:val="ListParagraph"/>
        <w:numPr>
          <w:ilvl w:val="0"/>
          <w:numId w:val="20"/>
        </w:numPr>
        <w:autoSpaceDE w:val="0"/>
        <w:autoSpaceDN w:val="0"/>
        <w:adjustRightInd w:val="0"/>
        <w:spacing w:line="276" w:lineRule="auto"/>
        <w:ind w:left="1170"/>
        <w:jc w:val="both"/>
        <w:rPr>
          <w:lang w:val="en-GB" w:eastAsia="en-GB"/>
        </w:rPr>
      </w:pPr>
      <w:r w:rsidRPr="00EB77D6">
        <w:rPr>
          <w:color w:val="000000"/>
          <w:lang w:val="mk-MK" w:eastAsia="en-GB"/>
        </w:rPr>
        <w:t>Перманентно следење и оценување на степенот на ризичност на СБ и идентификување на прифатливото ниво на изложеност на ризици со цел минимизирање на загубите како резултат на изложеноста на СБ на ризик</w:t>
      </w:r>
      <w:r w:rsidRPr="00EB77D6">
        <w:rPr>
          <w:lang w:val="en-GB" w:eastAsia="en-GB"/>
        </w:rPr>
        <w:t>;</w:t>
      </w:r>
    </w:p>
    <w:p w14:paraId="63D44FDB" w14:textId="77777777" w:rsidR="001C5B17" w:rsidRPr="00EB77D6" w:rsidRDefault="001C5B17" w:rsidP="001C5B17">
      <w:pPr>
        <w:pStyle w:val="ListParagraph"/>
        <w:numPr>
          <w:ilvl w:val="0"/>
          <w:numId w:val="20"/>
        </w:numPr>
        <w:autoSpaceDE w:val="0"/>
        <w:autoSpaceDN w:val="0"/>
        <w:adjustRightInd w:val="0"/>
        <w:spacing w:line="276" w:lineRule="auto"/>
        <w:ind w:left="1170"/>
        <w:jc w:val="both"/>
        <w:rPr>
          <w:lang w:val="en-GB" w:eastAsia="en-GB"/>
        </w:rPr>
      </w:pPr>
      <w:r w:rsidRPr="00EB77D6">
        <w:rPr>
          <w:color w:val="000000"/>
          <w:lang w:val="mk-MK" w:eastAsia="en-GB"/>
        </w:rPr>
        <w:t>Воспоставување политики за управување со ризици и следење на нивната имплементација</w:t>
      </w:r>
      <w:r w:rsidRPr="00EB77D6">
        <w:rPr>
          <w:lang w:val="en-GB" w:eastAsia="en-GB"/>
        </w:rPr>
        <w:t>;</w:t>
      </w:r>
    </w:p>
    <w:p w14:paraId="63087F24" w14:textId="77777777" w:rsidR="001C5B17" w:rsidRPr="00EB77D6" w:rsidRDefault="001C5B17" w:rsidP="001C5B17">
      <w:pPr>
        <w:pStyle w:val="ListParagraph"/>
        <w:numPr>
          <w:ilvl w:val="0"/>
          <w:numId w:val="20"/>
        </w:numPr>
        <w:autoSpaceDE w:val="0"/>
        <w:autoSpaceDN w:val="0"/>
        <w:adjustRightInd w:val="0"/>
        <w:spacing w:line="276" w:lineRule="auto"/>
        <w:ind w:left="1170"/>
        <w:jc w:val="both"/>
        <w:rPr>
          <w:lang w:val="en-GB" w:eastAsia="en-GB"/>
        </w:rPr>
      </w:pPr>
      <w:r w:rsidRPr="00EB77D6">
        <w:rPr>
          <w:color w:val="000000"/>
          <w:lang w:val="mk-MK" w:eastAsia="en-GB"/>
        </w:rPr>
        <w:t>Следење на прописите на Народна банка кои се однесуваат на управувањето со ризици и усогласеноста на работењето на СБ со тие прописи</w:t>
      </w:r>
      <w:r w:rsidRPr="00EB77D6">
        <w:rPr>
          <w:lang w:val="en-GB" w:eastAsia="en-GB"/>
        </w:rPr>
        <w:t>;</w:t>
      </w:r>
    </w:p>
    <w:p w14:paraId="58026836" w14:textId="77777777" w:rsidR="001C5B17" w:rsidRPr="00EB77D6" w:rsidRDefault="001C5B17" w:rsidP="001C5B17">
      <w:pPr>
        <w:pStyle w:val="ListParagraph"/>
        <w:numPr>
          <w:ilvl w:val="0"/>
          <w:numId w:val="20"/>
        </w:numPr>
        <w:autoSpaceDE w:val="0"/>
        <w:autoSpaceDN w:val="0"/>
        <w:adjustRightInd w:val="0"/>
        <w:spacing w:line="276" w:lineRule="auto"/>
        <w:ind w:left="1170"/>
        <w:jc w:val="both"/>
        <w:rPr>
          <w:lang w:val="en-GB" w:eastAsia="en-GB"/>
        </w:rPr>
      </w:pPr>
      <w:r w:rsidRPr="00EB77D6">
        <w:rPr>
          <w:color w:val="000000"/>
          <w:lang w:val="mk-MK" w:eastAsia="en-GB"/>
        </w:rPr>
        <w:t>Оценување на системите  на СБ за управување со ризици</w:t>
      </w:r>
      <w:r w:rsidRPr="00EB77D6">
        <w:rPr>
          <w:lang w:val="en-GB" w:eastAsia="en-GB"/>
        </w:rPr>
        <w:t>;</w:t>
      </w:r>
    </w:p>
    <w:p w14:paraId="6F64BB2D" w14:textId="77777777" w:rsidR="001C5B17" w:rsidRPr="00EB77D6" w:rsidRDefault="001C5B17" w:rsidP="001C5B17">
      <w:pPr>
        <w:pStyle w:val="ListParagraph"/>
        <w:numPr>
          <w:ilvl w:val="0"/>
          <w:numId w:val="20"/>
        </w:numPr>
        <w:autoSpaceDE w:val="0"/>
        <w:autoSpaceDN w:val="0"/>
        <w:adjustRightInd w:val="0"/>
        <w:spacing w:line="276" w:lineRule="auto"/>
        <w:ind w:left="1170"/>
        <w:jc w:val="both"/>
        <w:rPr>
          <w:lang w:val="en-GB" w:eastAsia="en-GB"/>
        </w:rPr>
      </w:pPr>
      <w:r w:rsidRPr="00EB77D6">
        <w:rPr>
          <w:color w:val="000000"/>
          <w:lang w:val="mk-MK" w:eastAsia="en-GB"/>
        </w:rPr>
        <w:t>Утврдување на краткорочни и долгорочни стратегии за управување со одделните видови ризици на кои е изложена СБ</w:t>
      </w:r>
      <w:r w:rsidRPr="00EB77D6">
        <w:rPr>
          <w:lang w:val="en-GB" w:eastAsia="en-GB"/>
        </w:rPr>
        <w:t>;</w:t>
      </w:r>
    </w:p>
    <w:p w14:paraId="066DAC35" w14:textId="77777777" w:rsidR="001C5B17" w:rsidRPr="00EB77D6" w:rsidRDefault="001C5B17" w:rsidP="001C5B17">
      <w:pPr>
        <w:pStyle w:val="ListParagraph"/>
        <w:numPr>
          <w:ilvl w:val="0"/>
          <w:numId w:val="20"/>
        </w:numPr>
        <w:autoSpaceDE w:val="0"/>
        <w:autoSpaceDN w:val="0"/>
        <w:adjustRightInd w:val="0"/>
        <w:spacing w:line="276" w:lineRule="auto"/>
        <w:ind w:left="1170"/>
        <w:jc w:val="both"/>
        <w:rPr>
          <w:lang w:val="en-GB" w:eastAsia="en-GB"/>
        </w:rPr>
      </w:pPr>
      <w:r w:rsidRPr="00EB77D6">
        <w:rPr>
          <w:color w:val="000000"/>
          <w:lang w:val="mk-MK" w:eastAsia="en-GB"/>
        </w:rPr>
        <w:t>Анализирање на извештаите за изложеност на ризик на СБ подготвени од страна на службите за оценка на ризик на СБ и предлагање стратегии, мерки и инструменти за заштита од ризици</w:t>
      </w:r>
      <w:r w:rsidRPr="00EB77D6">
        <w:rPr>
          <w:lang w:val="en-GB" w:eastAsia="en-GB"/>
        </w:rPr>
        <w:t>;</w:t>
      </w:r>
    </w:p>
    <w:p w14:paraId="38740E4C" w14:textId="77777777" w:rsidR="001C5B17" w:rsidRPr="00EB77D6" w:rsidRDefault="001C5B17" w:rsidP="001C5B17">
      <w:pPr>
        <w:pStyle w:val="ListParagraph"/>
        <w:numPr>
          <w:ilvl w:val="0"/>
          <w:numId w:val="20"/>
        </w:numPr>
        <w:autoSpaceDE w:val="0"/>
        <w:autoSpaceDN w:val="0"/>
        <w:adjustRightInd w:val="0"/>
        <w:spacing w:line="276" w:lineRule="auto"/>
        <w:ind w:left="1170"/>
        <w:jc w:val="both"/>
        <w:rPr>
          <w:lang w:val="en-GB" w:eastAsia="en-GB"/>
        </w:rPr>
      </w:pPr>
      <w:r w:rsidRPr="00EB77D6">
        <w:rPr>
          <w:color w:val="000000"/>
          <w:lang w:val="mk-MK" w:eastAsia="en-GB"/>
        </w:rPr>
        <w:t>Следење на ефикасноста на функционирањето на системите за внатрешна контрола за управувањето со ризици</w:t>
      </w:r>
      <w:r w:rsidRPr="00EB77D6">
        <w:rPr>
          <w:lang w:val="en-GB" w:eastAsia="en-GB"/>
        </w:rPr>
        <w:t>;</w:t>
      </w:r>
    </w:p>
    <w:p w14:paraId="5755576B" w14:textId="77777777" w:rsidR="001C5B17" w:rsidRPr="00EB77D6" w:rsidRDefault="001C5B17" w:rsidP="001C5B17">
      <w:pPr>
        <w:pStyle w:val="ListParagraph"/>
        <w:numPr>
          <w:ilvl w:val="0"/>
          <w:numId w:val="20"/>
        </w:numPr>
        <w:autoSpaceDE w:val="0"/>
        <w:autoSpaceDN w:val="0"/>
        <w:adjustRightInd w:val="0"/>
        <w:spacing w:line="276" w:lineRule="auto"/>
        <w:ind w:left="1170"/>
        <w:jc w:val="both"/>
        <w:rPr>
          <w:lang w:val="en-GB" w:eastAsia="en-GB"/>
        </w:rPr>
      </w:pPr>
      <w:r w:rsidRPr="00EB77D6">
        <w:rPr>
          <w:color w:val="000000"/>
          <w:lang w:val="mk-MK" w:eastAsia="en-GB"/>
        </w:rPr>
        <w:t>Анализирање на ефектите од управување со ризиците врз перформансите на СБ</w:t>
      </w:r>
      <w:r w:rsidRPr="00EB77D6">
        <w:rPr>
          <w:lang w:val="en-GB" w:eastAsia="en-GB"/>
        </w:rPr>
        <w:t>;</w:t>
      </w:r>
    </w:p>
    <w:p w14:paraId="00078D99" w14:textId="77777777" w:rsidR="001C5B17" w:rsidRPr="00EB77D6" w:rsidRDefault="001C5B17" w:rsidP="001C5B17">
      <w:pPr>
        <w:pStyle w:val="ListParagraph"/>
        <w:numPr>
          <w:ilvl w:val="0"/>
          <w:numId w:val="20"/>
        </w:numPr>
        <w:autoSpaceDE w:val="0"/>
        <w:autoSpaceDN w:val="0"/>
        <w:adjustRightInd w:val="0"/>
        <w:spacing w:line="276" w:lineRule="auto"/>
        <w:ind w:left="1170"/>
        <w:jc w:val="both"/>
        <w:rPr>
          <w:lang w:val="en-GB" w:eastAsia="en-GB"/>
        </w:rPr>
      </w:pPr>
      <w:r w:rsidRPr="00EB77D6">
        <w:rPr>
          <w:color w:val="000000"/>
          <w:lang w:val="mk-MK" w:eastAsia="en-GB"/>
        </w:rPr>
        <w:t>Анализирање на ефектите од предложените стратегии за управување со ризиците, како и предложените стратегии, мерки и инструменти за заштита од ризици</w:t>
      </w:r>
      <w:r w:rsidRPr="00EB77D6">
        <w:rPr>
          <w:lang w:val="en-GB" w:eastAsia="en-GB"/>
        </w:rPr>
        <w:t>;</w:t>
      </w:r>
    </w:p>
    <w:p w14:paraId="3CCFE55F" w14:textId="77777777" w:rsidR="001C5B17" w:rsidRPr="00EB77D6" w:rsidRDefault="001C5B17" w:rsidP="001C5B17">
      <w:pPr>
        <w:pStyle w:val="ListParagraph"/>
        <w:numPr>
          <w:ilvl w:val="0"/>
          <w:numId w:val="20"/>
        </w:numPr>
        <w:tabs>
          <w:tab w:val="left" w:pos="851"/>
        </w:tabs>
        <w:autoSpaceDE w:val="0"/>
        <w:autoSpaceDN w:val="0"/>
        <w:adjustRightInd w:val="0"/>
        <w:spacing w:line="276" w:lineRule="auto"/>
        <w:ind w:left="1170"/>
        <w:jc w:val="both"/>
        <w:rPr>
          <w:lang w:val="en-GB" w:eastAsia="en-GB"/>
        </w:rPr>
      </w:pPr>
      <w:r w:rsidRPr="00EB77D6">
        <w:rPr>
          <w:color w:val="000000"/>
          <w:lang w:val="mk-MK" w:eastAsia="en-GB"/>
        </w:rPr>
        <w:t>Оценување дали одредувањето на цени за производите и услугите на Банката е во согласност со нивото на превземени ризици и во согласност со деловната политика и развојниот план на Банката</w:t>
      </w:r>
      <w:r w:rsidRPr="00EB77D6">
        <w:rPr>
          <w:lang w:val="en-GB" w:eastAsia="en-GB"/>
        </w:rPr>
        <w:t>;</w:t>
      </w:r>
    </w:p>
    <w:p w14:paraId="0E9F4F99" w14:textId="77777777" w:rsidR="001C5B17" w:rsidRPr="00EB77D6" w:rsidRDefault="001C5B17" w:rsidP="001C5B17">
      <w:pPr>
        <w:pStyle w:val="ListParagraph"/>
        <w:numPr>
          <w:ilvl w:val="0"/>
          <w:numId w:val="20"/>
        </w:numPr>
        <w:autoSpaceDE w:val="0"/>
        <w:autoSpaceDN w:val="0"/>
        <w:adjustRightInd w:val="0"/>
        <w:spacing w:line="276" w:lineRule="auto"/>
        <w:ind w:left="1170"/>
        <w:jc w:val="both"/>
        <w:rPr>
          <w:lang w:val="en-GB" w:eastAsia="en-GB"/>
        </w:rPr>
      </w:pPr>
      <w:r w:rsidRPr="00EB77D6">
        <w:rPr>
          <w:color w:val="000000"/>
          <w:lang w:val="mk-MK" w:eastAsia="en-GB"/>
        </w:rPr>
        <w:t xml:space="preserve">Го информира, најмалку еднаш на секои три месеци, Надзорниот одбор на СБ за промените во ризичните позиции на СБ, промените во стратегиите за управување со ризиците, ефектите од управувањето со ризиците врз </w:t>
      </w:r>
      <w:r w:rsidRPr="00EB77D6">
        <w:rPr>
          <w:color w:val="000000"/>
          <w:lang w:val="mk-MK" w:eastAsia="en-GB"/>
        </w:rPr>
        <w:lastRenderedPageBreak/>
        <w:t>перформансите на СБ, како и за превземените мерки и инструменти за заштита од ризиците и ефектите од истите</w:t>
      </w:r>
      <w:r w:rsidRPr="00EB77D6">
        <w:rPr>
          <w:color w:val="000000"/>
          <w:lang w:eastAsia="en-GB"/>
        </w:rPr>
        <w:t>;</w:t>
      </w:r>
      <w:r w:rsidRPr="00EB77D6">
        <w:rPr>
          <w:color w:val="000000"/>
          <w:lang w:val="mk-MK" w:eastAsia="en-GB"/>
        </w:rPr>
        <w:t xml:space="preserve"> и</w:t>
      </w:r>
    </w:p>
    <w:p w14:paraId="10BD58C8" w14:textId="77777777" w:rsidR="001C5B17" w:rsidRPr="00EB77D6" w:rsidRDefault="001C5B17" w:rsidP="001C5B17">
      <w:pPr>
        <w:pStyle w:val="ListParagraph"/>
        <w:numPr>
          <w:ilvl w:val="0"/>
          <w:numId w:val="20"/>
        </w:numPr>
        <w:autoSpaceDE w:val="0"/>
        <w:autoSpaceDN w:val="0"/>
        <w:adjustRightInd w:val="0"/>
        <w:spacing w:line="276" w:lineRule="auto"/>
        <w:ind w:left="1170"/>
        <w:jc w:val="both"/>
        <w:rPr>
          <w:lang w:val="en-GB" w:eastAsia="en-GB"/>
        </w:rPr>
      </w:pPr>
      <w:r w:rsidRPr="00EB77D6">
        <w:rPr>
          <w:color w:val="000000"/>
          <w:lang w:val="mk-MK" w:eastAsia="en-GB"/>
        </w:rPr>
        <w:t>Одобрување на секоја изложеност кон поединечно лице повисока од 10% а до 20% од сопствените средства на СБ</w:t>
      </w:r>
      <w:r w:rsidRPr="00EB77D6">
        <w:rPr>
          <w:lang w:val="en-GB" w:eastAsia="en-GB"/>
        </w:rPr>
        <w:t>.</w:t>
      </w:r>
    </w:p>
    <w:p w14:paraId="4B03ACF9" w14:textId="77777777" w:rsidR="001C5B17" w:rsidRPr="00EB77D6" w:rsidRDefault="001C5B17" w:rsidP="001C5B17">
      <w:pPr>
        <w:pStyle w:val="ListParagraph"/>
        <w:autoSpaceDE w:val="0"/>
        <w:autoSpaceDN w:val="0"/>
        <w:adjustRightInd w:val="0"/>
        <w:ind w:left="1170"/>
        <w:jc w:val="both"/>
        <w:rPr>
          <w:lang w:val="en-GB" w:eastAsia="en-GB"/>
        </w:rPr>
      </w:pPr>
    </w:p>
    <w:p w14:paraId="670FAEC3" w14:textId="77777777" w:rsidR="001C5B17" w:rsidRPr="00EB77D6" w:rsidRDefault="001C5B17" w:rsidP="001C5B17">
      <w:pPr>
        <w:pStyle w:val="ListParagraph"/>
        <w:autoSpaceDE w:val="0"/>
        <w:autoSpaceDN w:val="0"/>
        <w:adjustRightInd w:val="0"/>
        <w:ind w:left="1170"/>
        <w:jc w:val="both"/>
        <w:rPr>
          <w:lang w:val="en-GB" w:eastAsia="en-GB"/>
        </w:rPr>
      </w:pPr>
    </w:p>
    <w:p w14:paraId="5FB054AA" w14:textId="77777777" w:rsidR="001C5B17" w:rsidRPr="00EB77D6" w:rsidRDefault="001C5B17" w:rsidP="001C5B17">
      <w:pPr>
        <w:pStyle w:val="ListParagraph"/>
        <w:numPr>
          <w:ilvl w:val="0"/>
          <w:numId w:val="18"/>
        </w:numPr>
        <w:autoSpaceDE w:val="0"/>
        <w:autoSpaceDN w:val="0"/>
        <w:adjustRightInd w:val="0"/>
        <w:spacing w:before="240"/>
        <w:ind w:left="1077" w:hanging="357"/>
        <w:jc w:val="both"/>
        <w:rPr>
          <w:b/>
          <w:lang w:val="en-GB" w:eastAsia="en-GB"/>
        </w:rPr>
      </w:pPr>
      <w:r w:rsidRPr="00EB77D6">
        <w:rPr>
          <w:b/>
          <w:bCs/>
          <w:color w:val="000000"/>
          <w:lang w:val="mk-MK" w:eastAsia="en-GB"/>
        </w:rPr>
        <w:t>ОДБОР ЗА НАГРАДУВАЊЕ</w:t>
      </w:r>
    </w:p>
    <w:p w14:paraId="0AACF832" w14:textId="77777777" w:rsidR="001C5B17" w:rsidRPr="00EB77D6" w:rsidRDefault="001C5B17" w:rsidP="001C5B17">
      <w:pPr>
        <w:pStyle w:val="ListParagraph"/>
        <w:autoSpaceDE w:val="0"/>
        <w:autoSpaceDN w:val="0"/>
        <w:adjustRightInd w:val="0"/>
        <w:spacing w:before="480"/>
        <w:ind w:left="0" w:firstLine="720"/>
        <w:jc w:val="both"/>
        <w:rPr>
          <w:lang w:val="en-GB" w:eastAsia="en-GB"/>
        </w:rPr>
      </w:pPr>
    </w:p>
    <w:p w14:paraId="28BA4200" w14:textId="77777777" w:rsidR="001C5B17" w:rsidRPr="00EB77D6" w:rsidRDefault="001C5B17" w:rsidP="001C5B17">
      <w:pPr>
        <w:pStyle w:val="ListParagraph"/>
        <w:autoSpaceDE w:val="0"/>
        <w:autoSpaceDN w:val="0"/>
        <w:adjustRightInd w:val="0"/>
        <w:spacing w:before="240" w:line="276" w:lineRule="auto"/>
        <w:ind w:left="0" w:firstLine="720"/>
        <w:jc w:val="both"/>
        <w:rPr>
          <w:lang w:val="en-GB" w:eastAsia="en-GB"/>
        </w:rPr>
      </w:pPr>
      <w:r w:rsidRPr="00EB77D6">
        <w:rPr>
          <w:bCs/>
          <w:color w:val="000000"/>
          <w:lang w:val="mk-MK" w:eastAsia="en-GB"/>
        </w:rPr>
        <w:t>Од месец ноември 2013 година, Одборот за наградување му помага на Надзорниот одбор во спроведувањето на Политиката за наградување на СБ.</w:t>
      </w:r>
    </w:p>
    <w:p w14:paraId="0C82B772" w14:textId="77777777" w:rsidR="001C5B17" w:rsidRPr="00EB77D6" w:rsidRDefault="001C5B17" w:rsidP="001C5B17">
      <w:pPr>
        <w:pStyle w:val="ListParagraph"/>
        <w:autoSpaceDE w:val="0"/>
        <w:autoSpaceDN w:val="0"/>
        <w:adjustRightInd w:val="0"/>
        <w:spacing w:before="240" w:line="276" w:lineRule="auto"/>
        <w:ind w:left="0"/>
        <w:jc w:val="both"/>
        <w:rPr>
          <w:lang w:val="en-GB" w:eastAsia="en-GB"/>
        </w:rPr>
      </w:pPr>
    </w:p>
    <w:p w14:paraId="0DC441CC" w14:textId="77777777" w:rsidR="001C5B17" w:rsidRPr="00EB77D6" w:rsidRDefault="001C5B17" w:rsidP="001C5B17">
      <w:pPr>
        <w:pStyle w:val="ListParagraph"/>
        <w:autoSpaceDE w:val="0"/>
        <w:autoSpaceDN w:val="0"/>
        <w:adjustRightInd w:val="0"/>
        <w:spacing w:before="240" w:line="276" w:lineRule="auto"/>
        <w:ind w:left="0"/>
        <w:jc w:val="both"/>
        <w:rPr>
          <w:lang w:val="en-GB" w:eastAsia="en-GB"/>
        </w:rPr>
      </w:pPr>
      <w:r w:rsidRPr="00EB77D6">
        <w:rPr>
          <w:lang w:val="en-GB" w:eastAsia="en-GB"/>
        </w:rPr>
        <w:tab/>
      </w:r>
      <w:r w:rsidRPr="00EB77D6">
        <w:rPr>
          <w:lang w:val="mk-MK" w:eastAsia="en-GB"/>
        </w:rPr>
        <w:t xml:space="preserve">Во согласност со Политиката за наградување на СБ, Одборот се состои од три членови на Надзорниот одбор, чие мнозинство треба да бидат независни членови, вклучувајќи го неговиот претседател, именувани од страна на Надзорниот одбор. Според тоа, во текот на 2022 година, составот на </w:t>
      </w:r>
      <w:r w:rsidRPr="00EB77D6">
        <w:rPr>
          <w:color w:val="000000"/>
          <w:lang w:val="mk-MK" w:eastAsia="en-GB"/>
        </w:rPr>
        <w:t>Одборот за наградување останува непроменет, односно:</w:t>
      </w:r>
    </w:p>
    <w:p w14:paraId="3D1CD71F" w14:textId="77777777" w:rsidR="001C5B17" w:rsidRPr="00EB77D6" w:rsidRDefault="001C5B17" w:rsidP="001C5B17">
      <w:pPr>
        <w:pStyle w:val="ListParagraph"/>
        <w:autoSpaceDE w:val="0"/>
        <w:autoSpaceDN w:val="0"/>
        <w:adjustRightInd w:val="0"/>
        <w:spacing w:before="240" w:line="276" w:lineRule="auto"/>
        <w:ind w:left="0"/>
        <w:jc w:val="both"/>
        <w:rPr>
          <w:lang w:val="en-GB" w:eastAsia="en-GB"/>
        </w:rPr>
      </w:pPr>
    </w:p>
    <w:p w14:paraId="167599F4" w14:textId="77777777" w:rsidR="001C5B17" w:rsidRPr="00EB77D6" w:rsidRDefault="001C5B17" w:rsidP="001C5B17">
      <w:pPr>
        <w:numPr>
          <w:ilvl w:val="0"/>
          <w:numId w:val="39"/>
        </w:numPr>
        <w:autoSpaceDE w:val="0"/>
        <w:autoSpaceDN w:val="0"/>
        <w:adjustRightInd w:val="0"/>
        <w:spacing w:after="0"/>
        <w:jc w:val="both"/>
        <w:rPr>
          <w:rFonts w:ascii="Times New Roman" w:eastAsia="Times New Roman" w:hAnsi="Times New Roman"/>
          <w:color w:val="000000"/>
          <w:sz w:val="24"/>
          <w:szCs w:val="24"/>
          <w:lang w:val="mk-MK" w:eastAsia="en-GB"/>
        </w:rPr>
      </w:pPr>
      <w:r w:rsidRPr="00EB77D6">
        <w:rPr>
          <w:rFonts w:ascii="Times New Roman" w:eastAsia="Times New Roman" w:hAnsi="Times New Roman"/>
          <w:color w:val="000000"/>
          <w:sz w:val="24"/>
          <w:szCs w:val="24"/>
          <w:lang w:val="mk-MK" w:eastAsia="en-GB"/>
        </w:rPr>
        <w:t>Владимир Филиповски, независен член на Надзорниот одбор</w:t>
      </w:r>
      <w:r w:rsidRPr="00EB77D6">
        <w:rPr>
          <w:rFonts w:ascii="Times New Roman" w:eastAsia="Times New Roman" w:hAnsi="Times New Roman"/>
          <w:bCs/>
          <w:color w:val="000000"/>
          <w:sz w:val="24"/>
          <w:szCs w:val="24"/>
          <w:lang w:val="mk-MK" w:eastAsia="en-GB"/>
        </w:rPr>
        <w:t>, Претседател</w:t>
      </w:r>
      <w:r w:rsidRPr="00EB77D6">
        <w:rPr>
          <w:rFonts w:ascii="Times New Roman" w:eastAsia="Times New Roman" w:hAnsi="Times New Roman"/>
          <w:color w:val="000000"/>
          <w:sz w:val="24"/>
          <w:szCs w:val="24"/>
          <w:lang w:val="mk-MK" w:eastAsia="en-GB"/>
        </w:rPr>
        <w:t>;</w:t>
      </w:r>
    </w:p>
    <w:p w14:paraId="389FE960" w14:textId="77777777" w:rsidR="001C5B17" w:rsidRPr="00EB77D6" w:rsidRDefault="001C5B17" w:rsidP="001C5B17">
      <w:pPr>
        <w:numPr>
          <w:ilvl w:val="0"/>
          <w:numId w:val="39"/>
        </w:numPr>
        <w:autoSpaceDE w:val="0"/>
        <w:autoSpaceDN w:val="0"/>
        <w:adjustRightInd w:val="0"/>
        <w:spacing w:after="0"/>
        <w:jc w:val="both"/>
        <w:rPr>
          <w:rFonts w:ascii="Times New Roman" w:eastAsia="Times New Roman" w:hAnsi="Times New Roman"/>
          <w:color w:val="000000"/>
          <w:sz w:val="24"/>
          <w:szCs w:val="24"/>
          <w:lang w:val="mk-MK" w:eastAsia="en-GB"/>
        </w:rPr>
      </w:pPr>
      <w:r w:rsidRPr="00EB77D6">
        <w:rPr>
          <w:rFonts w:ascii="Times New Roman" w:eastAsia="Times New Roman" w:hAnsi="Times New Roman"/>
          <w:color w:val="000000"/>
          <w:sz w:val="24"/>
          <w:szCs w:val="24"/>
          <w:lang w:val="mk-MK" w:eastAsia="en-GB"/>
        </w:rPr>
        <w:t>Сашо Ќосев, независен член на Надзорниот одбор</w:t>
      </w:r>
      <w:r w:rsidRPr="00EB77D6">
        <w:rPr>
          <w:rFonts w:ascii="Times New Roman" w:eastAsia="Times New Roman" w:hAnsi="Times New Roman"/>
          <w:bCs/>
          <w:color w:val="000000"/>
          <w:sz w:val="24"/>
          <w:szCs w:val="24"/>
          <w:lang w:val="mk-MK" w:eastAsia="en-GB"/>
        </w:rPr>
        <w:t>,</w:t>
      </w:r>
      <w:r w:rsidRPr="00EB77D6">
        <w:rPr>
          <w:rFonts w:ascii="Times New Roman" w:eastAsia="Times New Roman" w:hAnsi="Times New Roman"/>
          <w:color w:val="000000"/>
          <w:sz w:val="24"/>
          <w:szCs w:val="24"/>
          <w:lang w:val="mk-MK" w:eastAsia="en-GB"/>
        </w:rPr>
        <w:t>член; и</w:t>
      </w:r>
    </w:p>
    <w:p w14:paraId="69C8E981" w14:textId="77777777" w:rsidR="001C5B17" w:rsidRPr="00EB77D6" w:rsidRDefault="001C5B17" w:rsidP="001C5B17">
      <w:pPr>
        <w:numPr>
          <w:ilvl w:val="0"/>
          <w:numId w:val="39"/>
        </w:numPr>
        <w:autoSpaceDE w:val="0"/>
        <w:autoSpaceDN w:val="0"/>
        <w:adjustRightInd w:val="0"/>
        <w:spacing w:after="0"/>
        <w:jc w:val="both"/>
        <w:rPr>
          <w:rFonts w:ascii="Times New Roman" w:eastAsia="Times New Roman" w:hAnsi="Times New Roman"/>
          <w:color w:val="000000"/>
          <w:sz w:val="24"/>
          <w:szCs w:val="24"/>
          <w:lang w:val="mk-MK" w:eastAsia="en-GB"/>
        </w:rPr>
      </w:pPr>
      <w:r w:rsidRPr="00EB77D6">
        <w:rPr>
          <w:rFonts w:ascii="Times New Roman" w:eastAsia="Times New Roman" w:hAnsi="Times New Roman"/>
          <w:color w:val="000000"/>
          <w:sz w:val="24"/>
          <w:szCs w:val="24"/>
          <w:lang w:val="mk-MK" w:eastAsia="en-GB"/>
        </w:rPr>
        <w:t>Анастасиос Лизос, член на Надзорниот одбор, член.</w:t>
      </w:r>
    </w:p>
    <w:p w14:paraId="5BB2EDB3" w14:textId="77777777" w:rsidR="001C5B17" w:rsidRPr="00EB77D6" w:rsidRDefault="001C5B17" w:rsidP="001C5B17">
      <w:pPr>
        <w:pStyle w:val="ListParagraph"/>
        <w:autoSpaceDE w:val="0"/>
        <w:autoSpaceDN w:val="0"/>
        <w:adjustRightInd w:val="0"/>
        <w:spacing w:before="240" w:line="276" w:lineRule="auto"/>
        <w:ind w:left="0"/>
        <w:jc w:val="both"/>
        <w:rPr>
          <w:lang w:val="en-GB" w:eastAsia="en-GB"/>
        </w:rPr>
      </w:pPr>
      <w:r w:rsidRPr="00EB77D6">
        <w:rPr>
          <w:lang w:val="en-GB" w:eastAsia="en-GB"/>
        </w:rPr>
        <w:tab/>
      </w:r>
      <w:r w:rsidRPr="00EB77D6">
        <w:rPr>
          <w:color w:val="000000"/>
          <w:lang w:val="mk-MK" w:eastAsia="en-GB"/>
        </w:rPr>
        <w:t xml:space="preserve">Мандатот на членовите на </w:t>
      </w:r>
      <w:r w:rsidRPr="00EB77D6">
        <w:rPr>
          <w:bCs/>
          <w:color w:val="000000"/>
          <w:lang w:val="mk-MK" w:eastAsia="en-GB"/>
        </w:rPr>
        <w:t>Одборот за наградување</w:t>
      </w:r>
      <w:r w:rsidRPr="00EB77D6">
        <w:rPr>
          <w:color w:val="000000"/>
          <w:lang w:val="mk-MK" w:eastAsia="en-GB"/>
        </w:rPr>
        <w:t xml:space="preserve"> е една година</w:t>
      </w:r>
      <w:r w:rsidRPr="00EB77D6">
        <w:rPr>
          <w:lang w:val="en-GB" w:eastAsia="en-GB"/>
        </w:rPr>
        <w:t xml:space="preserve">, </w:t>
      </w:r>
      <w:r w:rsidRPr="00EB77D6">
        <w:rPr>
          <w:lang w:val="mk-MK" w:eastAsia="en-GB"/>
        </w:rPr>
        <w:t>со неограничено право на реизбор</w:t>
      </w:r>
      <w:r w:rsidRPr="00EB77D6">
        <w:rPr>
          <w:lang w:val="en-GB" w:eastAsia="en-GB"/>
        </w:rPr>
        <w:t xml:space="preserve"> </w:t>
      </w:r>
      <w:r w:rsidRPr="00EB77D6">
        <w:rPr>
          <w:lang w:val="mk-MK" w:eastAsia="en-GB"/>
        </w:rPr>
        <w:t>се додека тие се членови на Надзорниот одбор</w:t>
      </w:r>
      <w:r w:rsidRPr="00EB77D6">
        <w:rPr>
          <w:lang w:val="en-GB" w:eastAsia="en-GB"/>
        </w:rPr>
        <w:t xml:space="preserve">. </w:t>
      </w:r>
      <w:r w:rsidRPr="00EB77D6">
        <w:rPr>
          <w:color w:val="000000"/>
          <w:lang w:val="mk-MK" w:eastAsia="en-GB"/>
        </w:rPr>
        <w:t>Одговорностите на Одборот за наградување се регулирани во Политиката за наградување на Стопанска Банка АД Скопје и Деловникот за работа на Одборот за наградување, следејќи ги соодветните одредби на Одлуката на Народна банка за правилата на добро корпоративно управување  во банките</w:t>
      </w:r>
      <w:r w:rsidRPr="00EB77D6">
        <w:t xml:space="preserve">. </w:t>
      </w:r>
      <w:r w:rsidRPr="00EB77D6">
        <w:rPr>
          <w:color w:val="000000"/>
          <w:lang w:val="mk-MK" w:eastAsia="en-GB"/>
        </w:rPr>
        <w:t>Накратко, ОН му помага на Надзорниот одбор во утврдувањето и следењето на политиката за наградување и практиките на Банката.</w:t>
      </w:r>
      <w:r w:rsidRPr="00EB77D6">
        <w:t xml:space="preserve"> </w:t>
      </w:r>
    </w:p>
    <w:p w14:paraId="7A55E52F" w14:textId="77777777" w:rsidR="001C5B17" w:rsidRPr="00EB77D6" w:rsidRDefault="001C5B17" w:rsidP="001C5B17">
      <w:pPr>
        <w:pStyle w:val="Default"/>
        <w:spacing w:line="276" w:lineRule="auto"/>
        <w:jc w:val="both"/>
      </w:pPr>
    </w:p>
    <w:p w14:paraId="4C463143" w14:textId="77777777" w:rsidR="001C5B17" w:rsidRPr="00EB77D6" w:rsidRDefault="001C5B17" w:rsidP="001C5B17">
      <w:pPr>
        <w:pStyle w:val="Default"/>
        <w:spacing w:line="276" w:lineRule="auto"/>
        <w:ind w:firstLine="720"/>
        <w:jc w:val="both"/>
      </w:pPr>
      <w:r w:rsidRPr="00EB77D6">
        <w:rPr>
          <w:lang w:val="mk-MK"/>
        </w:rPr>
        <w:t xml:space="preserve">Во текот на 2022 година Одборот за наградување одржа </w:t>
      </w:r>
      <w:r w:rsidRPr="00EB77D6">
        <w:rPr>
          <w:b/>
          <w:lang w:val="mk-MK"/>
        </w:rPr>
        <w:t>три редовни седници,</w:t>
      </w:r>
      <w:r w:rsidRPr="00EB77D6">
        <w:rPr>
          <w:lang w:val="mk-MK"/>
        </w:rPr>
        <w:t xml:space="preserve"> како што пропишува локалната легислатива и во согласност со Деловникот за работа на Одборот за наградување</w:t>
      </w:r>
      <w:r w:rsidRPr="00EB77D6">
        <w:t xml:space="preserve">. </w:t>
      </w:r>
      <w:r w:rsidRPr="00EB77D6">
        <w:rPr>
          <w:lang w:val="mk-MK"/>
        </w:rPr>
        <w:t>Следејќи го Годишниот план за работа, беа донесени следните главни точки:</w:t>
      </w:r>
      <w:r w:rsidRPr="00EB77D6">
        <w:t xml:space="preserve"> </w:t>
      </w:r>
    </w:p>
    <w:p w14:paraId="3BDCB47A" w14:textId="77777777" w:rsidR="001C5B17" w:rsidRPr="00EB77D6" w:rsidRDefault="001C5B17" w:rsidP="001C5B17">
      <w:pPr>
        <w:pStyle w:val="Default"/>
        <w:numPr>
          <w:ilvl w:val="0"/>
          <w:numId w:val="23"/>
        </w:numPr>
        <w:spacing w:line="276" w:lineRule="auto"/>
        <w:jc w:val="both"/>
      </w:pPr>
      <w:r w:rsidRPr="00EB77D6">
        <w:rPr>
          <w:bCs/>
          <w:lang w:val="mk-MK"/>
        </w:rPr>
        <w:t>Го разгледа и одобри извештајот за наградување</w:t>
      </w:r>
      <w:r w:rsidRPr="00EB77D6">
        <w:rPr>
          <w:bCs/>
          <w:lang w:val="en-US"/>
        </w:rPr>
        <w:t xml:space="preserve"> </w:t>
      </w:r>
      <w:r w:rsidRPr="00EB77D6">
        <w:rPr>
          <w:bCs/>
          <w:lang w:val="mk-MK"/>
        </w:rPr>
        <w:t>за</w:t>
      </w:r>
      <w:r w:rsidRPr="00EB77D6">
        <w:rPr>
          <w:bCs/>
          <w:lang w:val="en-US"/>
        </w:rPr>
        <w:t xml:space="preserve"> 2022 </w:t>
      </w:r>
      <w:r w:rsidRPr="00EB77D6">
        <w:rPr>
          <w:bCs/>
          <w:lang w:val="mk-MK"/>
        </w:rPr>
        <w:t>година</w:t>
      </w:r>
      <w:r w:rsidRPr="00EB77D6">
        <w:rPr>
          <w:bCs/>
          <w:lang w:val="en-US"/>
        </w:rPr>
        <w:t xml:space="preserve">, </w:t>
      </w:r>
      <w:r w:rsidRPr="00EB77D6">
        <w:rPr>
          <w:bCs/>
          <w:lang w:val="mk-MK"/>
        </w:rPr>
        <w:t>вклучително</w:t>
      </w:r>
      <w:r w:rsidRPr="00EB77D6">
        <w:rPr>
          <w:bCs/>
          <w:lang w:val="en-US"/>
        </w:rPr>
        <w:t xml:space="preserve"> и </w:t>
      </w:r>
      <w:r w:rsidRPr="00EB77D6">
        <w:rPr>
          <w:bCs/>
          <w:lang w:val="mk-MK"/>
        </w:rPr>
        <w:t>самоевалуација</w:t>
      </w:r>
      <w:r w:rsidRPr="00EB77D6">
        <w:rPr>
          <w:bCs/>
          <w:lang w:val="en-US"/>
        </w:rPr>
        <w:t xml:space="preserve"> </w:t>
      </w:r>
      <w:r w:rsidRPr="00EB77D6">
        <w:rPr>
          <w:bCs/>
          <w:lang w:val="mk-MK"/>
        </w:rPr>
        <w:t>на</w:t>
      </w:r>
      <w:r w:rsidRPr="00EB77D6">
        <w:rPr>
          <w:bCs/>
          <w:lang w:val="en-US"/>
        </w:rPr>
        <w:t xml:space="preserve"> </w:t>
      </w:r>
      <w:r w:rsidRPr="00EB77D6">
        <w:rPr>
          <w:bCs/>
          <w:lang w:val="mk-MK"/>
        </w:rPr>
        <w:t>членовите</w:t>
      </w:r>
      <w:r w:rsidRPr="00EB77D6">
        <w:rPr>
          <w:bCs/>
          <w:lang w:val="en-US"/>
        </w:rPr>
        <w:t xml:space="preserve"> </w:t>
      </w:r>
      <w:r w:rsidRPr="00EB77D6">
        <w:rPr>
          <w:bCs/>
          <w:lang w:val="mk-MK"/>
        </w:rPr>
        <w:t>на</w:t>
      </w:r>
      <w:r w:rsidRPr="00EB77D6">
        <w:rPr>
          <w:bCs/>
          <w:lang w:val="en-US"/>
        </w:rPr>
        <w:t xml:space="preserve"> </w:t>
      </w:r>
      <w:r w:rsidRPr="00EB77D6">
        <w:rPr>
          <w:bCs/>
          <w:lang w:val="mk-MK"/>
        </w:rPr>
        <w:t>Одборот за наградување</w:t>
      </w:r>
      <w:r w:rsidRPr="00EB77D6">
        <w:rPr>
          <w:bCs/>
          <w:lang w:val="en-US"/>
        </w:rPr>
        <w:t xml:space="preserve"> како и Мислењето на Одборот за управу</w:t>
      </w:r>
      <w:r w:rsidRPr="00EB77D6">
        <w:rPr>
          <w:bCs/>
          <w:lang w:val="mk-MK"/>
        </w:rPr>
        <w:t>вање со ризици за Политиката на наградување</w:t>
      </w:r>
      <w:r w:rsidRPr="00EB77D6">
        <w:rPr>
          <w:bCs/>
          <w:lang w:val="en-US"/>
        </w:rPr>
        <w:t>;</w:t>
      </w:r>
    </w:p>
    <w:p w14:paraId="1D047DB2" w14:textId="77777777" w:rsidR="001C5B17" w:rsidRPr="00EB77D6" w:rsidRDefault="001C5B17" w:rsidP="001C5B17">
      <w:pPr>
        <w:pStyle w:val="Default"/>
        <w:numPr>
          <w:ilvl w:val="0"/>
          <w:numId w:val="23"/>
        </w:numPr>
        <w:spacing w:line="276" w:lineRule="auto"/>
        <w:jc w:val="both"/>
      </w:pPr>
      <w:r w:rsidRPr="00EB77D6">
        <w:rPr>
          <w:lang w:val="mk-MK"/>
        </w:rPr>
        <w:t>Ја утврди и одобри Листата на лица кои имаат влијание врз ризичниот профил на Банката</w:t>
      </w:r>
      <w:r w:rsidRPr="00EB77D6">
        <w:rPr>
          <w:lang w:val="en-US"/>
        </w:rPr>
        <w:t xml:space="preserve"> (“</w:t>
      </w:r>
      <w:r w:rsidRPr="00EB77D6">
        <w:rPr>
          <w:i/>
          <w:lang w:val="en-US"/>
        </w:rPr>
        <w:t>risk-takers”</w:t>
      </w:r>
      <w:r w:rsidRPr="00EB77D6">
        <w:rPr>
          <w:lang w:val="en-US"/>
        </w:rPr>
        <w:t>)</w:t>
      </w:r>
      <w:r w:rsidRPr="00EB77D6">
        <w:rPr>
          <w:lang w:val="mk-MK"/>
        </w:rPr>
        <w:t xml:space="preserve"> согласно Политиката на наградување</w:t>
      </w:r>
      <w:r w:rsidRPr="00EB77D6">
        <w:rPr>
          <w:lang w:val="en-US"/>
        </w:rPr>
        <w:t xml:space="preserve">; </w:t>
      </w:r>
    </w:p>
    <w:p w14:paraId="5056D32E" w14:textId="77777777" w:rsidR="001C5B17" w:rsidRPr="00EB77D6" w:rsidRDefault="001C5B17" w:rsidP="001C5B17">
      <w:pPr>
        <w:pStyle w:val="Default"/>
        <w:numPr>
          <w:ilvl w:val="0"/>
          <w:numId w:val="23"/>
        </w:numPr>
        <w:spacing w:line="276" w:lineRule="auto"/>
        <w:jc w:val="both"/>
      </w:pPr>
      <w:r w:rsidRPr="00EB77D6">
        <w:rPr>
          <w:lang w:val="mk-MK"/>
        </w:rPr>
        <w:t>Редовно го разгледуваше трошокот за вработените и кадровската политика на Банката, осигурувајќи дека менаџментот го одржува трошокот за кадар и бројот на вработени во рамки на Буџетот</w:t>
      </w:r>
      <w:r w:rsidRPr="00EB77D6">
        <w:t xml:space="preserve">; </w:t>
      </w:r>
    </w:p>
    <w:p w14:paraId="2DF06A6C" w14:textId="77777777" w:rsidR="001C5B17" w:rsidRPr="00EB77D6" w:rsidRDefault="001C5B17" w:rsidP="001C5B17">
      <w:pPr>
        <w:pStyle w:val="Default"/>
        <w:numPr>
          <w:ilvl w:val="0"/>
          <w:numId w:val="23"/>
        </w:numPr>
        <w:spacing w:line="276" w:lineRule="auto"/>
        <w:jc w:val="both"/>
      </w:pPr>
      <w:r w:rsidRPr="00EB77D6">
        <w:rPr>
          <w:lang w:val="mk-MK"/>
        </w:rPr>
        <w:lastRenderedPageBreak/>
        <w:t>Го верификуваше предлогот за варијабилно наградување на раководниот кадар и на вработените во СБ за постигнување на добри резултати</w:t>
      </w:r>
      <w:r w:rsidRPr="00EB77D6">
        <w:t xml:space="preserve">; </w:t>
      </w:r>
    </w:p>
    <w:p w14:paraId="7B2F7B7C" w14:textId="77777777" w:rsidR="001C5B17" w:rsidRPr="00EB77D6" w:rsidRDefault="001C5B17" w:rsidP="001C5B17">
      <w:pPr>
        <w:pStyle w:val="Default"/>
        <w:numPr>
          <w:ilvl w:val="0"/>
          <w:numId w:val="23"/>
        </w:numPr>
        <w:spacing w:line="276" w:lineRule="auto"/>
        <w:jc w:val="both"/>
      </w:pPr>
      <w:r w:rsidRPr="00EB77D6">
        <w:rPr>
          <w:lang w:val="mk-MK"/>
        </w:rPr>
        <w:t>Го разгледа и дискутираше по редовниот годишен извештај на внатрешната ревизија за спроведување на Политиката за наградување.</w:t>
      </w:r>
    </w:p>
    <w:p w14:paraId="67A14479" w14:textId="77777777" w:rsidR="001C5B17" w:rsidRPr="00EB77D6" w:rsidRDefault="001C5B17" w:rsidP="001C5B17">
      <w:pPr>
        <w:pStyle w:val="Default"/>
        <w:ind w:left="1080"/>
        <w:jc w:val="both"/>
      </w:pPr>
    </w:p>
    <w:p w14:paraId="30CCBCAF" w14:textId="77777777" w:rsidR="001C5B17" w:rsidRPr="00EB77D6" w:rsidRDefault="001C5B17" w:rsidP="001C5B17">
      <w:pPr>
        <w:autoSpaceDE w:val="0"/>
        <w:autoSpaceDN w:val="0"/>
        <w:adjustRightInd w:val="0"/>
        <w:spacing w:before="240"/>
        <w:ind w:firstLine="720"/>
        <w:jc w:val="both"/>
        <w:rPr>
          <w:rFonts w:ascii="Times New Roman" w:eastAsia="Times New Roman" w:hAnsi="Times New Roman"/>
          <w:color w:val="000000"/>
          <w:sz w:val="24"/>
          <w:szCs w:val="24"/>
          <w:lang w:eastAsia="en-GB"/>
        </w:rPr>
      </w:pPr>
      <w:r w:rsidRPr="00EB77D6">
        <w:rPr>
          <w:rFonts w:ascii="Times New Roman" w:eastAsia="Times New Roman" w:hAnsi="Times New Roman"/>
          <w:b/>
          <w:bCs/>
          <w:color w:val="000000"/>
          <w:sz w:val="24"/>
          <w:szCs w:val="24"/>
          <w:lang w:eastAsia="en-GB"/>
        </w:rPr>
        <w:t xml:space="preserve">1.3. </w:t>
      </w:r>
      <w:r w:rsidRPr="00EB77D6">
        <w:rPr>
          <w:rFonts w:ascii="Times New Roman" w:eastAsia="Times New Roman" w:hAnsi="Times New Roman"/>
          <w:b/>
          <w:bCs/>
          <w:color w:val="000000"/>
          <w:sz w:val="24"/>
          <w:szCs w:val="24"/>
          <w:lang w:val="mk-MK" w:eastAsia="en-GB"/>
        </w:rPr>
        <w:t>УПРАВЕН ОДБОР</w:t>
      </w:r>
      <w:r w:rsidRPr="00EB77D6">
        <w:rPr>
          <w:rFonts w:ascii="Times New Roman" w:eastAsia="Times New Roman" w:hAnsi="Times New Roman"/>
          <w:b/>
          <w:bCs/>
          <w:color w:val="000000"/>
          <w:sz w:val="24"/>
          <w:szCs w:val="24"/>
          <w:lang w:eastAsia="en-GB"/>
        </w:rPr>
        <w:t xml:space="preserve"> </w:t>
      </w:r>
    </w:p>
    <w:p w14:paraId="396F608A" w14:textId="77777777" w:rsidR="001C5B17" w:rsidRPr="00EB77D6" w:rsidRDefault="001C5B17" w:rsidP="001C5B17">
      <w:pPr>
        <w:autoSpaceDE w:val="0"/>
        <w:autoSpaceDN w:val="0"/>
        <w:adjustRightInd w:val="0"/>
        <w:spacing w:after="0"/>
        <w:ind w:firstLine="720"/>
        <w:jc w:val="both"/>
        <w:rPr>
          <w:rFonts w:ascii="Times New Roman" w:eastAsia="Times New Roman" w:hAnsi="Times New Roman"/>
          <w:color w:val="000000"/>
          <w:sz w:val="24"/>
          <w:szCs w:val="24"/>
          <w:lang w:eastAsia="en-GB"/>
        </w:rPr>
      </w:pPr>
      <w:r w:rsidRPr="00EB77D6">
        <w:rPr>
          <w:rFonts w:ascii="Times New Roman" w:eastAsia="Times New Roman" w:hAnsi="Times New Roman"/>
          <w:color w:val="000000"/>
          <w:sz w:val="24"/>
          <w:szCs w:val="24"/>
          <w:lang w:val="mk-MK" w:eastAsia="en-GB"/>
        </w:rPr>
        <w:t>Управниот одбор на Стопанска банка АД - Скопје се состои од четири членови кои ги именува и/или разрешува Надзорниот одбор, со мандат од четири години.</w:t>
      </w:r>
      <w:r w:rsidRPr="00EB77D6">
        <w:rPr>
          <w:rFonts w:ascii="Times New Roman" w:eastAsia="Times New Roman" w:hAnsi="Times New Roman"/>
          <w:color w:val="000000"/>
          <w:sz w:val="24"/>
          <w:szCs w:val="24"/>
          <w:lang w:eastAsia="en-GB"/>
        </w:rPr>
        <w:t xml:space="preserve"> </w:t>
      </w:r>
    </w:p>
    <w:p w14:paraId="00D7553E" w14:textId="77777777" w:rsidR="001C5B17" w:rsidRPr="00EB77D6" w:rsidRDefault="001C5B17" w:rsidP="001C5B17">
      <w:pPr>
        <w:autoSpaceDE w:val="0"/>
        <w:autoSpaceDN w:val="0"/>
        <w:adjustRightInd w:val="0"/>
        <w:spacing w:after="0"/>
        <w:ind w:firstLine="720"/>
        <w:jc w:val="both"/>
        <w:rPr>
          <w:rFonts w:ascii="Times New Roman" w:eastAsia="Times New Roman" w:hAnsi="Times New Roman"/>
          <w:color w:val="000000"/>
          <w:sz w:val="24"/>
          <w:szCs w:val="24"/>
          <w:lang w:eastAsia="en-GB"/>
        </w:rPr>
      </w:pPr>
    </w:p>
    <w:p w14:paraId="5FEDED75" w14:textId="77777777" w:rsidR="001C5B17" w:rsidRPr="00EB77D6" w:rsidRDefault="001C5B17" w:rsidP="001C5B17">
      <w:pPr>
        <w:autoSpaceDE w:val="0"/>
        <w:autoSpaceDN w:val="0"/>
        <w:adjustRightInd w:val="0"/>
        <w:spacing w:after="0"/>
        <w:jc w:val="both"/>
        <w:rPr>
          <w:rFonts w:ascii="Times New Roman" w:eastAsia="Times New Roman" w:hAnsi="Times New Roman"/>
          <w:color w:val="000000"/>
          <w:sz w:val="24"/>
          <w:szCs w:val="24"/>
          <w:lang w:eastAsia="en-GB"/>
        </w:rPr>
      </w:pPr>
      <w:r w:rsidRPr="00EB77D6">
        <w:rPr>
          <w:rFonts w:ascii="Times New Roman" w:eastAsia="Times New Roman" w:hAnsi="Times New Roman"/>
          <w:color w:val="000000"/>
          <w:sz w:val="24"/>
          <w:szCs w:val="24"/>
          <w:lang w:val="mk-MK" w:eastAsia="en-GB"/>
        </w:rPr>
        <w:t>Следствено</w:t>
      </w:r>
      <w:r w:rsidRPr="00EB77D6">
        <w:rPr>
          <w:rFonts w:ascii="Times New Roman" w:eastAsia="Times New Roman" w:hAnsi="Times New Roman"/>
          <w:color w:val="000000"/>
          <w:sz w:val="24"/>
          <w:szCs w:val="24"/>
          <w:lang w:eastAsia="en-GB"/>
        </w:rPr>
        <w:t xml:space="preserve">, </w:t>
      </w:r>
      <w:r w:rsidRPr="00EB77D6">
        <w:rPr>
          <w:rFonts w:ascii="Times New Roman" w:eastAsia="Times New Roman" w:hAnsi="Times New Roman"/>
          <w:color w:val="000000"/>
          <w:sz w:val="24"/>
          <w:szCs w:val="24"/>
          <w:lang w:val="mk-MK" w:eastAsia="en-GB"/>
        </w:rPr>
        <w:t>составот на Управниот одбор во текот на 202</w:t>
      </w:r>
      <w:r w:rsidRPr="00EB77D6">
        <w:rPr>
          <w:rFonts w:ascii="Times New Roman" w:eastAsia="Times New Roman" w:hAnsi="Times New Roman"/>
          <w:color w:val="000000"/>
          <w:sz w:val="24"/>
          <w:szCs w:val="24"/>
          <w:lang w:eastAsia="en-GB"/>
        </w:rPr>
        <w:t>2</w:t>
      </w:r>
      <w:r w:rsidRPr="00EB77D6">
        <w:rPr>
          <w:rFonts w:ascii="Times New Roman" w:eastAsia="Times New Roman" w:hAnsi="Times New Roman"/>
          <w:color w:val="000000"/>
          <w:sz w:val="24"/>
          <w:szCs w:val="24"/>
          <w:lang w:val="mk-MK" w:eastAsia="en-GB"/>
        </w:rPr>
        <w:t xml:space="preserve"> година беше</w:t>
      </w:r>
      <w:r w:rsidRPr="00EB77D6">
        <w:rPr>
          <w:rFonts w:ascii="Times New Roman" w:eastAsia="Times New Roman" w:hAnsi="Times New Roman"/>
          <w:color w:val="000000"/>
          <w:sz w:val="24"/>
          <w:szCs w:val="24"/>
          <w:lang w:eastAsia="en-GB"/>
        </w:rPr>
        <w:t xml:space="preserve">: </w:t>
      </w:r>
    </w:p>
    <w:p w14:paraId="45BB9BB7" w14:textId="77777777" w:rsidR="001C5B17" w:rsidRPr="00EB77D6" w:rsidRDefault="001C5B17" w:rsidP="001C5B17">
      <w:pPr>
        <w:pStyle w:val="ListParagraph"/>
        <w:numPr>
          <w:ilvl w:val="0"/>
          <w:numId w:val="14"/>
        </w:numPr>
        <w:tabs>
          <w:tab w:val="left" w:pos="360"/>
        </w:tabs>
        <w:autoSpaceDE w:val="0"/>
        <w:autoSpaceDN w:val="0"/>
        <w:adjustRightInd w:val="0"/>
        <w:spacing w:before="120" w:after="120" w:line="276" w:lineRule="auto"/>
        <w:ind w:left="720"/>
        <w:contextualSpacing w:val="0"/>
        <w:jc w:val="both"/>
        <w:rPr>
          <w:color w:val="000000"/>
          <w:lang w:eastAsia="en-GB"/>
        </w:rPr>
      </w:pPr>
      <w:r w:rsidRPr="00EB77D6">
        <w:rPr>
          <w:lang w:val="mk-MK"/>
        </w:rPr>
        <w:t>Диомидис Николетопулос, Генерален извршен директор и претседател на Управниот одбор</w:t>
      </w:r>
      <w:r w:rsidRPr="00EB77D6">
        <w:rPr>
          <w:color w:val="000000"/>
          <w:lang w:eastAsia="en-GB"/>
        </w:rPr>
        <w:t>;</w:t>
      </w:r>
    </w:p>
    <w:p w14:paraId="4951843C" w14:textId="77777777" w:rsidR="001C5B17" w:rsidRPr="00EB77D6" w:rsidRDefault="001C5B17" w:rsidP="001C5B17">
      <w:pPr>
        <w:pStyle w:val="ListParagraph"/>
        <w:numPr>
          <w:ilvl w:val="0"/>
          <w:numId w:val="14"/>
        </w:numPr>
        <w:tabs>
          <w:tab w:val="left" w:pos="540"/>
        </w:tabs>
        <w:autoSpaceDE w:val="0"/>
        <w:autoSpaceDN w:val="0"/>
        <w:adjustRightInd w:val="0"/>
        <w:spacing w:before="120" w:after="120" w:line="276" w:lineRule="auto"/>
        <w:ind w:left="630"/>
        <w:contextualSpacing w:val="0"/>
        <w:jc w:val="both"/>
        <w:rPr>
          <w:color w:val="000000"/>
          <w:lang w:eastAsia="en-GB"/>
        </w:rPr>
      </w:pPr>
      <w:r w:rsidRPr="00EB77D6">
        <w:rPr>
          <w:color w:val="000000"/>
          <w:lang w:eastAsia="en-GB"/>
        </w:rPr>
        <w:t xml:space="preserve">  </w:t>
      </w:r>
      <w:r w:rsidRPr="00EB77D6">
        <w:rPr>
          <w:lang w:val="mk-MK"/>
        </w:rPr>
        <w:t>Тони Стојановски, Генерален директор за корпоративно банкарство и член на Управниот одбор</w:t>
      </w:r>
      <w:r w:rsidRPr="00EB77D6">
        <w:rPr>
          <w:rStyle w:val="FootnoteReference"/>
          <w:color w:val="000000"/>
          <w:lang w:eastAsia="en-GB"/>
        </w:rPr>
        <w:footnoteReference w:id="3"/>
      </w:r>
      <w:r w:rsidRPr="00EB77D6">
        <w:rPr>
          <w:lang w:val="mk-MK"/>
        </w:rPr>
        <w:t>;</w:t>
      </w:r>
      <w:r w:rsidRPr="00EB77D6">
        <w:rPr>
          <w:color w:val="000000"/>
          <w:lang w:val="mk-MK" w:eastAsia="en-GB"/>
        </w:rPr>
        <w:t xml:space="preserve"> </w:t>
      </w:r>
    </w:p>
    <w:p w14:paraId="574AD9F2" w14:textId="77777777" w:rsidR="001C5B17" w:rsidRPr="00EB77D6" w:rsidRDefault="001C5B17" w:rsidP="001C5B17">
      <w:pPr>
        <w:pStyle w:val="ListParagraph"/>
        <w:numPr>
          <w:ilvl w:val="0"/>
          <w:numId w:val="14"/>
        </w:numPr>
        <w:tabs>
          <w:tab w:val="left" w:pos="540"/>
        </w:tabs>
        <w:autoSpaceDE w:val="0"/>
        <w:autoSpaceDN w:val="0"/>
        <w:adjustRightInd w:val="0"/>
        <w:spacing w:before="120" w:after="120" w:line="276" w:lineRule="auto"/>
        <w:ind w:left="630"/>
        <w:contextualSpacing w:val="0"/>
        <w:jc w:val="both"/>
        <w:rPr>
          <w:color w:val="000000"/>
          <w:lang w:eastAsia="en-GB"/>
        </w:rPr>
      </w:pPr>
      <w:r w:rsidRPr="00EB77D6">
        <w:rPr>
          <w:color w:val="000000"/>
          <w:lang w:eastAsia="en-GB"/>
        </w:rPr>
        <w:t xml:space="preserve">  </w:t>
      </w:r>
      <w:r w:rsidRPr="00EB77D6">
        <w:rPr>
          <w:lang w:val="mk-MK"/>
        </w:rPr>
        <w:t>Милица Чапаровска-Јовановска, Генерален директор за банкарство на мало и член на Управниот одбор</w:t>
      </w:r>
      <w:r w:rsidRPr="00EB77D6">
        <w:rPr>
          <w:color w:val="000000"/>
          <w:lang w:eastAsia="en-GB"/>
        </w:rPr>
        <w:t>, и</w:t>
      </w:r>
    </w:p>
    <w:p w14:paraId="6D98052F" w14:textId="77777777" w:rsidR="001C5B17" w:rsidRPr="00EB77D6" w:rsidRDefault="001C5B17" w:rsidP="001C5B17">
      <w:pPr>
        <w:pStyle w:val="ListParagraph"/>
        <w:numPr>
          <w:ilvl w:val="0"/>
          <w:numId w:val="14"/>
        </w:numPr>
        <w:tabs>
          <w:tab w:val="left" w:pos="360"/>
        </w:tabs>
        <w:autoSpaceDE w:val="0"/>
        <w:autoSpaceDN w:val="0"/>
        <w:adjustRightInd w:val="0"/>
        <w:spacing w:before="120" w:after="120" w:line="276" w:lineRule="auto"/>
        <w:ind w:left="630"/>
        <w:contextualSpacing w:val="0"/>
        <w:jc w:val="both"/>
        <w:rPr>
          <w:color w:val="000000"/>
          <w:lang w:eastAsia="en-GB"/>
        </w:rPr>
      </w:pPr>
      <w:r w:rsidRPr="00EB77D6">
        <w:rPr>
          <w:color w:val="000000"/>
          <w:lang w:val="mk-MK" w:eastAsia="en-GB"/>
        </w:rPr>
        <w:t xml:space="preserve">Бојан Стојаноски, Генерален директор за управување со ризици и член на Управниот одбор. </w:t>
      </w:r>
    </w:p>
    <w:p w14:paraId="7C0BC7F8" w14:textId="77777777" w:rsidR="001C5B17" w:rsidRPr="00EB77D6" w:rsidRDefault="001C5B17" w:rsidP="001C5B17">
      <w:pPr>
        <w:spacing w:before="240"/>
        <w:ind w:firstLine="720"/>
        <w:jc w:val="both"/>
        <w:rPr>
          <w:rFonts w:ascii="Times New Roman" w:eastAsia="Times New Roman" w:hAnsi="Times New Roman"/>
          <w:sz w:val="24"/>
          <w:szCs w:val="24"/>
          <w:lang w:val="en-AU"/>
        </w:rPr>
      </w:pPr>
      <w:r w:rsidRPr="00EB77D6">
        <w:rPr>
          <w:rFonts w:ascii="Times New Roman" w:eastAsia="Times New Roman" w:hAnsi="Times New Roman"/>
          <w:color w:val="000000"/>
          <w:sz w:val="24"/>
          <w:szCs w:val="24"/>
          <w:lang w:val="mk-MK" w:eastAsia="en-GB"/>
        </w:rPr>
        <w:t xml:space="preserve">Членовите на Управниот одбор на СБ, освен условите утврдени со Законот за банки, имаат солидно искуство во СБ и во банкарскиот сектор на повисоки позиции </w:t>
      </w:r>
      <w:r w:rsidRPr="00EB77D6">
        <w:rPr>
          <w:rFonts w:ascii="Times New Roman" w:eastAsia="Times New Roman" w:hAnsi="Times New Roman"/>
          <w:sz w:val="24"/>
          <w:szCs w:val="24"/>
          <w:lang w:val="mk-MK"/>
        </w:rPr>
        <w:t>и стручно познавање на работата и на банкарската регулатива.</w:t>
      </w:r>
      <w:r w:rsidRPr="00EB77D6">
        <w:rPr>
          <w:rFonts w:ascii="Times New Roman" w:eastAsia="Times New Roman" w:hAnsi="Times New Roman"/>
          <w:sz w:val="24"/>
          <w:szCs w:val="24"/>
          <w:lang w:val="en-AU"/>
        </w:rPr>
        <w:t xml:space="preserve"> </w:t>
      </w:r>
    </w:p>
    <w:p w14:paraId="6B036483" w14:textId="77777777" w:rsidR="001C5B17" w:rsidRPr="00EB77D6" w:rsidRDefault="001C5B17" w:rsidP="001C5B17">
      <w:pPr>
        <w:spacing w:before="240"/>
        <w:ind w:firstLine="720"/>
        <w:jc w:val="both"/>
        <w:rPr>
          <w:rFonts w:ascii="Times New Roman" w:eastAsia="Times New Roman" w:hAnsi="Times New Roman"/>
          <w:sz w:val="24"/>
          <w:szCs w:val="24"/>
          <w:lang w:val="en-AU"/>
        </w:rPr>
      </w:pPr>
      <w:r w:rsidRPr="00EB77D6">
        <w:rPr>
          <w:rFonts w:ascii="Times New Roman" w:eastAsia="Times New Roman" w:hAnsi="Times New Roman"/>
          <w:color w:val="000000"/>
          <w:sz w:val="24"/>
          <w:szCs w:val="24"/>
          <w:lang w:val="mk-MK" w:eastAsia="en-GB"/>
        </w:rPr>
        <w:t>Одговорностите на Управниот Одбор се следните</w:t>
      </w:r>
      <w:r w:rsidRPr="00EB77D6">
        <w:rPr>
          <w:rFonts w:ascii="Times New Roman" w:eastAsia="Times New Roman" w:hAnsi="Times New Roman"/>
          <w:color w:val="000000"/>
          <w:sz w:val="24"/>
          <w:szCs w:val="24"/>
          <w:lang w:eastAsia="en-GB"/>
        </w:rPr>
        <w:t>:</w:t>
      </w:r>
    </w:p>
    <w:p w14:paraId="7C33D352" w14:textId="77777777" w:rsidR="001C5B17" w:rsidRPr="00EB77D6" w:rsidRDefault="001C5B17" w:rsidP="001C5B17">
      <w:pPr>
        <w:pStyle w:val="ListParagraph"/>
        <w:numPr>
          <w:ilvl w:val="0"/>
          <w:numId w:val="21"/>
        </w:numPr>
        <w:autoSpaceDE w:val="0"/>
        <w:autoSpaceDN w:val="0"/>
        <w:adjustRightInd w:val="0"/>
        <w:spacing w:line="276" w:lineRule="auto"/>
        <w:ind w:left="1080"/>
        <w:jc w:val="both"/>
        <w:rPr>
          <w:lang w:val="en-GB" w:eastAsia="en-GB"/>
        </w:rPr>
      </w:pPr>
      <w:r w:rsidRPr="00EB77D6">
        <w:rPr>
          <w:color w:val="000000"/>
          <w:lang w:val="mk-MK" w:eastAsia="en-GB"/>
        </w:rPr>
        <w:t>Управување со СБ</w:t>
      </w:r>
      <w:r w:rsidRPr="00EB77D6">
        <w:rPr>
          <w:lang w:val="en-GB" w:eastAsia="en-GB"/>
        </w:rPr>
        <w:t>;</w:t>
      </w:r>
    </w:p>
    <w:p w14:paraId="6B3EF9FB" w14:textId="77777777" w:rsidR="001C5B17" w:rsidRPr="00EB77D6" w:rsidRDefault="001C5B17" w:rsidP="001C5B17">
      <w:pPr>
        <w:pStyle w:val="ListParagraph"/>
        <w:numPr>
          <w:ilvl w:val="0"/>
          <w:numId w:val="21"/>
        </w:numPr>
        <w:autoSpaceDE w:val="0"/>
        <w:autoSpaceDN w:val="0"/>
        <w:adjustRightInd w:val="0"/>
        <w:spacing w:line="276" w:lineRule="auto"/>
        <w:ind w:left="1080"/>
        <w:jc w:val="both"/>
        <w:rPr>
          <w:lang w:val="en-GB" w:eastAsia="en-GB"/>
        </w:rPr>
      </w:pPr>
      <w:r w:rsidRPr="00EB77D6">
        <w:rPr>
          <w:color w:val="000000"/>
          <w:lang w:val="mk-MK" w:eastAsia="en-GB"/>
        </w:rPr>
        <w:t>Претставување на СБ</w:t>
      </w:r>
      <w:r w:rsidRPr="00EB77D6">
        <w:rPr>
          <w:lang w:val="en-GB" w:eastAsia="en-GB"/>
        </w:rPr>
        <w:t>;</w:t>
      </w:r>
    </w:p>
    <w:p w14:paraId="6A090280" w14:textId="77777777" w:rsidR="001C5B17" w:rsidRPr="00EB77D6" w:rsidRDefault="001C5B17" w:rsidP="001C5B17">
      <w:pPr>
        <w:pStyle w:val="ListParagraph"/>
        <w:numPr>
          <w:ilvl w:val="0"/>
          <w:numId w:val="21"/>
        </w:numPr>
        <w:autoSpaceDE w:val="0"/>
        <w:autoSpaceDN w:val="0"/>
        <w:adjustRightInd w:val="0"/>
        <w:spacing w:line="276" w:lineRule="auto"/>
        <w:ind w:left="1080"/>
        <w:jc w:val="both"/>
        <w:rPr>
          <w:lang w:val="en-GB" w:eastAsia="en-GB"/>
        </w:rPr>
      </w:pPr>
      <w:r w:rsidRPr="00EB77D6">
        <w:rPr>
          <w:color w:val="000000"/>
          <w:lang w:val="mk-MK" w:eastAsia="en-GB"/>
        </w:rPr>
        <w:t>Извршување на одлуките на Собранието на акционери и Надзорниот одбор на СБ, односно грижа за нивното спроведување</w:t>
      </w:r>
      <w:r w:rsidRPr="00EB77D6">
        <w:rPr>
          <w:lang w:val="en-GB" w:eastAsia="en-GB"/>
        </w:rPr>
        <w:t>;</w:t>
      </w:r>
    </w:p>
    <w:p w14:paraId="76B1CD20" w14:textId="77777777" w:rsidR="001C5B17" w:rsidRPr="00EB77D6" w:rsidRDefault="001C5B17" w:rsidP="001C5B17">
      <w:pPr>
        <w:pStyle w:val="ListParagraph"/>
        <w:numPr>
          <w:ilvl w:val="0"/>
          <w:numId w:val="21"/>
        </w:numPr>
        <w:autoSpaceDE w:val="0"/>
        <w:autoSpaceDN w:val="0"/>
        <w:adjustRightInd w:val="0"/>
        <w:spacing w:line="276" w:lineRule="auto"/>
        <w:ind w:left="1080"/>
        <w:jc w:val="both"/>
        <w:rPr>
          <w:lang w:val="en-GB" w:eastAsia="en-GB"/>
        </w:rPr>
      </w:pPr>
      <w:r w:rsidRPr="00EB77D6">
        <w:rPr>
          <w:color w:val="000000"/>
          <w:lang w:val="mk-MK" w:eastAsia="en-GB"/>
        </w:rPr>
        <w:t>Покренување иницијативи и давање предлози за промовирање на работењето на СБ</w:t>
      </w:r>
      <w:r w:rsidRPr="00EB77D6">
        <w:rPr>
          <w:lang w:val="en-GB" w:eastAsia="en-GB"/>
        </w:rPr>
        <w:t>;</w:t>
      </w:r>
    </w:p>
    <w:p w14:paraId="1E1742A8" w14:textId="77777777" w:rsidR="001C5B17" w:rsidRPr="00EB77D6" w:rsidRDefault="001C5B17" w:rsidP="001C5B17">
      <w:pPr>
        <w:pStyle w:val="ListParagraph"/>
        <w:numPr>
          <w:ilvl w:val="0"/>
          <w:numId w:val="21"/>
        </w:numPr>
        <w:autoSpaceDE w:val="0"/>
        <w:autoSpaceDN w:val="0"/>
        <w:adjustRightInd w:val="0"/>
        <w:spacing w:line="276" w:lineRule="auto"/>
        <w:ind w:left="1080"/>
        <w:jc w:val="both"/>
        <w:rPr>
          <w:lang w:val="en-GB" w:eastAsia="en-GB"/>
        </w:rPr>
      </w:pPr>
      <w:r w:rsidRPr="00EB77D6">
        <w:rPr>
          <w:color w:val="000000"/>
          <w:lang w:val="mk-MK" w:eastAsia="en-GB"/>
        </w:rPr>
        <w:t>Именување и разрешување на лицата со посебни права и одговорности, во согласност со одредбите од Законот за банки и Статутот на СБ</w:t>
      </w:r>
      <w:r w:rsidRPr="00EB77D6">
        <w:rPr>
          <w:lang w:val="en-GB" w:eastAsia="en-GB"/>
        </w:rPr>
        <w:t>;</w:t>
      </w:r>
    </w:p>
    <w:p w14:paraId="7D64EE96" w14:textId="77777777" w:rsidR="001C5B17" w:rsidRPr="00EB77D6" w:rsidRDefault="001C5B17" w:rsidP="001C5B17">
      <w:pPr>
        <w:pStyle w:val="ListParagraph"/>
        <w:numPr>
          <w:ilvl w:val="0"/>
          <w:numId w:val="21"/>
        </w:numPr>
        <w:autoSpaceDE w:val="0"/>
        <w:autoSpaceDN w:val="0"/>
        <w:adjustRightInd w:val="0"/>
        <w:spacing w:line="276" w:lineRule="auto"/>
        <w:ind w:left="1080"/>
        <w:jc w:val="both"/>
        <w:rPr>
          <w:lang w:val="en-GB" w:eastAsia="en-GB"/>
        </w:rPr>
      </w:pPr>
      <w:r w:rsidRPr="00EB77D6">
        <w:rPr>
          <w:color w:val="000000"/>
          <w:lang w:val="mk-MK" w:eastAsia="en-GB"/>
        </w:rPr>
        <w:t>Изготвување на деловна политика и развоен план на СБ</w:t>
      </w:r>
      <w:r w:rsidRPr="00EB77D6">
        <w:rPr>
          <w:lang w:val="en-GB" w:eastAsia="en-GB"/>
        </w:rPr>
        <w:t>;</w:t>
      </w:r>
    </w:p>
    <w:p w14:paraId="2421DC3E" w14:textId="77777777" w:rsidR="001C5B17" w:rsidRPr="00EB77D6" w:rsidRDefault="001C5B17" w:rsidP="001C5B17">
      <w:pPr>
        <w:pStyle w:val="ListParagraph"/>
        <w:numPr>
          <w:ilvl w:val="0"/>
          <w:numId w:val="21"/>
        </w:numPr>
        <w:autoSpaceDE w:val="0"/>
        <w:autoSpaceDN w:val="0"/>
        <w:adjustRightInd w:val="0"/>
        <w:spacing w:line="276" w:lineRule="auto"/>
        <w:ind w:left="1080"/>
        <w:jc w:val="both"/>
        <w:rPr>
          <w:lang w:val="en-GB" w:eastAsia="en-GB"/>
        </w:rPr>
      </w:pPr>
      <w:r w:rsidRPr="00EB77D6">
        <w:rPr>
          <w:color w:val="000000"/>
          <w:lang w:val="mk-MK" w:eastAsia="en-GB"/>
        </w:rPr>
        <w:t>Изготвување на финансиски план / буџет на СБ</w:t>
      </w:r>
      <w:r w:rsidRPr="00EB77D6">
        <w:rPr>
          <w:lang w:val="en-GB" w:eastAsia="en-GB"/>
        </w:rPr>
        <w:t xml:space="preserve">; </w:t>
      </w:r>
    </w:p>
    <w:p w14:paraId="420AF1CB" w14:textId="77777777" w:rsidR="001C5B17" w:rsidRPr="00EB77D6" w:rsidRDefault="001C5B17" w:rsidP="001C5B17">
      <w:pPr>
        <w:pStyle w:val="ListParagraph"/>
        <w:numPr>
          <w:ilvl w:val="0"/>
          <w:numId w:val="21"/>
        </w:numPr>
        <w:autoSpaceDE w:val="0"/>
        <w:autoSpaceDN w:val="0"/>
        <w:adjustRightInd w:val="0"/>
        <w:spacing w:line="276" w:lineRule="auto"/>
        <w:ind w:left="1080"/>
        <w:jc w:val="both"/>
        <w:rPr>
          <w:lang w:val="en-GB" w:eastAsia="en-GB"/>
        </w:rPr>
      </w:pPr>
      <w:r w:rsidRPr="00EB77D6">
        <w:rPr>
          <w:color w:val="000000"/>
          <w:lang w:val="mk-MK" w:eastAsia="en-GB"/>
        </w:rPr>
        <w:t>Изготвување на Политика за информативна сигурност на СБ</w:t>
      </w:r>
      <w:r w:rsidRPr="00EB77D6">
        <w:rPr>
          <w:lang w:val="en-GB" w:eastAsia="en-GB"/>
        </w:rPr>
        <w:t>;</w:t>
      </w:r>
    </w:p>
    <w:p w14:paraId="38EAC639" w14:textId="77777777" w:rsidR="001C5B17" w:rsidRPr="00EB77D6" w:rsidRDefault="001C5B17" w:rsidP="001C5B17">
      <w:pPr>
        <w:pStyle w:val="ListParagraph"/>
        <w:numPr>
          <w:ilvl w:val="0"/>
          <w:numId w:val="21"/>
        </w:numPr>
        <w:autoSpaceDE w:val="0"/>
        <w:autoSpaceDN w:val="0"/>
        <w:adjustRightInd w:val="0"/>
        <w:spacing w:line="276" w:lineRule="auto"/>
        <w:ind w:left="1080"/>
        <w:jc w:val="both"/>
        <w:rPr>
          <w:lang w:val="en-GB" w:eastAsia="en-GB"/>
        </w:rPr>
      </w:pPr>
      <w:r w:rsidRPr="00EB77D6">
        <w:rPr>
          <w:color w:val="000000"/>
          <w:lang w:val="mk-MK" w:eastAsia="en-GB"/>
        </w:rPr>
        <w:lastRenderedPageBreak/>
        <w:t>Изготвување на Годишен извештај за работењето на СБ и негово доставување до Надзорниот одбор</w:t>
      </w:r>
      <w:r w:rsidRPr="00EB77D6">
        <w:rPr>
          <w:lang w:val="en-GB" w:eastAsia="en-GB"/>
        </w:rPr>
        <w:t>;</w:t>
      </w:r>
    </w:p>
    <w:p w14:paraId="21C34B81" w14:textId="77777777" w:rsidR="001C5B17" w:rsidRPr="00EB77D6" w:rsidRDefault="001C5B17" w:rsidP="001C5B17">
      <w:pPr>
        <w:pStyle w:val="ListParagraph"/>
        <w:numPr>
          <w:ilvl w:val="0"/>
          <w:numId w:val="21"/>
        </w:numPr>
        <w:autoSpaceDE w:val="0"/>
        <w:autoSpaceDN w:val="0"/>
        <w:adjustRightInd w:val="0"/>
        <w:spacing w:line="276" w:lineRule="auto"/>
        <w:ind w:left="1080"/>
        <w:jc w:val="both"/>
        <w:rPr>
          <w:lang w:val="en-GB" w:eastAsia="en-GB"/>
        </w:rPr>
      </w:pPr>
      <w:r w:rsidRPr="00EB77D6">
        <w:rPr>
          <w:color w:val="000000"/>
          <w:lang w:val="mk-MK" w:eastAsia="en-GB"/>
        </w:rPr>
        <w:t>Изготвување на Кодекс на етика на Банката</w:t>
      </w:r>
      <w:r w:rsidRPr="00EB77D6">
        <w:rPr>
          <w:lang w:val="en-GB" w:eastAsia="en-GB"/>
        </w:rPr>
        <w:t xml:space="preserve">; </w:t>
      </w:r>
    </w:p>
    <w:p w14:paraId="5C3462B0" w14:textId="77777777" w:rsidR="001C5B17" w:rsidRPr="00EB77D6" w:rsidRDefault="001C5B17" w:rsidP="001C5B17">
      <w:pPr>
        <w:pStyle w:val="ListParagraph"/>
        <w:numPr>
          <w:ilvl w:val="0"/>
          <w:numId w:val="21"/>
        </w:numPr>
        <w:autoSpaceDE w:val="0"/>
        <w:autoSpaceDN w:val="0"/>
        <w:adjustRightInd w:val="0"/>
        <w:spacing w:line="276" w:lineRule="auto"/>
        <w:ind w:left="1080"/>
        <w:jc w:val="both"/>
        <w:rPr>
          <w:lang w:val="en-GB" w:eastAsia="en-GB"/>
        </w:rPr>
      </w:pPr>
      <w:r w:rsidRPr="00EB77D6">
        <w:rPr>
          <w:color w:val="000000"/>
          <w:lang w:val="mk-MK" w:eastAsia="en-GB"/>
        </w:rPr>
        <w:t>Давање на претходна согласност и доставување на предлози за отпис на побарувања до Надзорниот одбор</w:t>
      </w:r>
      <w:r w:rsidRPr="00EB77D6">
        <w:rPr>
          <w:lang w:val="en-GB" w:eastAsia="en-GB"/>
        </w:rPr>
        <w:t>;</w:t>
      </w:r>
    </w:p>
    <w:p w14:paraId="60BAD712" w14:textId="77777777" w:rsidR="001C5B17" w:rsidRPr="00EB77D6" w:rsidRDefault="001C5B17" w:rsidP="001C5B17">
      <w:pPr>
        <w:pStyle w:val="ListParagraph"/>
        <w:numPr>
          <w:ilvl w:val="0"/>
          <w:numId w:val="21"/>
        </w:numPr>
        <w:autoSpaceDE w:val="0"/>
        <w:autoSpaceDN w:val="0"/>
        <w:adjustRightInd w:val="0"/>
        <w:spacing w:line="276" w:lineRule="auto"/>
        <w:ind w:left="1080"/>
        <w:jc w:val="both"/>
        <w:rPr>
          <w:lang w:val="en-GB" w:eastAsia="en-GB"/>
        </w:rPr>
      </w:pPr>
      <w:r w:rsidRPr="00EB77D6">
        <w:rPr>
          <w:color w:val="000000"/>
          <w:lang w:val="mk-MK" w:eastAsia="en-GB"/>
        </w:rPr>
        <w:t>Донесување одлука за продажба на побарувања; и</w:t>
      </w:r>
    </w:p>
    <w:p w14:paraId="7AD9C545" w14:textId="77777777" w:rsidR="001C5B17" w:rsidRPr="00EB77D6" w:rsidRDefault="001C5B17" w:rsidP="001C5B17">
      <w:pPr>
        <w:pStyle w:val="ListParagraph"/>
        <w:numPr>
          <w:ilvl w:val="0"/>
          <w:numId w:val="21"/>
        </w:numPr>
        <w:spacing w:line="276" w:lineRule="auto"/>
        <w:ind w:left="1080"/>
        <w:jc w:val="both"/>
      </w:pPr>
      <w:r w:rsidRPr="00EB77D6">
        <w:rPr>
          <w:color w:val="000000"/>
          <w:lang w:val="mk-MK" w:eastAsia="en-GB"/>
        </w:rPr>
        <w:t>Вршење на други активности во согласност со законот, Статутот и актите на СБ</w:t>
      </w:r>
      <w:r w:rsidRPr="00EB77D6">
        <w:t>.</w:t>
      </w:r>
    </w:p>
    <w:p w14:paraId="0F71F250" w14:textId="77777777" w:rsidR="001C5B17" w:rsidRPr="00EB77D6" w:rsidRDefault="001C5B17" w:rsidP="001C5B17">
      <w:pPr>
        <w:pStyle w:val="ListParagraph"/>
        <w:spacing w:line="276" w:lineRule="auto"/>
        <w:ind w:left="1260"/>
        <w:jc w:val="both"/>
      </w:pPr>
    </w:p>
    <w:p w14:paraId="21699F7C" w14:textId="77777777" w:rsidR="001C5B17" w:rsidRPr="00EB77D6" w:rsidRDefault="001C5B17" w:rsidP="001C5B17">
      <w:pPr>
        <w:pStyle w:val="BodyText"/>
        <w:spacing w:line="276" w:lineRule="auto"/>
        <w:jc w:val="both"/>
        <w:rPr>
          <w:color w:val="000000"/>
          <w:sz w:val="24"/>
          <w:szCs w:val="24"/>
          <w:lang w:val="mk-MK" w:eastAsia="en-GB"/>
        </w:rPr>
      </w:pPr>
      <w:r w:rsidRPr="00EB77D6">
        <w:rPr>
          <w:sz w:val="24"/>
          <w:szCs w:val="24"/>
        </w:rPr>
        <w:tab/>
      </w:r>
      <w:r w:rsidRPr="00EB77D6">
        <w:rPr>
          <w:color w:val="000000"/>
          <w:sz w:val="24"/>
          <w:szCs w:val="24"/>
          <w:lang w:val="mk-MK" w:eastAsia="en-GB"/>
        </w:rPr>
        <w:t>Со цел за помош на Управниот одбор во извршување на деловниот план на Банката, СБ има формирано Извршен одбор кој покрај генералните директори ги вклучува и</w:t>
      </w:r>
      <w:r w:rsidRPr="00EB77D6">
        <w:rPr>
          <w:color w:val="000000"/>
          <w:sz w:val="24"/>
          <w:szCs w:val="24"/>
          <w:lang w:val="en-US" w:eastAsia="en-GB"/>
        </w:rPr>
        <w:t>:</w:t>
      </w:r>
      <w:r w:rsidRPr="00EB77D6">
        <w:rPr>
          <w:color w:val="000000"/>
          <w:sz w:val="24"/>
          <w:szCs w:val="24"/>
          <w:lang w:val="mk-MK" w:eastAsia="en-GB"/>
        </w:rPr>
        <w:t xml:space="preserve"> </w:t>
      </w:r>
    </w:p>
    <w:p w14:paraId="6C182944" w14:textId="77777777" w:rsidR="001C5B17" w:rsidRPr="00EB77D6" w:rsidRDefault="001C5B17" w:rsidP="001C5B17">
      <w:pPr>
        <w:pStyle w:val="BodyText"/>
        <w:numPr>
          <w:ilvl w:val="0"/>
          <w:numId w:val="23"/>
        </w:numPr>
        <w:spacing w:line="276" w:lineRule="auto"/>
        <w:jc w:val="both"/>
        <w:rPr>
          <w:sz w:val="24"/>
          <w:szCs w:val="24"/>
          <w:lang w:val="mk-MK"/>
        </w:rPr>
      </w:pPr>
      <w:r w:rsidRPr="00EB77D6">
        <w:rPr>
          <w:color w:val="000000"/>
          <w:sz w:val="24"/>
          <w:szCs w:val="24"/>
          <w:lang w:val="mk-MK" w:eastAsia="en-GB"/>
        </w:rPr>
        <w:t xml:space="preserve">Сениор директорот за ликвидност и финансии (Мирјана Трајановска),  </w:t>
      </w:r>
    </w:p>
    <w:p w14:paraId="75F41202" w14:textId="77777777" w:rsidR="001C5B17" w:rsidRPr="00EB77D6" w:rsidRDefault="001C5B17" w:rsidP="001C5B17">
      <w:pPr>
        <w:pStyle w:val="BodyText"/>
        <w:numPr>
          <w:ilvl w:val="0"/>
          <w:numId w:val="23"/>
        </w:numPr>
        <w:spacing w:line="276" w:lineRule="auto"/>
        <w:jc w:val="both"/>
        <w:rPr>
          <w:sz w:val="24"/>
          <w:szCs w:val="24"/>
          <w:lang w:val="mk-MK"/>
        </w:rPr>
      </w:pPr>
      <w:r w:rsidRPr="00EB77D6">
        <w:rPr>
          <w:color w:val="000000"/>
          <w:sz w:val="24"/>
          <w:szCs w:val="24"/>
          <w:lang w:val="mk-MK" w:eastAsia="en-GB"/>
        </w:rPr>
        <w:t>Сениор директорот за оперативни активности (Радмила Максимовиќ)</w:t>
      </w:r>
      <w:r w:rsidRPr="00EB77D6">
        <w:rPr>
          <w:sz w:val="24"/>
          <w:szCs w:val="24"/>
        </w:rPr>
        <w:t xml:space="preserve">, </w:t>
      </w:r>
    </w:p>
    <w:p w14:paraId="2F63BDC1" w14:textId="77777777" w:rsidR="001C5B17" w:rsidRPr="00EB77D6" w:rsidRDefault="001C5B17" w:rsidP="001C5B17">
      <w:pPr>
        <w:pStyle w:val="BodyText"/>
        <w:numPr>
          <w:ilvl w:val="0"/>
          <w:numId w:val="23"/>
        </w:numPr>
        <w:spacing w:line="276" w:lineRule="auto"/>
        <w:jc w:val="both"/>
        <w:rPr>
          <w:sz w:val="24"/>
          <w:szCs w:val="24"/>
          <w:lang w:val="mk-MK"/>
        </w:rPr>
      </w:pPr>
      <w:r w:rsidRPr="00EB77D6">
        <w:rPr>
          <w:sz w:val="24"/>
          <w:szCs w:val="24"/>
          <w:lang w:val="mk-MK"/>
        </w:rPr>
        <w:t>Сениор директорот за корпоративно банкарство</w:t>
      </w:r>
      <w:r w:rsidRPr="00EB77D6">
        <w:rPr>
          <w:sz w:val="24"/>
          <w:szCs w:val="24"/>
        </w:rPr>
        <w:t xml:space="preserve"> (</w:t>
      </w:r>
      <w:r w:rsidRPr="00EB77D6">
        <w:rPr>
          <w:sz w:val="24"/>
          <w:szCs w:val="24"/>
          <w:lang w:val="mk-MK"/>
        </w:rPr>
        <w:t>Владо Тренески</w:t>
      </w:r>
      <w:r w:rsidRPr="00EB77D6">
        <w:rPr>
          <w:sz w:val="24"/>
          <w:szCs w:val="24"/>
        </w:rPr>
        <w:t xml:space="preserve">), </w:t>
      </w:r>
    </w:p>
    <w:p w14:paraId="207365AA" w14:textId="77777777" w:rsidR="001C5B17" w:rsidRPr="00EB77D6" w:rsidRDefault="001C5B17" w:rsidP="001C5B17">
      <w:pPr>
        <w:pStyle w:val="BodyText"/>
        <w:numPr>
          <w:ilvl w:val="0"/>
          <w:numId w:val="23"/>
        </w:numPr>
        <w:spacing w:line="276" w:lineRule="auto"/>
        <w:jc w:val="both"/>
        <w:rPr>
          <w:sz w:val="24"/>
          <w:szCs w:val="24"/>
          <w:lang w:val="mk-MK"/>
        </w:rPr>
      </w:pPr>
      <w:r w:rsidRPr="00EB77D6">
        <w:rPr>
          <w:sz w:val="24"/>
          <w:szCs w:val="24"/>
          <w:lang w:val="mk-MK"/>
        </w:rPr>
        <w:t>Сениор директорот за продажба и мрежа на филијали</w:t>
      </w:r>
      <w:r w:rsidRPr="00EB77D6">
        <w:rPr>
          <w:sz w:val="24"/>
          <w:szCs w:val="24"/>
        </w:rPr>
        <w:t xml:space="preserve"> (</w:t>
      </w:r>
      <w:r w:rsidRPr="00EB77D6">
        <w:rPr>
          <w:sz w:val="24"/>
          <w:szCs w:val="24"/>
          <w:lang w:val="mk-MK"/>
        </w:rPr>
        <w:t>Татјана Калајџиева</w:t>
      </w:r>
      <w:r w:rsidRPr="00EB77D6">
        <w:rPr>
          <w:sz w:val="24"/>
          <w:szCs w:val="24"/>
        </w:rPr>
        <w:t xml:space="preserve">) и </w:t>
      </w:r>
    </w:p>
    <w:p w14:paraId="060FE85A" w14:textId="77777777" w:rsidR="001C5B17" w:rsidRPr="00EB77D6" w:rsidRDefault="001C5B17" w:rsidP="001C5B17">
      <w:pPr>
        <w:pStyle w:val="BodyText"/>
        <w:numPr>
          <w:ilvl w:val="0"/>
          <w:numId w:val="23"/>
        </w:numPr>
        <w:spacing w:line="276" w:lineRule="auto"/>
        <w:jc w:val="both"/>
        <w:rPr>
          <w:sz w:val="24"/>
          <w:szCs w:val="24"/>
          <w:lang w:val="mk-MK"/>
        </w:rPr>
      </w:pPr>
      <w:r w:rsidRPr="00EB77D6">
        <w:rPr>
          <w:sz w:val="24"/>
          <w:szCs w:val="24"/>
        </w:rPr>
        <w:t>Сениор директор за кредитен ризик (Илиас Пападопулос).</w:t>
      </w:r>
    </w:p>
    <w:p w14:paraId="2B518403" w14:textId="77777777" w:rsidR="001C5B17" w:rsidRPr="00EB77D6" w:rsidRDefault="001C5B17" w:rsidP="001C5B17">
      <w:pPr>
        <w:pStyle w:val="BodyText"/>
        <w:ind w:left="810"/>
        <w:jc w:val="both"/>
        <w:rPr>
          <w:sz w:val="24"/>
          <w:szCs w:val="24"/>
        </w:rPr>
      </w:pPr>
    </w:p>
    <w:p w14:paraId="71422D38" w14:textId="77777777" w:rsidR="001C5B17" w:rsidRPr="00EB77D6" w:rsidRDefault="001C5B17" w:rsidP="001C5B17">
      <w:pPr>
        <w:pStyle w:val="BodyText"/>
        <w:ind w:left="810"/>
        <w:jc w:val="both"/>
        <w:rPr>
          <w:b/>
          <w:sz w:val="24"/>
          <w:szCs w:val="24"/>
        </w:rPr>
      </w:pPr>
      <w:r w:rsidRPr="00EB77D6">
        <w:rPr>
          <w:b/>
          <w:sz w:val="24"/>
          <w:szCs w:val="24"/>
        </w:rPr>
        <w:t xml:space="preserve">1.4. </w:t>
      </w:r>
      <w:r w:rsidRPr="00EB77D6">
        <w:rPr>
          <w:b/>
          <w:bCs/>
          <w:color w:val="000000"/>
          <w:sz w:val="24"/>
          <w:szCs w:val="24"/>
          <w:lang w:val="mk-MK" w:eastAsia="en-GB"/>
        </w:rPr>
        <w:t>КРЕДИТНИ ОДБОРИ</w:t>
      </w:r>
    </w:p>
    <w:p w14:paraId="12CDBE26" w14:textId="77777777" w:rsidR="001C5B17" w:rsidRPr="00EB77D6" w:rsidRDefault="001C5B17" w:rsidP="001C5B17">
      <w:pPr>
        <w:autoSpaceDE w:val="0"/>
        <w:autoSpaceDN w:val="0"/>
        <w:adjustRightInd w:val="0"/>
        <w:spacing w:after="0" w:line="240" w:lineRule="auto"/>
        <w:ind w:firstLine="720"/>
        <w:jc w:val="both"/>
        <w:rPr>
          <w:rFonts w:ascii="Times New Roman" w:eastAsia="Times New Roman" w:hAnsi="Times New Roman"/>
          <w:color w:val="000000"/>
          <w:sz w:val="24"/>
          <w:szCs w:val="24"/>
          <w:lang w:eastAsia="en-GB"/>
        </w:rPr>
      </w:pPr>
      <w:r w:rsidRPr="00EB77D6">
        <w:rPr>
          <w:rFonts w:ascii="Times New Roman" w:eastAsia="Times New Roman" w:hAnsi="Times New Roman"/>
          <w:color w:val="000000"/>
          <w:sz w:val="24"/>
          <w:szCs w:val="24"/>
          <w:lang w:val="mk-MK" w:eastAsia="en-GB"/>
        </w:rPr>
        <w:t>Други тела на СБ, утврдени со Статутот, се кредитните одбори со следните структура и овластувања со состојба на 31 декември 2022 година</w:t>
      </w:r>
      <w:r w:rsidRPr="00EB77D6">
        <w:rPr>
          <w:rFonts w:ascii="Times New Roman" w:eastAsia="Times New Roman" w:hAnsi="Times New Roman"/>
          <w:color w:val="000000"/>
          <w:sz w:val="24"/>
          <w:szCs w:val="24"/>
          <w:lang w:eastAsia="en-GB"/>
        </w:rPr>
        <w:t xml:space="preserve">: </w:t>
      </w:r>
    </w:p>
    <w:p w14:paraId="7A047491" w14:textId="77777777" w:rsidR="001C5B17" w:rsidRPr="00EB77D6" w:rsidRDefault="001C5B17" w:rsidP="001C5B17">
      <w:pPr>
        <w:autoSpaceDE w:val="0"/>
        <w:autoSpaceDN w:val="0"/>
        <w:adjustRightInd w:val="0"/>
        <w:spacing w:after="0" w:line="240" w:lineRule="auto"/>
        <w:ind w:firstLine="720"/>
        <w:jc w:val="both"/>
        <w:rPr>
          <w:rFonts w:ascii="Times New Roman" w:eastAsia="Times New Roman" w:hAnsi="Times New Roman"/>
          <w:color w:val="000000"/>
          <w:sz w:val="24"/>
          <w:szCs w:val="24"/>
          <w:lang w:eastAsia="en-GB"/>
        </w:rPr>
      </w:pPr>
    </w:p>
    <w:p w14:paraId="17F8EACB" w14:textId="77777777" w:rsidR="001C5B17" w:rsidRPr="00EB77D6" w:rsidRDefault="001C5B17" w:rsidP="001C5B17">
      <w:pPr>
        <w:pStyle w:val="BodyText"/>
        <w:ind w:left="540"/>
        <w:rPr>
          <w:sz w:val="24"/>
          <w:szCs w:val="24"/>
          <w:lang w:val="en-US"/>
        </w:rPr>
      </w:pPr>
      <w:r w:rsidRPr="00EB77D6">
        <w:rPr>
          <w:b/>
          <w:sz w:val="24"/>
          <w:szCs w:val="24"/>
          <w:lang w:val="mk-MK"/>
        </w:rPr>
        <w:t xml:space="preserve">1. </w:t>
      </w:r>
      <w:r w:rsidRPr="00EB77D6">
        <w:rPr>
          <w:b/>
          <w:sz w:val="24"/>
          <w:szCs w:val="24"/>
          <w:u w:val="single"/>
          <w:lang w:val="mk-MK"/>
        </w:rPr>
        <w:t>Извршен корпоративен кредитен одбор (ИККО)</w:t>
      </w:r>
      <w:r w:rsidRPr="00EB77D6">
        <w:rPr>
          <w:sz w:val="24"/>
          <w:szCs w:val="24"/>
          <w:u w:val="single"/>
          <w:lang w:val="mk-MK"/>
        </w:rPr>
        <w:t xml:space="preserve">: </w:t>
      </w:r>
      <w:r w:rsidRPr="00EB77D6">
        <w:rPr>
          <w:sz w:val="24"/>
          <w:szCs w:val="24"/>
          <w:lang w:val="mk-MK"/>
        </w:rPr>
        <w:t>се состои од 6 членови и тоа</w:t>
      </w:r>
      <w:r w:rsidRPr="00EB77D6">
        <w:rPr>
          <w:sz w:val="24"/>
          <w:szCs w:val="24"/>
          <w:lang w:val="en-US"/>
        </w:rPr>
        <w:t>:</w:t>
      </w:r>
    </w:p>
    <w:p w14:paraId="43543AFF" w14:textId="77777777" w:rsidR="001C5B17" w:rsidRPr="00EB77D6" w:rsidRDefault="001C5B17" w:rsidP="001C5B17">
      <w:pPr>
        <w:pStyle w:val="BodyText2"/>
        <w:numPr>
          <w:ilvl w:val="0"/>
          <w:numId w:val="26"/>
        </w:numPr>
        <w:spacing w:before="120" w:after="120"/>
        <w:ind w:left="1170"/>
        <w:jc w:val="both"/>
        <w:rPr>
          <w:rFonts w:ascii="Times New Roman" w:hAnsi="Times New Roman"/>
          <w:szCs w:val="24"/>
          <w:lang w:val="en-GB"/>
        </w:rPr>
      </w:pPr>
      <w:r w:rsidRPr="00EB77D6">
        <w:rPr>
          <w:rFonts w:ascii="Times New Roman" w:hAnsi="Times New Roman"/>
          <w:szCs w:val="24"/>
          <w:lang w:val="mk-MK"/>
        </w:rPr>
        <w:t>Диомидис Николетопулос - Генерален извршен директор и претседател на Управниот одбор на СБ, претседател</w:t>
      </w:r>
    </w:p>
    <w:p w14:paraId="11682CE5" w14:textId="77777777" w:rsidR="001C5B17" w:rsidRPr="00EB77D6" w:rsidRDefault="001C5B17" w:rsidP="001C5B17">
      <w:pPr>
        <w:pStyle w:val="BodyText2"/>
        <w:numPr>
          <w:ilvl w:val="0"/>
          <w:numId w:val="26"/>
        </w:numPr>
        <w:spacing w:before="120" w:after="120"/>
        <w:ind w:left="1170"/>
        <w:jc w:val="both"/>
        <w:rPr>
          <w:rFonts w:ascii="Times New Roman" w:hAnsi="Times New Roman"/>
          <w:szCs w:val="24"/>
          <w:lang w:val="en-GB"/>
        </w:rPr>
      </w:pPr>
      <w:r w:rsidRPr="00EB77D6">
        <w:rPr>
          <w:rFonts w:ascii="Times New Roman" w:hAnsi="Times New Roman"/>
          <w:szCs w:val="24"/>
          <w:lang w:val="mk-MK"/>
        </w:rPr>
        <w:t>Јанис Кајулис - Извршен член НБГ Групацијата</w:t>
      </w:r>
      <w:r w:rsidRPr="00EB77D6">
        <w:rPr>
          <w:rFonts w:ascii="Times New Roman" w:hAnsi="Times New Roman"/>
          <w:szCs w:val="24"/>
          <w:lang w:val="en-GB"/>
        </w:rPr>
        <w:t xml:space="preserve"> </w:t>
      </w:r>
      <w:r w:rsidRPr="00EB77D6">
        <w:rPr>
          <w:rFonts w:ascii="Times New Roman" w:hAnsi="Times New Roman"/>
          <w:szCs w:val="24"/>
          <w:lang w:val="mk-MK"/>
        </w:rPr>
        <w:t>назначен од</w:t>
      </w:r>
      <w:r w:rsidRPr="00EB77D6">
        <w:rPr>
          <w:rFonts w:ascii="Times New Roman" w:hAnsi="Times New Roman"/>
          <w:szCs w:val="24"/>
          <w:lang w:val="en-GB"/>
        </w:rPr>
        <w:t xml:space="preserve"> </w:t>
      </w:r>
      <w:r w:rsidRPr="00EB77D6">
        <w:rPr>
          <w:rFonts w:ascii="Times New Roman" w:hAnsi="Times New Roman"/>
          <w:szCs w:val="24"/>
          <w:lang w:val="mk-MK"/>
        </w:rPr>
        <w:t>Генералниот директор за кредититен ризик на НБГ Групацијата</w:t>
      </w:r>
      <w:r w:rsidRPr="00EB77D6">
        <w:rPr>
          <w:rFonts w:ascii="Times New Roman" w:hAnsi="Times New Roman"/>
          <w:szCs w:val="24"/>
          <w:lang w:val="en-GB"/>
        </w:rPr>
        <w:t xml:space="preserve">, </w:t>
      </w:r>
      <w:r w:rsidRPr="00EB77D6">
        <w:rPr>
          <w:rFonts w:ascii="Times New Roman" w:hAnsi="Times New Roman"/>
          <w:szCs w:val="24"/>
          <w:lang w:val="mk-MK"/>
        </w:rPr>
        <w:t>член</w:t>
      </w:r>
      <w:r w:rsidRPr="00EB77D6">
        <w:rPr>
          <w:rFonts w:ascii="Times New Roman" w:hAnsi="Times New Roman"/>
          <w:szCs w:val="24"/>
          <w:lang w:val="en-GB"/>
        </w:rPr>
        <w:t xml:space="preserve"> </w:t>
      </w:r>
    </w:p>
    <w:p w14:paraId="648F0204" w14:textId="77777777" w:rsidR="001C5B17" w:rsidRPr="00EB77D6" w:rsidRDefault="001C5B17" w:rsidP="001C5B17">
      <w:pPr>
        <w:pStyle w:val="BodyText2"/>
        <w:numPr>
          <w:ilvl w:val="0"/>
          <w:numId w:val="26"/>
        </w:numPr>
        <w:spacing w:before="120" w:after="120"/>
        <w:ind w:left="1170"/>
        <w:jc w:val="both"/>
        <w:rPr>
          <w:rFonts w:ascii="Times New Roman" w:hAnsi="Times New Roman"/>
          <w:szCs w:val="24"/>
          <w:lang w:val="en-GB"/>
        </w:rPr>
      </w:pPr>
      <w:r w:rsidRPr="00EB77D6">
        <w:rPr>
          <w:rFonts w:ascii="Times New Roman" w:hAnsi="Times New Roman"/>
          <w:szCs w:val="24"/>
          <w:lang w:val="mk-MK"/>
        </w:rPr>
        <w:t>Тони Стојановски - Генерален директор за корпоративно банкарство и член на Управниот одбор на СБ, член</w:t>
      </w:r>
    </w:p>
    <w:p w14:paraId="5D4D2F77" w14:textId="77777777" w:rsidR="001C5B17" w:rsidRPr="00EB77D6" w:rsidRDefault="001C5B17" w:rsidP="001C5B17">
      <w:pPr>
        <w:pStyle w:val="BodyText2"/>
        <w:numPr>
          <w:ilvl w:val="0"/>
          <w:numId w:val="26"/>
        </w:numPr>
        <w:spacing w:before="120" w:after="120"/>
        <w:ind w:left="1170"/>
        <w:jc w:val="both"/>
        <w:rPr>
          <w:rFonts w:ascii="Times New Roman" w:hAnsi="Times New Roman"/>
          <w:szCs w:val="24"/>
          <w:lang w:val="en-GB"/>
        </w:rPr>
      </w:pPr>
      <w:r w:rsidRPr="00EB77D6">
        <w:rPr>
          <w:rFonts w:ascii="Times New Roman" w:hAnsi="Times New Roman"/>
          <w:szCs w:val="24"/>
          <w:lang w:val="mk-MK"/>
        </w:rPr>
        <w:t>Бојан Стојаноски, Генерален директор за управување со ризици и член на Управниот одбор на СБ, член</w:t>
      </w:r>
    </w:p>
    <w:p w14:paraId="7522C42A" w14:textId="77777777" w:rsidR="001C5B17" w:rsidRPr="00EB77D6" w:rsidRDefault="001C5B17" w:rsidP="001C5B17">
      <w:pPr>
        <w:pStyle w:val="BodyText2"/>
        <w:numPr>
          <w:ilvl w:val="0"/>
          <w:numId w:val="26"/>
        </w:numPr>
        <w:spacing w:before="120" w:after="120"/>
        <w:ind w:left="1170"/>
        <w:jc w:val="both"/>
        <w:rPr>
          <w:rFonts w:ascii="Times New Roman" w:hAnsi="Times New Roman"/>
          <w:szCs w:val="24"/>
          <w:lang w:val="en-GB"/>
        </w:rPr>
      </w:pPr>
      <w:r w:rsidRPr="00EB77D6">
        <w:rPr>
          <w:rFonts w:ascii="Times New Roman" w:hAnsi="Times New Roman"/>
          <w:szCs w:val="24"/>
          <w:lang w:val="mk-MK"/>
        </w:rPr>
        <w:t>Илијас Пападопулос</w:t>
      </w:r>
      <w:r w:rsidRPr="00EB77D6">
        <w:rPr>
          <w:rFonts w:ascii="Times New Roman" w:hAnsi="Times New Roman"/>
          <w:szCs w:val="24"/>
        </w:rPr>
        <w:t xml:space="preserve">, </w:t>
      </w:r>
      <w:r w:rsidRPr="00EB77D6">
        <w:rPr>
          <w:rFonts w:ascii="Times New Roman" w:hAnsi="Times New Roman"/>
          <w:szCs w:val="24"/>
          <w:lang w:val="mk-MK"/>
        </w:rPr>
        <w:t xml:space="preserve">Сениор директор за кредитен ризик, член, </w:t>
      </w:r>
    </w:p>
    <w:p w14:paraId="51CC7A97" w14:textId="77777777" w:rsidR="001C5B17" w:rsidRPr="00EB77D6" w:rsidRDefault="001C5B17" w:rsidP="001C5B17">
      <w:pPr>
        <w:pStyle w:val="BodyText2"/>
        <w:numPr>
          <w:ilvl w:val="0"/>
          <w:numId w:val="26"/>
        </w:numPr>
        <w:spacing w:before="120" w:after="120"/>
        <w:ind w:left="1170"/>
        <w:jc w:val="both"/>
        <w:rPr>
          <w:rFonts w:ascii="Times New Roman" w:hAnsi="Times New Roman"/>
          <w:szCs w:val="24"/>
          <w:lang w:val="en-GB"/>
        </w:rPr>
      </w:pPr>
      <w:r w:rsidRPr="00EB77D6">
        <w:rPr>
          <w:rFonts w:ascii="Times New Roman" w:hAnsi="Times New Roman"/>
          <w:szCs w:val="24"/>
          <w:lang w:val="mk-MK"/>
        </w:rPr>
        <w:t>Јанис Бормпакис</w:t>
      </w:r>
      <w:r w:rsidRPr="00EB77D6">
        <w:rPr>
          <w:rFonts w:ascii="Times New Roman" w:hAnsi="Times New Roman"/>
          <w:szCs w:val="24"/>
        </w:rPr>
        <w:t xml:space="preserve">, </w:t>
      </w:r>
      <w:r w:rsidRPr="00EB77D6">
        <w:rPr>
          <w:rFonts w:ascii="Times New Roman" w:hAnsi="Times New Roman"/>
          <w:szCs w:val="24"/>
          <w:lang w:val="mk-MK"/>
        </w:rPr>
        <w:t>Претставник на Секторот за меѓународни активности на НБГ, член</w:t>
      </w:r>
      <w:r w:rsidRPr="00EB77D6">
        <w:rPr>
          <w:rFonts w:ascii="Times New Roman" w:hAnsi="Times New Roman"/>
          <w:szCs w:val="24"/>
          <w:lang w:val="en-GB"/>
        </w:rPr>
        <w:t>.</w:t>
      </w:r>
    </w:p>
    <w:p w14:paraId="2C87CC19" w14:textId="77777777" w:rsidR="001C5B17" w:rsidRPr="00EB77D6" w:rsidRDefault="001C5B17" w:rsidP="001C5B17">
      <w:pPr>
        <w:pStyle w:val="BodyText2"/>
        <w:jc w:val="both"/>
        <w:rPr>
          <w:rFonts w:ascii="Times New Roman" w:hAnsi="Times New Roman"/>
          <w:szCs w:val="24"/>
          <w:lang w:val="mk-MK"/>
        </w:rPr>
      </w:pPr>
    </w:p>
    <w:p w14:paraId="70AD9B5E" w14:textId="77777777" w:rsidR="001C5B17" w:rsidRPr="00EB77D6" w:rsidRDefault="001C5B17" w:rsidP="001C5B17">
      <w:pPr>
        <w:pStyle w:val="BodyText2"/>
        <w:jc w:val="both"/>
        <w:rPr>
          <w:rFonts w:ascii="Times New Roman" w:hAnsi="Times New Roman"/>
          <w:szCs w:val="24"/>
          <w:lang w:val="en-GB"/>
        </w:rPr>
      </w:pPr>
      <w:r w:rsidRPr="00EB77D6">
        <w:rPr>
          <w:rFonts w:ascii="Times New Roman" w:hAnsi="Times New Roman"/>
          <w:szCs w:val="24"/>
          <w:lang w:val="mk-MK"/>
        </w:rPr>
        <w:t>Членовите се избрани без ограничување на мандатот</w:t>
      </w:r>
      <w:r w:rsidRPr="00EB77D6">
        <w:rPr>
          <w:rFonts w:ascii="Times New Roman" w:hAnsi="Times New Roman"/>
          <w:szCs w:val="24"/>
          <w:lang w:val="en-GB"/>
        </w:rPr>
        <w:t>.</w:t>
      </w:r>
    </w:p>
    <w:p w14:paraId="4F2E5F81" w14:textId="77777777" w:rsidR="001C5B17" w:rsidRPr="00EB77D6" w:rsidRDefault="001C5B17" w:rsidP="001C5B17">
      <w:pPr>
        <w:pStyle w:val="BodyText2"/>
        <w:jc w:val="both"/>
        <w:rPr>
          <w:rFonts w:ascii="Times New Roman" w:hAnsi="Times New Roman"/>
          <w:szCs w:val="24"/>
          <w:lang w:val="en-GB"/>
        </w:rPr>
      </w:pPr>
    </w:p>
    <w:p w14:paraId="4112C988" w14:textId="77777777" w:rsidR="001C5B17" w:rsidRPr="00EB77D6" w:rsidRDefault="001C5B17" w:rsidP="001C5B17">
      <w:pPr>
        <w:pStyle w:val="BodyText"/>
        <w:spacing w:line="276" w:lineRule="auto"/>
        <w:jc w:val="both"/>
        <w:rPr>
          <w:sz w:val="24"/>
          <w:szCs w:val="24"/>
          <w:lang w:val="en-US"/>
        </w:rPr>
      </w:pPr>
      <w:r w:rsidRPr="00EB77D6">
        <w:rPr>
          <w:sz w:val="24"/>
          <w:szCs w:val="24"/>
          <w:lang w:val="mk-MK"/>
        </w:rPr>
        <w:t>ИККО одлучува за кредитна изложеност кон поединечен субјект - правно лице за финансирање во износ од ЕУР 5.000.001 до ЕУР 10.000.000</w:t>
      </w:r>
      <w:r w:rsidRPr="00EB77D6">
        <w:rPr>
          <w:sz w:val="24"/>
          <w:szCs w:val="24"/>
          <w:lang w:val="en-US"/>
        </w:rPr>
        <w:t xml:space="preserve">. </w:t>
      </w:r>
      <w:r w:rsidRPr="00EB77D6">
        <w:rPr>
          <w:sz w:val="24"/>
          <w:szCs w:val="24"/>
          <w:lang w:val="mk-MK"/>
        </w:rPr>
        <w:t xml:space="preserve">Сите финансирања што го надминуваат износот од ЕУР 10.000.001 ги одобрува Надзорниот одбор на СБ. ИККО, исто </w:t>
      </w:r>
      <w:r w:rsidRPr="00EB77D6">
        <w:rPr>
          <w:sz w:val="24"/>
          <w:szCs w:val="24"/>
          <w:lang w:val="mk-MK"/>
        </w:rPr>
        <w:lastRenderedPageBreak/>
        <w:t>така, одобрува реструктурирање на побарувањата и регулирање на побарувањата во согласност со важечките кредитни политики и врши други активности утврдени со одлуки од Надзорниот одбор. Седниците се одржуваат по пат на телеконференција или со писмена согласност, кога е потребно, со кворум од сите членови, а одлуките се донесуваат едногласно</w:t>
      </w:r>
      <w:r w:rsidRPr="00EB77D6">
        <w:rPr>
          <w:sz w:val="24"/>
          <w:szCs w:val="24"/>
          <w:lang w:val="en-US"/>
        </w:rPr>
        <w:t xml:space="preserve">; </w:t>
      </w:r>
    </w:p>
    <w:p w14:paraId="08CA2EF1" w14:textId="77777777" w:rsidR="001C5B17" w:rsidRPr="00EB77D6" w:rsidRDefault="001C5B17" w:rsidP="001C5B17">
      <w:pPr>
        <w:pStyle w:val="BodyText"/>
        <w:ind w:left="540"/>
        <w:rPr>
          <w:sz w:val="24"/>
          <w:szCs w:val="24"/>
          <w:lang w:val="en-US"/>
        </w:rPr>
      </w:pPr>
      <w:r w:rsidRPr="00EB77D6">
        <w:rPr>
          <w:b/>
          <w:sz w:val="24"/>
          <w:szCs w:val="24"/>
          <w:u w:val="single"/>
          <w:lang w:val="mk-MK"/>
        </w:rPr>
        <w:t>2. Кредитен одбор</w:t>
      </w:r>
      <w:r w:rsidRPr="00EB77D6">
        <w:rPr>
          <w:b/>
          <w:sz w:val="24"/>
          <w:szCs w:val="24"/>
          <w:u w:val="single"/>
          <w:lang w:val="en-US"/>
        </w:rPr>
        <w:t xml:space="preserve"> (</w:t>
      </w:r>
      <w:r w:rsidRPr="00EB77D6">
        <w:rPr>
          <w:b/>
          <w:sz w:val="24"/>
          <w:szCs w:val="24"/>
          <w:u w:val="single"/>
          <w:lang w:val="mk-MK"/>
        </w:rPr>
        <w:t>КО</w:t>
      </w:r>
      <w:r w:rsidRPr="00EB77D6">
        <w:rPr>
          <w:b/>
          <w:sz w:val="24"/>
          <w:szCs w:val="24"/>
          <w:u w:val="single"/>
          <w:lang w:val="en-US"/>
        </w:rPr>
        <w:t>):</w:t>
      </w:r>
      <w:r w:rsidRPr="00EB77D6">
        <w:rPr>
          <w:sz w:val="24"/>
          <w:szCs w:val="24"/>
          <w:lang w:val="en-US"/>
        </w:rPr>
        <w:t xml:space="preserve"> </w:t>
      </w:r>
      <w:r w:rsidRPr="00EB77D6">
        <w:rPr>
          <w:sz w:val="24"/>
          <w:szCs w:val="24"/>
          <w:lang w:val="mk-MK"/>
        </w:rPr>
        <w:t>се состои од 5 членови и тоа</w:t>
      </w:r>
      <w:r w:rsidRPr="00EB77D6">
        <w:rPr>
          <w:sz w:val="24"/>
          <w:szCs w:val="24"/>
          <w:lang w:val="en-US"/>
        </w:rPr>
        <w:t>:</w:t>
      </w:r>
    </w:p>
    <w:p w14:paraId="4F77806F" w14:textId="77777777" w:rsidR="001C5B17" w:rsidRPr="00EB77D6" w:rsidRDefault="001C5B17" w:rsidP="001C5B17">
      <w:pPr>
        <w:pStyle w:val="BodyText"/>
        <w:numPr>
          <w:ilvl w:val="0"/>
          <w:numId w:val="34"/>
        </w:numPr>
        <w:spacing w:before="120"/>
        <w:ind w:left="1267"/>
        <w:jc w:val="both"/>
        <w:rPr>
          <w:sz w:val="24"/>
          <w:szCs w:val="24"/>
          <w:lang w:val="en-US"/>
        </w:rPr>
      </w:pPr>
      <w:r w:rsidRPr="00EB77D6">
        <w:rPr>
          <w:sz w:val="24"/>
          <w:szCs w:val="24"/>
          <w:lang w:val="mk-MK"/>
        </w:rPr>
        <w:t>Диомидис Николетопулос - Генерален извршен директор и претседател на Управниот одбор на СБ, претседател</w:t>
      </w:r>
    </w:p>
    <w:p w14:paraId="3686F499" w14:textId="77777777" w:rsidR="001C5B17" w:rsidRPr="00EB77D6" w:rsidRDefault="001C5B17" w:rsidP="001C5B17">
      <w:pPr>
        <w:pStyle w:val="BodyText"/>
        <w:numPr>
          <w:ilvl w:val="0"/>
          <w:numId w:val="34"/>
        </w:numPr>
        <w:spacing w:before="120"/>
        <w:ind w:left="1267"/>
        <w:jc w:val="both"/>
        <w:rPr>
          <w:sz w:val="24"/>
          <w:szCs w:val="24"/>
          <w:lang w:val="en-US"/>
        </w:rPr>
      </w:pPr>
      <w:r w:rsidRPr="00EB77D6">
        <w:rPr>
          <w:sz w:val="24"/>
          <w:szCs w:val="24"/>
          <w:lang w:val="mk-MK"/>
        </w:rPr>
        <w:t>Бојан Стојаноски - Генерален директор за управување со ризици и член на Управниот одбор на СБ, член</w:t>
      </w:r>
    </w:p>
    <w:p w14:paraId="726255FD" w14:textId="77777777" w:rsidR="001C5B17" w:rsidRPr="00EB77D6" w:rsidRDefault="001C5B17" w:rsidP="001C5B17">
      <w:pPr>
        <w:pStyle w:val="BodyText"/>
        <w:numPr>
          <w:ilvl w:val="0"/>
          <w:numId w:val="34"/>
        </w:numPr>
        <w:spacing w:before="120"/>
        <w:ind w:left="1267"/>
        <w:jc w:val="both"/>
        <w:rPr>
          <w:sz w:val="24"/>
          <w:szCs w:val="24"/>
          <w:lang w:val="en-US"/>
        </w:rPr>
      </w:pPr>
      <w:r w:rsidRPr="00EB77D6">
        <w:rPr>
          <w:sz w:val="24"/>
          <w:szCs w:val="24"/>
          <w:lang w:val="mk-MK"/>
        </w:rPr>
        <w:t>Тони Стојановски, Генерален директор за корпоративно банкарство и член на Управниот одбор на СБ, член</w:t>
      </w:r>
    </w:p>
    <w:p w14:paraId="4189C4E5" w14:textId="77777777" w:rsidR="001C5B17" w:rsidRPr="00EB77D6" w:rsidRDefault="001C5B17" w:rsidP="001C5B17">
      <w:pPr>
        <w:pStyle w:val="BodyText"/>
        <w:numPr>
          <w:ilvl w:val="0"/>
          <w:numId w:val="34"/>
        </w:numPr>
        <w:spacing w:before="120"/>
        <w:ind w:left="1267"/>
        <w:jc w:val="both"/>
        <w:rPr>
          <w:sz w:val="24"/>
          <w:szCs w:val="24"/>
          <w:lang w:val="en-US"/>
        </w:rPr>
      </w:pPr>
      <w:r w:rsidRPr="00EB77D6">
        <w:rPr>
          <w:sz w:val="24"/>
          <w:szCs w:val="24"/>
          <w:lang w:val="mk-MK"/>
        </w:rPr>
        <w:t>Илијас Пападопулос, Сениор директор за кредитен ризин на СБ, член</w:t>
      </w:r>
    </w:p>
    <w:p w14:paraId="5D5353F1" w14:textId="77777777" w:rsidR="001C5B17" w:rsidRPr="00EB77D6" w:rsidRDefault="001C5B17" w:rsidP="001C5B17">
      <w:pPr>
        <w:pStyle w:val="BodyText"/>
        <w:numPr>
          <w:ilvl w:val="0"/>
          <w:numId w:val="34"/>
        </w:numPr>
        <w:spacing w:before="120"/>
        <w:ind w:left="1267"/>
        <w:jc w:val="both"/>
        <w:rPr>
          <w:sz w:val="24"/>
          <w:szCs w:val="24"/>
          <w:lang w:val="en-US"/>
        </w:rPr>
      </w:pPr>
      <w:r w:rsidRPr="00EB77D6">
        <w:rPr>
          <w:color w:val="000000"/>
          <w:sz w:val="24"/>
          <w:szCs w:val="24"/>
          <w:lang w:val="mk-MK" w:eastAsia="en-GB"/>
        </w:rPr>
        <w:t>Владимир Тренески – Сениор директор за корпоративно банкарство на СБ, член</w:t>
      </w:r>
      <w:r w:rsidRPr="00EB77D6">
        <w:rPr>
          <w:sz w:val="24"/>
          <w:szCs w:val="24"/>
          <w:lang w:val="en-US"/>
        </w:rPr>
        <w:t xml:space="preserve">.  </w:t>
      </w:r>
    </w:p>
    <w:p w14:paraId="60C81AB7" w14:textId="77777777" w:rsidR="001C5B17" w:rsidRPr="00EB77D6" w:rsidRDefault="001C5B17" w:rsidP="001C5B17">
      <w:pPr>
        <w:pStyle w:val="BodyText2"/>
        <w:jc w:val="both"/>
        <w:rPr>
          <w:rFonts w:ascii="Times New Roman" w:hAnsi="Times New Roman"/>
          <w:szCs w:val="24"/>
          <w:lang w:val="en-GB"/>
        </w:rPr>
      </w:pPr>
      <w:r w:rsidRPr="00EB77D6">
        <w:rPr>
          <w:rFonts w:ascii="Times New Roman" w:hAnsi="Times New Roman"/>
          <w:szCs w:val="24"/>
          <w:lang w:val="mk-MK"/>
        </w:rPr>
        <w:t>Членовите се избрани без ограничување на мандатот</w:t>
      </w:r>
      <w:r w:rsidRPr="00EB77D6">
        <w:rPr>
          <w:rFonts w:ascii="Times New Roman" w:hAnsi="Times New Roman"/>
          <w:szCs w:val="24"/>
          <w:lang w:val="en-GB"/>
        </w:rPr>
        <w:t>.</w:t>
      </w:r>
    </w:p>
    <w:p w14:paraId="77B5DA55" w14:textId="77777777" w:rsidR="001C5B17" w:rsidRPr="00EB77D6" w:rsidRDefault="001C5B17" w:rsidP="001C5B17">
      <w:pPr>
        <w:pStyle w:val="BodyText2"/>
        <w:jc w:val="both"/>
        <w:rPr>
          <w:rFonts w:ascii="Times New Roman" w:hAnsi="Times New Roman"/>
          <w:szCs w:val="24"/>
          <w:lang w:val="en-GB"/>
        </w:rPr>
      </w:pPr>
    </w:p>
    <w:p w14:paraId="1685F8C0" w14:textId="77777777" w:rsidR="001C5B17" w:rsidRPr="00EB77D6" w:rsidRDefault="001C5B17" w:rsidP="001C5B17">
      <w:pPr>
        <w:pStyle w:val="BodyText"/>
        <w:spacing w:line="276" w:lineRule="auto"/>
        <w:jc w:val="both"/>
        <w:rPr>
          <w:sz w:val="24"/>
          <w:szCs w:val="24"/>
          <w:lang w:val="en-US"/>
        </w:rPr>
      </w:pPr>
      <w:r w:rsidRPr="00EB77D6">
        <w:rPr>
          <w:sz w:val="24"/>
          <w:szCs w:val="24"/>
          <w:lang w:val="mk-MK"/>
        </w:rPr>
        <w:t>КО одлучува за кредитна изложеност кон поединечен субјект - правно лице во износ од ЕУР 2.000.001 до ЕУР 5.000.000</w:t>
      </w:r>
      <w:r w:rsidRPr="00EB77D6">
        <w:rPr>
          <w:sz w:val="24"/>
          <w:szCs w:val="24"/>
          <w:lang w:val="en-US"/>
        </w:rPr>
        <w:t xml:space="preserve">. </w:t>
      </w:r>
      <w:r w:rsidRPr="00EB77D6">
        <w:rPr>
          <w:sz w:val="24"/>
          <w:szCs w:val="24"/>
          <w:lang w:val="mk-MK"/>
        </w:rPr>
        <w:t>КО, исто така, одобрува реструктурирање на побарувањата и регулирање на побарувањата во согласност со важечките кредитни политики и врши други активности утврдени со одлуки на Надзорниот одбор. Седниците се одржуваат по пат на телеконференција или со писмена согласност, кога е потребно, со кворум од сите членови, а одлуките се донесуваат едногласно.</w:t>
      </w:r>
    </w:p>
    <w:p w14:paraId="2CA4999F" w14:textId="77777777" w:rsidR="001C5B17" w:rsidRPr="00EB77D6" w:rsidRDefault="001C5B17" w:rsidP="001C5B17">
      <w:pPr>
        <w:pStyle w:val="BodyText"/>
        <w:ind w:left="540"/>
        <w:rPr>
          <w:sz w:val="24"/>
          <w:szCs w:val="24"/>
          <w:lang w:val="en-US"/>
        </w:rPr>
      </w:pPr>
      <w:r w:rsidRPr="00EB77D6">
        <w:rPr>
          <w:b/>
          <w:sz w:val="24"/>
          <w:szCs w:val="24"/>
          <w:u w:val="single"/>
          <w:lang w:val="mk-MK"/>
        </w:rPr>
        <w:t>3. Кредитен одбор за комерцијални клиенти</w:t>
      </w:r>
      <w:r w:rsidRPr="00EB77D6">
        <w:rPr>
          <w:b/>
          <w:sz w:val="24"/>
          <w:szCs w:val="24"/>
          <w:u w:val="single"/>
          <w:lang w:val="en-US"/>
        </w:rPr>
        <w:t xml:space="preserve"> (</w:t>
      </w:r>
      <w:r w:rsidRPr="00EB77D6">
        <w:rPr>
          <w:b/>
          <w:sz w:val="24"/>
          <w:szCs w:val="24"/>
          <w:u w:val="single"/>
          <w:lang w:val="mk-MK"/>
        </w:rPr>
        <w:t>КОКК</w:t>
      </w:r>
      <w:r w:rsidRPr="00EB77D6">
        <w:rPr>
          <w:b/>
          <w:sz w:val="24"/>
          <w:szCs w:val="24"/>
          <w:u w:val="single"/>
          <w:lang w:val="en-US"/>
        </w:rPr>
        <w:t>):</w:t>
      </w:r>
      <w:r w:rsidRPr="00EB77D6">
        <w:rPr>
          <w:b/>
          <w:sz w:val="24"/>
          <w:szCs w:val="24"/>
          <w:u w:val="single"/>
          <w:lang w:val="mk-MK"/>
        </w:rPr>
        <w:t xml:space="preserve"> </w:t>
      </w:r>
      <w:r w:rsidRPr="00EB77D6">
        <w:rPr>
          <w:sz w:val="24"/>
          <w:szCs w:val="24"/>
          <w:lang w:val="mk-MK"/>
        </w:rPr>
        <w:t>се состои од 5 членови и тоа</w:t>
      </w:r>
      <w:r w:rsidRPr="00EB77D6">
        <w:rPr>
          <w:sz w:val="24"/>
          <w:szCs w:val="24"/>
          <w:lang w:val="en-US"/>
        </w:rPr>
        <w:t>:</w:t>
      </w:r>
    </w:p>
    <w:p w14:paraId="41A62142" w14:textId="77777777" w:rsidR="001C5B17" w:rsidRPr="00EB77D6" w:rsidRDefault="001C5B17" w:rsidP="001C5B17">
      <w:pPr>
        <w:pStyle w:val="BodyText"/>
        <w:numPr>
          <w:ilvl w:val="0"/>
          <w:numId w:val="35"/>
        </w:numPr>
        <w:spacing w:before="120"/>
        <w:ind w:left="1260"/>
        <w:jc w:val="both"/>
        <w:rPr>
          <w:sz w:val="24"/>
          <w:szCs w:val="24"/>
          <w:lang w:val="en-US"/>
        </w:rPr>
      </w:pPr>
      <w:r w:rsidRPr="00EB77D6">
        <w:rPr>
          <w:sz w:val="24"/>
          <w:szCs w:val="24"/>
          <w:lang w:val="mk-MK"/>
        </w:rPr>
        <w:t>Бојан Стојаноски - Генерален директор за управување со ризици и член на Управниот одбор на СБ, претседател</w:t>
      </w:r>
    </w:p>
    <w:p w14:paraId="1D56B92B" w14:textId="77777777" w:rsidR="001C5B17" w:rsidRPr="00EB77D6" w:rsidRDefault="001C5B17" w:rsidP="001C5B17">
      <w:pPr>
        <w:pStyle w:val="BodyText"/>
        <w:numPr>
          <w:ilvl w:val="0"/>
          <w:numId w:val="35"/>
        </w:numPr>
        <w:spacing w:before="120"/>
        <w:ind w:left="1260"/>
        <w:jc w:val="both"/>
        <w:rPr>
          <w:sz w:val="24"/>
          <w:szCs w:val="24"/>
          <w:lang w:val="en-US"/>
        </w:rPr>
      </w:pPr>
      <w:r w:rsidRPr="00EB77D6">
        <w:rPr>
          <w:sz w:val="24"/>
          <w:szCs w:val="24"/>
          <w:lang w:val="mk-MK"/>
        </w:rPr>
        <w:t>Тони Стојановски, Генерален директор за корпоративно банкарство и член на Управниот одбор на СБ, член</w:t>
      </w:r>
    </w:p>
    <w:p w14:paraId="230A7872" w14:textId="77777777" w:rsidR="001C5B17" w:rsidRPr="00EB77D6" w:rsidRDefault="001C5B17" w:rsidP="001C5B17">
      <w:pPr>
        <w:pStyle w:val="BodyText"/>
        <w:numPr>
          <w:ilvl w:val="0"/>
          <w:numId w:val="35"/>
        </w:numPr>
        <w:spacing w:before="120"/>
        <w:ind w:left="1260"/>
        <w:jc w:val="both"/>
        <w:rPr>
          <w:sz w:val="24"/>
          <w:szCs w:val="24"/>
          <w:lang w:val="en-US"/>
        </w:rPr>
      </w:pPr>
      <w:r w:rsidRPr="00EB77D6">
        <w:rPr>
          <w:sz w:val="24"/>
          <w:szCs w:val="24"/>
          <w:lang w:val="mk-MK"/>
        </w:rPr>
        <w:t>Илијас Пападопулос, Сениор директор за кредитен ризик на СБ, член</w:t>
      </w:r>
    </w:p>
    <w:p w14:paraId="63BB6E60" w14:textId="77777777" w:rsidR="001C5B17" w:rsidRPr="00EB77D6" w:rsidRDefault="001C5B17" w:rsidP="001C5B17">
      <w:pPr>
        <w:pStyle w:val="BodyText"/>
        <w:numPr>
          <w:ilvl w:val="0"/>
          <w:numId w:val="34"/>
        </w:numPr>
        <w:spacing w:before="120"/>
        <w:ind w:left="1267"/>
        <w:jc w:val="both"/>
        <w:rPr>
          <w:sz w:val="24"/>
          <w:szCs w:val="24"/>
          <w:lang w:val="en-US"/>
        </w:rPr>
      </w:pPr>
      <w:r w:rsidRPr="00EB77D6">
        <w:rPr>
          <w:color w:val="000000"/>
          <w:sz w:val="24"/>
          <w:szCs w:val="24"/>
          <w:lang w:val="mk-MK" w:eastAsia="en-GB"/>
        </w:rPr>
        <w:t>Владимир Тренески – Сениор директор за корпоративно банкарство на СБ, член</w:t>
      </w:r>
    </w:p>
    <w:p w14:paraId="28864539" w14:textId="77777777" w:rsidR="001C5B17" w:rsidRPr="00EB77D6" w:rsidRDefault="001C5B17" w:rsidP="001C5B17">
      <w:pPr>
        <w:pStyle w:val="BodyText"/>
        <w:numPr>
          <w:ilvl w:val="0"/>
          <w:numId w:val="35"/>
        </w:numPr>
        <w:spacing w:before="120"/>
        <w:ind w:left="1260"/>
        <w:jc w:val="both"/>
        <w:rPr>
          <w:sz w:val="24"/>
          <w:szCs w:val="24"/>
          <w:lang w:val="en-US"/>
        </w:rPr>
      </w:pPr>
      <w:r w:rsidRPr="00EB77D6">
        <w:rPr>
          <w:color w:val="000000"/>
          <w:sz w:val="24"/>
          <w:szCs w:val="24"/>
          <w:lang w:val="mk-MK" w:eastAsia="en-GB"/>
        </w:rPr>
        <w:t>Лидија Руменовска Саздова - Директор на Сектор за изготвување кредитни предлози</w:t>
      </w:r>
      <w:r w:rsidRPr="00EB77D6">
        <w:rPr>
          <w:sz w:val="24"/>
          <w:szCs w:val="24"/>
          <w:lang w:val="mk-MK"/>
        </w:rPr>
        <w:t xml:space="preserve">, </w:t>
      </w:r>
      <w:r w:rsidRPr="00EB77D6">
        <w:rPr>
          <w:color w:val="000000"/>
          <w:sz w:val="24"/>
          <w:szCs w:val="24"/>
          <w:lang w:val="mk-MK" w:eastAsia="en-GB"/>
        </w:rPr>
        <w:t>член</w:t>
      </w:r>
      <w:r w:rsidRPr="00EB77D6">
        <w:rPr>
          <w:sz w:val="24"/>
          <w:szCs w:val="24"/>
          <w:lang w:val="en-US"/>
        </w:rPr>
        <w:t>.</w:t>
      </w:r>
    </w:p>
    <w:p w14:paraId="421A6836" w14:textId="77777777" w:rsidR="001C5B17" w:rsidRPr="00EB77D6" w:rsidRDefault="001C5B17" w:rsidP="001C5B17">
      <w:pPr>
        <w:pStyle w:val="BodyText2"/>
        <w:jc w:val="both"/>
        <w:rPr>
          <w:rFonts w:ascii="Times New Roman" w:hAnsi="Times New Roman"/>
          <w:szCs w:val="24"/>
          <w:lang w:val="en-GB"/>
        </w:rPr>
      </w:pPr>
      <w:r w:rsidRPr="00EB77D6">
        <w:rPr>
          <w:rFonts w:ascii="Times New Roman" w:hAnsi="Times New Roman"/>
          <w:szCs w:val="24"/>
          <w:lang w:val="mk-MK"/>
        </w:rPr>
        <w:t>Членовите се избрани без ограничување на мандатот</w:t>
      </w:r>
      <w:r w:rsidRPr="00EB77D6">
        <w:rPr>
          <w:rFonts w:ascii="Times New Roman" w:hAnsi="Times New Roman"/>
          <w:szCs w:val="24"/>
          <w:lang w:val="en-GB"/>
        </w:rPr>
        <w:t>.</w:t>
      </w:r>
    </w:p>
    <w:p w14:paraId="0A1CA48E" w14:textId="77777777" w:rsidR="001C5B17" w:rsidRPr="00EB77D6" w:rsidRDefault="001C5B17" w:rsidP="001C5B17">
      <w:pPr>
        <w:pStyle w:val="BodyText2"/>
        <w:jc w:val="both"/>
        <w:rPr>
          <w:rFonts w:ascii="Times New Roman" w:hAnsi="Times New Roman"/>
          <w:szCs w:val="24"/>
          <w:lang w:val="en-GB"/>
        </w:rPr>
      </w:pPr>
    </w:p>
    <w:p w14:paraId="07E19343" w14:textId="77777777" w:rsidR="001C5B17" w:rsidRPr="00EB77D6" w:rsidRDefault="001C5B17" w:rsidP="001C5B17">
      <w:pPr>
        <w:pStyle w:val="BodyText"/>
        <w:spacing w:line="276" w:lineRule="auto"/>
        <w:jc w:val="both"/>
        <w:rPr>
          <w:sz w:val="24"/>
          <w:szCs w:val="24"/>
          <w:lang w:val="en-US"/>
        </w:rPr>
      </w:pPr>
      <w:r w:rsidRPr="00EB77D6">
        <w:rPr>
          <w:sz w:val="24"/>
          <w:szCs w:val="24"/>
          <w:lang w:val="mk-MK"/>
        </w:rPr>
        <w:t>КОКК одлучува за кредитна изложеност кон поединечен субјект - правно лице во износ</w:t>
      </w:r>
      <w:r w:rsidRPr="00EB77D6">
        <w:rPr>
          <w:sz w:val="24"/>
          <w:szCs w:val="24"/>
          <w:lang w:val="en-US"/>
        </w:rPr>
        <w:t xml:space="preserve"> </w:t>
      </w:r>
      <w:r w:rsidRPr="00EB77D6">
        <w:rPr>
          <w:sz w:val="24"/>
          <w:szCs w:val="24"/>
          <w:lang w:val="mk-MK"/>
        </w:rPr>
        <w:t>до</w:t>
      </w:r>
      <w:r w:rsidRPr="00EB77D6">
        <w:rPr>
          <w:sz w:val="24"/>
          <w:szCs w:val="24"/>
          <w:lang w:val="en-US"/>
        </w:rPr>
        <w:t xml:space="preserve"> </w:t>
      </w:r>
      <w:r w:rsidRPr="00EB77D6">
        <w:rPr>
          <w:sz w:val="24"/>
          <w:szCs w:val="24"/>
          <w:lang w:val="mk-MK"/>
        </w:rPr>
        <w:t>ЕУР</w:t>
      </w:r>
      <w:r w:rsidRPr="00EB77D6">
        <w:rPr>
          <w:sz w:val="24"/>
          <w:szCs w:val="24"/>
          <w:lang w:val="en-US"/>
        </w:rPr>
        <w:t xml:space="preserve"> 2.000.000. </w:t>
      </w:r>
      <w:r w:rsidRPr="00EB77D6">
        <w:rPr>
          <w:sz w:val="24"/>
          <w:szCs w:val="24"/>
          <w:lang w:val="mk-MK"/>
        </w:rPr>
        <w:t xml:space="preserve">КОКК, исто така, одобрува реструктурирање на побарувањата и регулирање на побарувањата во согласност со важечките кредитни политики и врши други </w:t>
      </w:r>
      <w:r w:rsidRPr="00EB77D6">
        <w:rPr>
          <w:sz w:val="24"/>
          <w:szCs w:val="24"/>
          <w:lang w:val="mk-MK"/>
        </w:rPr>
        <w:lastRenderedPageBreak/>
        <w:t>активности утврдени со одлуки на Надзорниот одбор. Седниците се одржуваат по пат на телеконференција или со писмена согласност, кога е потребно, со кворум од сите членови, а одлуките се донесуваат едногласно.</w:t>
      </w:r>
      <w:r w:rsidRPr="00EB77D6">
        <w:rPr>
          <w:sz w:val="24"/>
          <w:szCs w:val="24"/>
          <w:lang w:val="en-US"/>
        </w:rPr>
        <w:t xml:space="preserve"> </w:t>
      </w:r>
    </w:p>
    <w:p w14:paraId="73DB233D" w14:textId="77777777" w:rsidR="001C5B17" w:rsidRPr="00EB77D6" w:rsidRDefault="001C5B17" w:rsidP="001C5B17">
      <w:pPr>
        <w:pStyle w:val="BodyText"/>
        <w:ind w:left="540"/>
        <w:rPr>
          <w:sz w:val="24"/>
          <w:szCs w:val="24"/>
          <w:lang w:val="en-US"/>
        </w:rPr>
      </w:pPr>
      <w:r w:rsidRPr="00EB77D6">
        <w:rPr>
          <w:b/>
          <w:sz w:val="24"/>
          <w:szCs w:val="24"/>
          <w:u w:val="single"/>
          <w:lang w:val="mk-MK"/>
        </w:rPr>
        <w:t>4. Повисок кредитен одбор за мали претпријатија</w:t>
      </w:r>
      <w:r w:rsidRPr="00EB77D6">
        <w:rPr>
          <w:b/>
          <w:sz w:val="24"/>
          <w:szCs w:val="24"/>
          <w:u w:val="single"/>
          <w:lang w:val="en-US"/>
        </w:rPr>
        <w:t xml:space="preserve"> (</w:t>
      </w:r>
      <w:r w:rsidRPr="00EB77D6">
        <w:rPr>
          <w:b/>
          <w:sz w:val="24"/>
          <w:szCs w:val="24"/>
          <w:u w:val="single"/>
          <w:lang w:val="mk-MK"/>
        </w:rPr>
        <w:t>ПКОМП</w:t>
      </w:r>
      <w:r w:rsidRPr="00EB77D6">
        <w:rPr>
          <w:b/>
          <w:sz w:val="24"/>
          <w:szCs w:val="24"/>
          <w:u w:val="single"/>
          <w:lang w:val="en-US"/>
        </w:rPr>
        <w:t>)</w:t>
      </w:r>
      <w:r w:rsidRPr="00EB77D6">
        <w:rPr>
          <w:sz w:val="24"/>
          <w:szCs w:val="24"/>
          <w:lang w:val="en-US"/>
        </w:rPr>
        <w:t xml:space="preserve">: </w:t>
      </w:r>
      <w:r w:rsidRPr="00EB77D6">
        <w:rPr>
          <w:sz w:val="24"/>
          <w:szCs w:val="24"/>
          <w:lang w:val="mk-MK"/>
        </w:rPr>
        <w:t>се состои од 4 членови и тоа</w:t>
      </w:r>
      <w:r w:rsidRPr="00EB77D6">
        <w:rPr>
          <w:sz w:val="24"/>
          <w:szCs w:val="24"/>
          <w:lang w:val="en-US"/>
        </w:rPr>
        <w:t>:</w:t>
      </w:r>
    </w:p>
    <w:p w14:paraId="38E3DA50" w14:textId="77777777" w:rsidR="001C5B17" w:rsidRPr="00EB77D6" w:rsidRDefault="001C5B17" w:rsidP="001C5B17">
      <w:pPr>
        <w:pStyle w:val="BodyText"/>
        <w:numPr>
          <w:ilvl w:val="0"/>
          <w:numId w:val="36"/>
        </w:numPr>
        <w:spacing w:after="0" w:line="276" w:lineRule="auto"/>
        <w:ind w:left="1260"/>
        <w:jc w:val="both"/>
        <w:rPr>
          <w:sz w:val="24"/>
          <w:szCs w:val="24"/>
        </w:rPr>
      </w:pPr>
      <w:r w:rsidRPr="00EB77D6">
        <w:rPr>
          <w:sz w:val="24"/>
          <w:szCs w:val="24"/>
          <w:lang w:val="mk-MK"/>
        </w:rPr>
        <w:t>Бојан Стојаноски - Генерален директор за управување со ризици и член на Управниот одбор на СБ, претседател</w:t>
      </w:r>
    </w:p>
    <w:p w14:paraId="183B1258" w14:textId="77777777" w:rsidR="001C5B17" w:rsidRPr="00EB77D6" w:rsidRDefault="001C5B17" w:rsidP="001C5B17">
      <w:pPr>
        <w:pStyle w:val="BodyText"/>
        <w:numPr>
          <w:ilvl w:val="0"/>
          <w:numId w:val="36"/>
        </w:numPr>
        <w:spacing w:after="0" w:line="276" w:lineRule="auto"/>
        <w:ind w:left="1260"/>
        <w:jc w:val="both"/>
        <w:rPr>
          <w:sz w:val="24"/>
          <w:szCs w:val="24"/>
        </w:rPr>
      </w:pPr>
      <w:r w:rsidRPr="00EB77D6">
        <w:rPr>
          <w:sz w:val="24"/>
          <w:szCs w:val="24"/>
          <w:lang w:val="mk-MK"/>
        </w:rPr>
        <w:t>Милица Чапаровска-Јовановска - Генерален директор за банкарство на мало и член на Управниот одбор на СБ, член</w:t>
      </w:r>
    </w:p>
    <w:p w14:paraId="2D3B874C" w14:textId="77777777" w:rsidR="001C5B17" w:rsidRPr="00EB77D6" w:rsidRDefault="001C5B17" w:rsidP="001C5B17">
      <w:pPr>
        <w:pStyle w:val="BodyText"/>
        <w:numPr>
          <w:ilvl w:val="0"/>
          <w:numId w:val="36"/>
        </w:numPr>
        <w:spacing w:after="0" w:line="276" w:lineRule="auto"/>
        <w:ind w:left="1260"/>
        <w:jc w:val="both"/>
        <w:rPr>
          <w:sz w:val="24"/>
          <w:szCs w:val="24"/>
        </w:rPr>
      </w:pPr>
      <w:r w:rsidRPr="00EB77D6">
        <w:rPr>
          <w:sz w:val="24"/>
          <w:szCs w:val="24"/>
          <w:lang w:val="mk-MK"/>
        </w:rPr>
        <w:t>Илијас Пападопулос, Сениор директор за кредитен ризик на СБ, член</w:t>
      </w:r>
    </w:p>
    <w:p w14:paraId="5FC23378" w14:textId="77777777" w:rsidR="001C5B17" w:rsidRPr="00EB77D6" w:rsidRDefault="001C5B17" w:rsidP="001C5B17">
      <w:pPr>
        <w:pStyle w:val="BodyText"/>
        <w:numPr>
          <w:ilvl w:val="0"/>
          <w:numId w:val="36"/>
        </w:numPr>
        <w:spacing w:after="0" w:line="276" w:lineRule="auto"/>
        <w:ind w:left="1260"/>
        <w:jc w:val="both"/>
        <w:rPr>
          <w:sz w:val="24"/>
          <w:szCs w:val="24"/>
        </w:rPr>
      </w:pPr>
      <w:r w:rsidRPr="00EB77D6">
        <w:rPr>
          <w:sz w:val="24"/>
          <w:szCs w:val="24"/>
          <w:lang w:val="mk-MK"/>
        </w:rPr>
        <w:t>Дејан Крстевски - Директор на Сектор за кредитирање на мали претпријатија, член</w:t>
      </w:r>
      <w:r w:rsidRPr="00EB77D6">
        <w:rPr>
          <w:sz w:val="24"/>
          <w:szCs w:val="24"/>
          <w:lang w:val="en-US"/>
        </w:rPr>
        <w:t xml:space="preserve"> </w:t>
      </w:r>
    </w:p>
    <w:p w14:paraId="383D59A9" w14:textId="77777777" w:rsidR="001C5B17" w:rsidRPr="00EB77D6" w:rsidRDefault="001C5B17" w:rsidP="001C5B17">
      <w:pPr>
        <w:pStyle w:val="BodyText"/>
        <w:numPr>
          <w:ilvl w:val="0"/>
          <w:numId w:val="36"/>
        </w:numPr>
        <w:spacing w:after="0" w:line="276" w:lineRule="auto"/>
        <w:ind w:left="1260"/>
        <w:jc w:val="both"/>
        <w:rPr>
          <w:sz w:val="24"/>
          <w:szCs w:val="24"/>
        </w:rPr>
      </w:pPr>
      <w:r w:rsidRPr="00EB77D6">
        <w:rPr>
          <w:sz w:val="24"/>
          <w:szCs w:val="24"/>
          <w:lang w:val="mk-MK"/>
        </w:rPr>
        <w:t>Емилија Стојанова Ивановска - Директор на Сектор за управување со ризици, член.</w:t>
      </w:r>
    </w:p>
    <w:p w14:paraId="24A584C8" w14:textId="77777777" w:rsidR="001C5B17" w:rsidRPr="00EB77D6" w:rsidRDefault="001C5B17" w:rsidP="001C5B17">
      <w:pPr>
        <w:pStyle w:val="BodyText2"/>
        <w:spacing w:line="276" w:lineRule="auto"/>
        <w:rPr>
          <w:rFonts w:ascii="Times New Roman" w:hAnsi="Times New Roman"/>
          <w:szCs w:val="24"/>
          <w:lang w:val="en-GB"/>
        </w:rPr>
      </w:pPr>
    </w:p>
    <w:p w14:paraId="7CE3C511" w14:textId="77777777" w:rsidR="001C5B17" w:rsidRPr="00EB77D6" w:rsidRDefault="001C5B17" w:rsidP="001C5B17">
      <w:pPr>
        <w:pStyle w:val="BodyText2"/>
        <w:spacing w:line="276" w:lineRule="auto"/>
        <w:jc w:val="both"/>
        <w:rPr>
          <w:rFonts w:ascii="Times New Roman" w:hAnsi="Times New Roman"/>
          <w:szCs w:val="24"/>
          <w:lang w:val="en-GB"/>
        </w:rPr>
      </w:pPr>
      <w:r w:rsidRPr="00EB77D6">
        <w:rPr>
          <w:rFonts w:ascii="Times New Roman" w:hAnsi="Times New Roman"/>
          <w:szCs w:val="24"/>
          <w:lang w:val="mk-MK"/>
        </w:rPr>
        <w:t>Членовите се избрани без ограничување на мандатот</w:t>
      </w:r>
      <w:r w:rsidRPr="00EB77D6">
        <w:rPr>
          <w:rFonts w:ascii="Times New Roman" w:hAnsi="Times New Roman"/>
          <w:szCs w:val="24"/>
          <w:lang w:val="en-GB"/>
        </w:rPr>
        <w:t>.</w:t>
      </w:r>
    </w:p>
    <w:p w14:paraId="490C2A44" w14:textId="77777777" w:rsidR="001C5B17" w:rsidRPr="00EB77D6" w:rsidRDefault="001C5B17" w:rsidP="001C5B17">
      <w:pPr>
        <w:pStyle w:val="BodyText2"/>
        <w:spacing w:line="276" w:lineRule="auto"/>
        <w:jc w:val="both"/>
        <w:rPr>
          <w:rFonts w:ascii="Times New Roman" w:hAnsi="Times New Roman"/>
          <w:szCs w:val="24"/>
          <w:lang w:val="en-GB"/>
        </w:rPr>
      </w:pPr>
    </w:p>
    <w:p w14:paraId="72BE4DBD" w14:textId="77777777" w:rsidR="001C5B17" w:rsidRPr="00EB77D6" w:rsidRDefault="001C5B17" w:rsidP="001C5B17">
      <w:pPr>
        <w:pStyle w:val="BodyText"/>
        <w:spacing w:line="276" w:lineRule="auto"/>
        <w:jc w:val="both"/>
        <w:rPr>
          <w:sz w:val="24"/>
          <w:szCs w:val="24"/>
          <w:lang w:val="en-US"/>
        </w:rPr>
      </w:pPr>
      <w:r w:rsidRPr="00EB77D6">
        <w:rPr>
          <w:sz w:val="24"/>
          <w:szCs w:val="24"/>
          <w:lang w:val="mk-MK"/>
        </w:rPr>
        <w:t>ВКОМП одлучува за кредитна изложеност кон поединечен субјект - правно лице во износ од ЕУР</w:t>
      </w:r>
      <w:r w:rsidRPr="00EB77D6">
        <w:rPr>
          <w:sz w:val="24"/>
          <w:szCs w:val="24"/>
          <w:lang w:val="en-US"/>
        </w:rPr>
        <w:t xml:space="preserve"> 100.001 </w:t>
      </w:r>
      <w:r w:rsidRPr="00EB77D6">
        <w:rPr>
          <w:sz w:val="24"/>
          <w:szCs w:val="24"/>
          <w:lang w:val="mk-MK"/>
        </w:rPr>
        <w:t>до</w:t>
      </w:r>
      <w:r w:rsidRPr="00EB77D6">
        <w:rPr>
          <w:sz w:val="24"/>
          <w:szCs w:val="24"/>
          <w:lang w:val="en-US"/>
        </w:rPr>
        <w:t xml:space="preserve"> </w:t>
      </w:r>
      <w:r w:rsidRPr="00EB77D6">
        <w:rPr>
          <w:sz w:val="24"/>
          <w:szCs w:val="24"/>
          <w:lang w:val="mk-MK"/>
        </w:rPr>
        <w:t>ЕУР</w:t>
      </w:r>
      <w:r w:rsidRPr="00EB77D6">
        <w:rPr>
          <w:sz w:val="24"/>
          <w:szCs w:val="24"/>
          <w:lang w:val="en-US"/>
        </w:rPr>
        <w:t xml:space="preserve"> </w:t>
      </w:r>
      <w:r w:rsidRPr="00EB77D6">
        <w:rPr>
          <w:sz w:val="24"/>
          <w:szCs w:val="24"/>
          <w:lang w:val="mk-MK"/>
        </w:rPr>
        <w:t>500</w:t>
      </w:r>
      <w:r w:rsidRPr="00EB77D6">
        <w:rPr>
          <w:sz w:val="24"/>
          <w:szCs w:val="24"/>
          <w:lang w:val="en-US"/>
        </w:rPr>
        <w:t>.000</w:t>
      </w:r>
      <w:r w:rsidRPr="00EB77D6">
        <w:rPr>
          <w:sz w:val="24"/>
          <w:szCs w:val="24"/>
          <w:lang w:val="mk-MK"/>
        </w:rPr>
        <w:t xml:space="preserve"> и</w:t>
      </w:r>
      <w:r w:rsidRPr="00EB77D6">
        <w:rPr>
          <w:sz w:val="24"/>
          <w:szCs w:val="24"/>
          <w:lang w:val="en-US"/>
        </w:rPr>
        <w:t xml:space="preserve"> </w:t>
      </w:r>
      <w:r w:rsidRPr="00EB77D6">
        <w:rPr>
          <w:sz w:val="24"/>
          <w:szCs w:val="24"/>
          <w:lang w:val="mk-MK"/>
        </w:rPr>
        <w:t>кон поединечен субјект</w:t>
      </w:r>
      <w:r w:rsidRPr="00EB77D6">
        <w:rPr>
          <w:sz w:val="24"/>
          <w:szCs w:val="24"/>
          <w:lang w:val="en-US"/>
        </w:rPr>
        <w:t xml:space="preserve"> – </w:t>
      </w:r>
      <w:r w:rsidRPr="00EB77D6">
        <w:rPr>
          <w:sz w:val="24"/>
          <w:szCs w:val="24"/>
          <w:lang w:val="mk-MK"/>
        </w:rPr>
        <w:t>физичко лице</w:t>
      </w:r>
      <w:r w:rsidRPr="00EB77D6">
        <w:rPr>
          <w:sz w:val="24"/>
          <w:szCs w:val="24"/>
          <w:lang w:val="en-US"/>
        </w:rPr>
        <w:t xml:space="preserve"> </w:t>
      </w:r>
      <w:r w:rsidRPr="00EB77D6">
        <w:rPr>
          <w:sz w:val="24"/>
          <w:szCs w:val="24"/>
          <w:lang w:val="mk-MK"/>
        </w:rPr>
        <w:t>од</w:t>
      </w:r>
      <w:r w:rsidRPr="00EB77D6">
        <w:rPr>
          <w:sz w:val="24"/>
          <w:szCs w:val="24"/>
          <w:lang w:val="en-US"/>
        </w:rPr>
        <w:t xml:space="preserve"> </w:t>
      </w:r>
      <w:r w:rsidRPr="00EB77D6">
        <w:rPr>
          <w:sz w:val="24"/>
          <w:szCs w:val="24"/>
          <w:lang w:val="mk-MK"/>
        </w:rPr>
        <w:t>ЕУР</w:t>
      </w:r>
      <w:r w:rsidRPr="00EB77D6">
        <w:rPr>
          <w:sz w:val="24"/>
          <w:szCs w:val="24"/>
          <w:lang w:val="en-US"/>
        </w:rPr>
        <w:t xml:space="preserve"> 100.001. </w:t>
      </w:r>
      <w:r w:rsidRPr="00EB77D6">
        <w:rPr>
          <w:sz w:val="24"/>
          <w:szCs w:val="24"/>
          <w:lang w:val="mk-MK"/>
        </w:rPr>
        <w:t>ВКОМП, исто така, одобрува реструктурирање на побарувањата и регулирање на побарувањата во согласност со важечките кредитни политики и врши други активности утврдени со одлуки од Надзорниот одбор. Седниците се одржуваат по пат на телеконференција или со писмена согласност, кога е потребно, со кворум од сите членови, а одлуките се донесуваат едногласно.</w:t>
      </w:r>
      <w:r w:rsidRPr="00EB77D6">
        <w:rPr>
          <w:sz w:val="24"/>
          <w:szCs w:val="24"/>
          <w:lang w:val="en-US"/>
        </w:rPr>
        <w:t xml:space="preserve"> </w:t>
      </w:r>
    </w:p>
    <w:p w14:paraId="09B9401A" w14:textId="77777777" w:rsidR="001C5B17" w:rsidRPr="00EB77D6" w:rsidRDefault="001C5B17" w:rsidP="001C5B17">
      <w:pPr>
        <w:pStyle w:val="BodyText"/>
        <w:spacing w:line="276" w:lineRule="auto"/>
        <w:ind w:left="540"/>
        <w:rPr>
          <w:sz w:val="24"/>
          <w:szCs w:val="24"/>
          <w:lang w:val="en-US"/>
        </w:rPr>
      </w:pPr>
      <w:r w:rsidRPr="00EB77D6">
        <w:rPr>
          <w:b/>
          <w:sz w:val="24"/>
          <w:szCs w:val="24"/>
          <w:u w:val="single"/>
          <w:lang w:val="mk-MK"/>
        </w:rPr>
        <w:t>5. Кредитен одбор за мали претпријатија</w:t>
      </w:r>
      <w:r w:rsidRPr="00EB77D6">
        <w:rPr>
          <w:sz w:val="24"/>
          <w:szCs w:val="24"/>
          <w:u w:val="single"/>
          <w:lang w:val="en-US"/>
        </w:rPr>
        <w:t xml:space="preserve"> </w:t>
      </w:r>
      <w:r w:rsidRPr="00EB77D6">
        <w:rPr>
          <w:b/>
          <w:sz w:val="24"/>
          <w:szCs w:val="24"/>
          <w:u w:val="single"/>
          <w:lang w:val="en-US"/>
        </w:rPr>
        <w:t>(</w:t>
      </w:r>
      <w:r w:rsidRPr="00EB77D6">
        <w:rPr>
          <w:b/>
          <w:sz w:val="24"/>
          <w:szCs w:val="24"/>
          <w:u w:val="single"/>
          <w:lang w:val="mk-MK"/>
        </w:rPr>
        <w:t>КОМП</w:t>
      </w:r>
      <w:r w:rsidRPr="00EB77D6">
        <w:rPr>
          <w:b/>
          <w:sz w:val="24"/>
          <w:szCs w:val="24"/>
          <w:u w:val="single"/>
          <w:lang w:val="en-US"/>
        </w:rPr>
        <w:t>)</w:t>
      </w:r>
      <w:r w:rsidRPr="00EB77D6">
        <w:rPr>
          <w:sz w:val="24"/>
          <w:szCs w:val="24"/>
          <w:u w:val="single"/>
          <w:lang w:val="en-US"/>
        </w:rPr>
        <w:t xml:space="preserve">: </w:t>
      </w:r>
      <w:r w:rsidRPr="00EB77D6">
        <w:rPr>
          <w:sz w:val="24"/>
          <w:szCs w:val="24"/>
          <w:lang w:val="mk-MK"/>
        </w:rPr>
        <w:t>се состои од 5 членови и тоа</w:t>
      </w:r>
      <w:r w:rsidRPr="00EB77D6">
        <w:rPr>
          <w:sz w:val="24"/>
          <w:szCs w:val="24"/>
          <w:lang w:val="en-US"/>
        </w:rPr>
        <w:t>:</w:t>
      </w:r>
    </w:p>
    <w:p w14:paraId="22DCE36A" w14:textId="77777777" w:rsidR="001C5B17" w:rsidRPr="00EB77D6" w:rsidRDefault="001C5B17" w:rsidP="001C5B17">
      <w:pPr>
        <w:pStyle w:val="BodyText"/>
        <w:numPr>
          <w:ilvl w:val="0"/>
          <w:numId w:val="37"/>
        </w:numPr>
        <w:spacing w:before="120" w:line="276" w:lineRule="auto"/>
        <w:ind w:left="1267"/>
        <w:jc w:val="both"/>
        <w:rPr>
          <w:sz w:val="24"/>
          <w:szCs w:val="24"/>
          <w:lang w:val="en-US"/>
        </w:rPr>
      </w:pPr>
      <w:r w:rsidRPr="00EB77D6">
        <w:rPr>
          <w:sz w:val="24"/>
          <w:szCs w:val="24"/>
          <w:lang w:val="mk-MK"/>
        </w:rPr>
        <w:t>Милица Чапаровска-Јовановска - Генерален директор за банкарство на мало и член на Управниот одбор на СБ, претседател</w:t>
      </w:r>
    </w:p>
    <w:p w14:paraId="0F0D154E" w14:textId="77777777" w:rsidR="001C5B17" w:rsidRPr="00EB77D6" w:rsidRDefault="001C5B17" w:rsidP="001C5B17">
      <w:pPr>
        <w:pStyle w:val="BodyText"/>
        <w:numPr>
          <w:ilvl w:val="0"/>
          <w:numId w:val="37"/>
        </w:numPr>
        <w:spacing w:before="120" w:line="276" w:lineRule="auto"/>
        <w:ind w:left="1267"/>
        <w:jc w:val="both"/>
        <w:rPr>
          <w:sz w:val="24"/>
          <w:szCs w:val="24"/>
          <w:lang w:val="en-US"/>
        </w:rPr>
      </w:pPr>
      <w:r w:rsidRPr="00EB77D6">
        <w:rPr>
          <w:sz w:val="24"/>
          <w:szCs w:val="24"/>
          <w:lang w:val="mk-MK"/>
        </w:rPr>
        <w:t>Дејан Крстевски - Директор на Сектор за кредитирање на мали претпријатија, член</w:t>
      </w:r>
    </w:p>
    <w:p w14:paraId="03F702DE" w14:textId="77777777" w:rsidR="001C5B17" w:rsidRPr="00EB77D6" w:rsidRDefault="001C5B17" w:rsidP="001C5B17">
      <w:pPr>
        <w:pStyle w:val="BodyText"/>
        <w:numPr>
          <w:ilvl w:val="0"/>
          <w:numId w:val="37"/>
        </w:numPr>
        <w:spacing w:before="120" w:line="276" w:lineRule="auto"/>
        <w:ind w:left="1267"/>
        <w:jc w:val="both"/>
        <w:rPr>
          <w:sz w:val="24"/>
          <w:szCs w:val="24"/>
          <w:lang w:val="en-US"/>
        </w:rPr>
      </w:pPr>
      <w:r w:rsidRPr="00EB77D6">
        <w:rPr>
          <w:sz w:val="24"/>
          <w:szCs w:val="24"/>
          <w:lang w:val="mk-MK"/>
        </w:rPr>
        <w:t>Барбара Брезовска Поњавиќ или Драган Михаилов - Директор или Заменик директор на Секторот за управување со производи, член</w:t>
      </w:r>
    </w:p>
    <w:p w14:paraId="3635B499" w14:textId="77777777" w:rsidR="001C5B17" w:rsidRPr="00EB77D6" w:rsidRDefault="001C5B17" w:rsidP="001C5B17">
      <w:pPr>
        <w:pStyle w:val="BodyText"/>
        <w:numPr>
          <w:ilvl w:val="0"/>
          <w:numId w:val="37"/>
        </w:numPr>
        <w:spacing w:before="120" w:line="276" w:lineRule="auto"/>
        <w:ind w:left="1267"/>
        <w:jc w:val="both"/>
        <w:rPr>
          <w:sz w:val="24"/>
          <w:szCs w:val="24"/>
          <w:lang w:val="en-US"/>
        </w:rPr>
      </w:pPr>
      <w:r w:rsidRPr="00EB77D6">
        <w:rPr>
          <w:sz w:val="24"/>
          <w:szCs w:val="24"/>
          <w:lang w:val="mk-MK"/>
        </w:rPr>
        <w:t>Михаела Атанасовска Стоичовска – Директор на Сектор за кредитен ризик, член</w:t>
      </w:r>
    </w:p>
    <w:p w14:paraId="455E2307" w14:textId="77777777" w:rsidR="001C5B17" w:rsidRPr="00EB77D6" w:rsidRDefault="001C5B17" w:rsidP="001C5B17">
      <w:pPr>
        <w:pStyle w:val="BodyText"/>
        <w:numPr>
          <w:ilvl w:val="0"/>
          <w:numId w:val="37"/>
        </w:numPr>
        <w:spacing w:before="120" w:line="276" w:lineRule="auto"/>
        <w:ind w:left="1267"/>
        <w:jc w:val="both"/>
        <w:rPr>
          <w:sz w:val="24"/>
          <w:szCs w:val="24"/>
          <w:lang w:val="en-US"/>
        </w:rPr>
      </w:pPr>
      <w:r w:rsidRPr="00EB77D6">
        <w:rPr>
          <w:sz w:val="24"/>
          <w:szCs w:val="24"/>
          <w:lang w:val="mk-MK"/>
        </w:rPr>
        <w:t xml:space="preserve">Маја Русовска – Директор на Дирекција за кредитирање на мали претпријатија, член. </w:t>
      </w:r>
    </w:p>
    <w:p w14:paraId="4772AE64" w14:textId="77777777" w:rsidR="001C5B17" w:rsidRPr="00EB77D6" w:rsidRDefault="001C5B17" w:rsidP="001C5B17">
      <w:pPr>
        <w:pStyle w:val="BodyText2"/>
        <w:spacing w:line="276" w:lineRule="auto"/>
        <w:rPr>
          <w:rFonts w:ascii="Times New Roman" w:hAnsi="Times New Roman"/>
          <w:szCs w:val="24"/>
          <w:lang w:val="en-GB"/>
        </w:rPr>
      </w:pPr>
      <w:r w:rsidRPr="00EB77D6">
        <w:rPr>
          <w:rFonts w:ascii="Times New Roman" w:hAnsi="Times New Roman"/>
          <w:szCs w:val="24"/>
          <w:lang w:val="mk-MK"/>
        </w:rPr>
        <w:t>Членовите се избрани без ограничување на мандатот</w:t>
      </w:r>
      <w:r w:rsidRPr="00EB77D6">
        <w:rPr>
          <w:rFonts w:ascii="Times New Roman" w:hAnsi="Times New Roman"/>
          <w:szCs w:val="24"/>
          <w:lang w:val="en-GB"/>
        </w:rPr>
        <w:t>.</w:t>
      </w:r>
    </w:p>
    <w:p w14:paraId="15990CEB" w14:textId="77777777" w:rsidR="001C5B17" w:rsidRPr="00EB77D6" w:rsidRDefault="001C5B17" w:rsidP="001C5B17">
      <w:pPr>
        <w:pStyle w:val="BodyText2"/>
        <w:spacing w:line="276" w:lineRule="auto"/>
        <w:jc w:val="both"/>
        <w:rPr>
          <w:rFonts w:ascii="Times New Roman" w:hAnsi="Times New Roman"/>
          <w:szCs w:val="24"/>
          <w:lang w:val="en-GB"/>
        </w:rPr>
      </w:pPr>
    </w:p>
    <w:p w14:paraId="2B915E00" w14:textId="77777777" w:rsidR="001C5B17" w:rsidRPr="00EB77D6" w:rsidRDefault="001C5B17" w:rsidP="001C5B17">
      <w:pPr>
        <w:pStyle w:val="BodyText"/>
        <w:spacing w:line="276" w:lineRule="auto"/>
        <w:jc w:val="both"/>
        <w:rPr>
          <w:sz w:val="24"/>
          <w:szCs w:val="24"/>
          <w:lang w:val="en-US"/>
        </w:rPr>
      </w:pPr>
      <w:r w:rsidRPr="00EB77D6">
        <w:rPr>
          <w:sz w:val="24"/>
          <w:szCs w:val="24"/>
          <w:lang w:val="mk-MK"/>
        </w:rPr>
        <w:lastRenderedPageBreak/>
        <w:t>КОМП одлучува за кредитна изложеност кон поединечен субјект - правно лице во износ до ЕУР 100.000. КОМП, исто така, одобрува реструктурирање на побарувањата и регулирање на побарувањата во согласност со важечките кредитни политики и врши други активности утврдени со одлуки на Надзорниот одбор. Седниците се одржуваат по пат на телеконференција или со писмена согласност, кога е потребно, со кворум од сите членови, а одлуките се донесуваат едногласно.</w:t>
      </w:r>
    </w:p>
    <w:p w14:paraId="02CFFC8C" w14:textId="77777777" w:rsidR="001C5B17" w:rsidRPr="00EB77D6" w:rsidRDefault="001C5B17" w:rsidP="001C5B17">
      <w:pPr>
        <w:pStyle w:val="BodyText"/>
        <w:spacing w:line="276" w:lineRule="auto"/>
        <w:jc w:val="both"/>
        <w:rPr>
          <w:sz w:val="24"/>
          <w:szCs w:val="24"/>
          <w:lang w:val="en-US"/>
        </w:rPr>
      </w:pPr>
      <w:r w:rsidRPr="00EB77D6">
        <w:rPr>
          <w:sz w:val="24"/>
          <w:szCs w:val="24"/>
          <w:lang w:val="mk-MK"/>
        </w:rPr>
        <w:t>Пониски нивоа на одобрување може да се утврдат со одлуки на Надзорниот одбор</w:t>
      </w:r>
      <w:r w:rsidRPr="00EB77D6">
        <w:rPr>
          <w:sz w:val="24"/>
          <w:szCs w:val="24"/>
          <w:lang w:val="en-US"/>
        </w:rPr>
        <w:t xml:space="preserve"> </w:t>
      </w:r>
      <w:r w:rsidRPr="00EB77D6">
        <w:rPr>
          <w:sz w:val="24"/>
          <w:szCs w:val="24"/>
          <w:lang w:val="mk-MK"/>
        </w:rPr>
        <w:t>или со</w:t>
      </w:r>
      <w:r w:rsidRPr="00EB77D6">
        <w:rPr>
          <w:sz w:val="24"/>
          <w:szCs w:val="24"/>
          <w:lang w:val="en-US"/>
        </w:rPr>
        <w:t xml:space="preserve"> </w:t>
      </w:r>
      <w:r w:rsidRPr="00EB77D6">
        <w:rPr>
          <w:sz w:val="24"/>
          <w:szCs w:val="24"/>
          <w:lang w:val="mk-MK"/>
        </w:rPr>
        <w:t>одобрување на релевантната кредитна политика</w:t>
      </w:r>
      <w:r w:rsidRPr="00EB77D6">
        <w:rPr>
          <w:sz w:val="24"/>
          <w:szCs w:val="24"/>
          <w:lang w:val="en-US"/>
        </w:rPr>
        <w:t>.</w:t>
      </w:r>
    </w:p>
    <w:p w14:paraId="00183279" w14:textId="77777777" w:rsidR="001C5B17" w:rsidRPr="00EB77D6" w:rsidRDefault="001C5B17" w:rsidP="001C5B17">
      <w:pPr>
        <w:pStyle w:val="BodyText"/>
        <w:spacing w:line="276" w:lineRule="auto"/>
        <w:ind w:left="540"/>
        <w:rPr>
          <w:sz w:val="24"/>
          <w:szCs w:val="24"/>
          <w:lang w:val="en-US"/>
        </w:rPr>
      </w:pPr>
      <w:r w:rsidRPr="00EB77D6">
        <w:rPr>
          <w:b/>
          <w:sz w:val="24"/>
          <w:szCs w:val="24"/>
          <w:u w:val="single"/>
          <w:lang w:val="mk-MK"/>
        </w:rPr>
        <w:t>6. Кредитен одбор за население</w:t>
      </w:r>
      <w:r w:rsidRPr="00EB77D6">
        <w:rPr>
          <w:b/>
          <w:sz w:val="24"/>
          <w:szCs w:val="24"/>
          <w:u w:val="single"/>
          <w:lang w:val="en-US"/>
        </w:rPr>
        <w:t xml:space="preserve"> (</w:t>
      </w:r>
      <w:r w:rsidRPr="00EB77D6">
        <w:rPr>
          <w:b/>
          <w:sz w:val="24"/>
          <w:szCs w:val="24"/>
          <w:u w:val="single"/>
          <w:lang w:val="mk-MK"/>
        </w:rPr>
        <w:t>КОН</w:t>
      </w:r>
      <w:r w:rsidRPr="00EB77D6">
        <w:rPr>
          <w:b/>
          <w:sz w:val="24"/>
          <w:szCs w:val="24"/>
          <w:u w:val="single"/>
          <w:lang w:val="en-US"/>
        </w:rPr>
        <w:t>):</w:t>
      </w:r>
      <w:r w:rsidRPr="00EB77D6">
        <w:rPr>
          <w:b/>
          <w:sz w:val="24"/>
          <w:szCs w:val="24"/>
          <w:u w:val="single"/>
          <w:lang w:val="mk-MK"/>
        </w:rPr>
        <w:t xml:space="preserve"> </w:t>
      </w:r>
      <w:r w:rsidRPr="00EB77D6">
        <w:rPr>
          <w:sz w:val="24"/>
          <w:szCs w:val="24"/>
          <w:lang w:val="mk-MK"/>
        </w:rPr>
        <w:t>се состои од 5 членови и тоа</w:t>
      </w:r>
      <w:r w:rsidRPr="00EB77D6">
        <w:rPr>
          <w:sz w:val="24"/>
          <w:szCs w:val="24"/>
          <w:lang w:val="en-US"/>
        </w:rPr>
        <w:t>:</w:t>
      </w:r>
    </w:p>
    <w:p w14:paraId="3B54F47F" w14:textId="77777777" w:rsidR="001C5B17" w:rsidRPr="00EB77D6" w:rsidRDefault="001C5B17" w:rsidP="001C5B17">
      <w:pPr>
        <w:pStyle w:val="BodyText"/>
        <w:numPr>
          <w:ilvl w:val="0"/>
          <w:numId w:val="27"/>
        </w:numPr>
        <w:spacing w:before="120" w:line="276" w:lineRule="auto"/>
        <w:ind w:left="1166"/>
        <w:jc w:val="both"/>
        <w:rPr>
          <w:sz w:val="24"/>
          <w:szCs w:val="24"/>
          <w:lang w:val="en-US"/>
        </w:rPr>
      </w:pPr>
      <w:r w:rsidRPr="00EB77D6">
        <w:rPr>
          <w:sz w:val="24"/>
          <w:szCs w:val="24"/>
          <w:lang w:val="mk-MK"/>
        </w:rPr>
        <w:t>Милица Чапаровска-Јовановска - Генерален директор за банкарство на мало и член на Управниот одбор на СБ, претседател</w:t>
      </w:r>
    </w:p>
    <w:p w14:paraId="453480E0" w14:textId="77777777" w:rsidR="001C5B17" w:rsidRPr="00EB77D6" w:rsidRDefault="001C5B17" w:rsidP="001C5B17">
      <w:pPr>
        <w:pStyle w:val="BodyText"/>
        <w:numPr>
          <w:ilvl w:val="0"/>
          <w:numId w:val="27"/>
        </w:numPr>
        <w:spacing w:before="120" w:line="276" w:lineRule="auto"/>
        <w:ind w:left="1166"/>
        <w:jc w:val="both"/>
        <w:rPr>
          <w:sz w:val="24"/>
          <w:szCs w:val="24"/>
          <w:lang w:val="en-US"/>
        </w:rPr>
      </w:pPr>
      <w:r w:rsidRPr="00EB77D6">
        <w:rPr>
          <w:sz w:val="24"/>
          <w:szCs w:val="24"/>
          <w:lang w:val="mk-MK"/>
        </w:rPr>
        <w:t>Барбара Брезовска Поњавиќ или Драган Михаилов - Директор или Заменик директор на Секторот за управување со производи, член</w:t>
      </w:r>
    </w:p>
    <w:p w14:paraId="0A40EAFE" w14:textId="77777777" w:rsidR="001C5B17" w:rsidRPr="00EB77D6" w:rsidRDefault="001C5B17" w:rsidP="001C5B17">
      <w:pPr>
        <w:pStyle w:val="BodyText"/>
        <w:numPr>
          <w:ilvl w:val="0"/>
          <w:numId w:val="27"/>
        </w:numPr>
        <w:spacing w:before="120" w:line="276" w:lineRule="auto"/>
        <w:ind w:left="1166"/>
        <w:jc w:val="both"/>
        <w:rPr>
          <w:sz w:val="24"/>
          <w:szCs w:val="24"/>
          <w:lang w:val="en-US"/>
        </w:rPr>
      </w:pPr>
      <w:r w:rsidRPr="00EB77D6">
        <w:rPr>
          <w:sz w:val="24"/>
          <w:szCs w:val="24"/>
          <w:lang w:val="mk-MK"/>
        </w:rPr>
        <w:t>Михаела Атанасова Стоичовска - Директор на Секторот за управување со кредитен ризик, член</w:t>
      </w:r>
      <w:r w:rsidRPr="00EB77D6">
        <w:rPr>
          <w:sz w:val="24"/>
          <w:szCs w:val="24"/>
          <w:lang w:val="en-US"/>
        </w:rPr>
        <w:t xml:space="preserve"> </w:t>
      </w:r>
    </w:p>
    <w:p w14:paraId="7783CF0A" w14:textId="77777777" w:rsidR="001C5B17" w:rsidRPr="00EB77D6" w:rsidRDefault="001C5B17" w:rsidP="001C5B17">
      <w:pPr>
        <w:pStyle w:val="BodyText"/>
        <w:numPr>
          <w:ilvl w:val="0"/>
          <w:numId w:val="27"/>
        </w:numPr>
        <w:spacing w:before="120" w:line="276" w:lineRule="auto"/>
        <w:ind w:left="1166"/>
        <w:jc w:val="both"/>
        <w:rPr>
          <w:sz w:val="24"/>
          <w:szCs w:val="24"/>
          <w:lang w:val="en-US"/>
        </w:rPr>
      </w:pPr>
      <w:r w:rsidRPr="00EB77D6">
        <w:rPr>
          <w:sz w:val="24"/>
          <w:szCs w:val="24"/>
          <w:lang w:val="mk-MK"/>
        </w:rPr>
        <w:t>Татјана Калајџиева – Сениор Директор за продажба и мрежа на филијали, член</w:t>
      </w:r>
    </w:p>
    <w:p w14:paraId="16AA9863" w14:textId="77777777" w:rsidR="001C5B17" w:rsidRPr="00EB77D6" w:rsidRDefault="001C5B17" w:rsidP="001C5B17">
      <w:pPr>
        <w:pStyle w:val="BodyText"/>
        <w:numPr>
          <w:ilvl w:val="0"/>
          <w:numId w:val="27"/>
        </w:numPr>
        <w:spacing w:before="120" w:line="276" w:lineRule="auto"/>
        <w:ind w:left="1166"/>
        <w:jc w:val="both"/>
        <w:rPr>
          <w:sz w:val="24"/>
          <w:szCs w:val="24"/>
          <w:lang w:val="en-US"/>
        </w:rPr>
      </w:pPr>
      <w:r w:rsidRPr="00EB77D6">
        <w:rPr>
          <w:sz w:val="24"/>
          <w:szCs w:val="24"/>
          <w:lang w:val="mk-MK"/>
        </w:rPr>
        <w:t>Виолета Затенко - Директор на Дирекцијата за изготвување кредитни предлози за население, член</w:t>
      </w:r>
      <w:r w:rsidRPr="00EB77D6">
        <w:rPr>
          <w:sz w:val="24"/>
          <w:szCs w:val="24"/>
          <w:lang w:val="en-US"/>
        </w:rPr>
        <w:t>.</w:t>
      </w:r>
    </w:p>
    <w:p w14:paraId="29A4DB38" w14:textId="77777777" w:rsidR="001C5B17" w:rsidRPr="00EB77D6" w:rsidRDefault="001C5B17" w:rsidP="001C5B17">
      <w:pPr>
        <w:pStyle w:val="BodyText2"/>
        <w:spacing w:line="276" w:lineRule="auto"/>
        <w:rPr>
          <w:rFonts w:ascii="Times New Roman" w:hAnsi="Times New Roman"/>
          <w:szCs w:val="24"/>
          <w:lang w:val="en-GB"/>
        </w:rPr>
      </w:pPr>
      <w:r w:rsidRPr="00EB77D6">
        <w:rPr>
          <w:rFonts w:ascii="Times New Roman" w:hAnsi="Times New Roman"/>
          <w:szCs w:val="24"/>
          <w:lang w:val="mk-MK"/>
        </w:rPr>
        <w:t>Членовите се избрани без ограничување на мандатот</w:t>
      </w:r>
      <w:r w:rsidRPr="00EB77D6">
        <w:rPr>
          <w:rFonts w:ascii="Times New Roman" w:hAnsi="Times New Roman"/>
          <w:szCs w:val="24"/>
          <w:lang w:val="en-GB"/>
        </w:rPr>
        <w:t>.</w:t>
      </w:r>
    </w:p>
    <w:p w14:paraId="347AB13C" w14:textId="77777777" w:rsidR="001C5B17" w:rsidRPr="00EB77D6" w:rsidRDefault="001C5B17" w:rsidP="001C5B17">
      <w:pPr>
        <w:pStyle w:val="BodyText"/>
        <w:spacing w:line="276" w:lineRule="auto"/>
        <w:rPr>
          <w:sz w:val="24"/>
          <w:szCs w:val="24"/>
          <w:lang w:val="en-GB"/>
        </w:rPr>
      </w:pPr>
    </w:p>
    <w:p w14:paraId="61EE25FC" w14:textId="77777777" w:rsidR="001C5B17" w:rsidRPr="00EB77D6" w:rsidRDefault="001C5B17" w:rsidP="001C5B17">
      <w:pPr>
        <w:pStyle w:val="BodyText"/>
        <w:spacing w:line="276" w:lineRule="auto"/>
        <w:jc w:val="both"/>
        <w:rPr>
          <w:sz w:val="24"/>
          <w:szCs w:val="24"/>
          <w:lang w:val="en-US"/>
        </w:rPr>
      </w:pPr>
      <w:r w:rsidRPr="00EB77D6">
        <w:rPr>
          <w:sz w:val="24"/>
          <w:szCs w:val="24"/>
          <w:lang w:val="mk-MK"/>
        </w:rPr>
        <w:t>КОН одлучува за кредитна изложеност кон поединечен субјект - физичко лице во износ до ЕУР 100.000. КОН, исто така, одобрува реструктурирање на побарувањата и регулирање на побарувањата во согласност со важечките кредитни политики и врши други активности утврдени со одлуки на Надзорниот одбор. Седниците се одржуваат по пат на телеконференција или со писмена согласност, кога е потребно, со кворум од сите членови, а одлуките се донесуваат едногласно. Пониски нивоа на одобрување може да се утврдат со одлука на Надзорниот одбор.</w:t>
      </w:r>
      <w:r w:rsidRPr="00EB77D6">
        <w:rPr>
          <w:sz w:val="24"/>
          <w:szCs w:val="24"/>
          <w:lang w:val="en-US"/>
        </w:rPr>
        <w:t xml:space="preserve"> </w:t>
      </w:r>
    </w:p>
    <w:p w14:paraId="08341090" w14:textId="77777777" w:rsidR="001C5B17" w:rsidRPr="00EB77D6" w:rsidRDefault="001C5B17" w:rsidP="001C5B17">
      <w:pPr>
        <w:pStyle w:val="BodyText"/>
        <w:spacing w:line="276" w:lineRule="auto"/>
        <w:jc w:val="both"/>
        <w:rPr>
          <w:sz w:val="24"/>
          <w:szCs w:val="24"/>
          <w:lang w:val="en-US"/>
        </w:rPr>
      </w:pPr>
      <w:r w:rsidRPr="00EB77D6">
        <w:rPr>
          <w:sz w:val="24"/>
          <w:szCs w:val="24"/>
          <w:lang w:val="mk-MK"/>
        </w:rPr>
        <w:t>Пониски нивоа на одобрување може да се утврдат со одлуки на Надзорниот одбор</w:t>
      </w:r>
      <w:r w:rsidRPr="00EB77D6">
        <w:rPr>
          <w:sz w:val="24"/>
          <w:szCs w:val="24"/>
          <w:lang w:val="en-US"/>
        </w:rPr>
        <w:t xml:space="preserve"> </w:t>
      </w:r>
      <w:r w:rsidRPr="00EB77D6">
        <w:rPr>
          <w:sz w:val="24"/>
          <w:szCs w:val="24"/>
          <w:lang w:val="mk-MK"/>
        </w:rPr>
        <w:t>или со</w:t>
      </w:r>
      <w:r w:rsidRPr="00EB77D6">
        <w:rPr>
          <w:sz w:val="24"/>
          <w:szCs w:val="24"/>
          <w:lang w:val="en-US"/>
        </w:rPr>
        <w:t xml:space="preserve"> </w:t>
      </w:r>
      <w:r w:rsidRPr="00EB77D6">
        <w:rPr>
          <w:sz w:val="24"/>
          <w:szCs w:val="24"/>
          <w:lang w:val="mk-MK"/>
        </w:rPr>
        <w:t>одобрување на релевантната кредитна политика</w:t>
      </w:r>
      <w:r w:rsidRPr="00EB77D6">
        <w:rPr>
          <w:sz w:val="24"/>
          <w:szCs w:val="24"/>
          <w:lang w:val="en-US"/>
        </w:rPr>
        <w:t>.</w:t>
      </w:r>
    </w:p>
    <w:p w14:paraId="506C19E3" w14:textId="46D2294F" w:rsidR="001C5B17" w:rsidRDefault="001C5B17" w:rsidP="001C5B17">
      <w:pPr>
        <w:pStyle w:val="BodyText"/>
        <w:spacing w:line="276" w:lineRule="auto"/>
        <w:jc w:val="both"/>
        <w:rPr>
          <w:sz w:val="24"/>
          <w:szCs w:val="24"/>
          <w:lang w:val="en-US"/>
        </w:rPr>
      </w:pPr>
      <w:r w:rsidRPr="00EB77D6">
        <w:rPr>
          <w:sz w:val="24"/>
          <w:szCs w:val="24"/>
          <w:lang w:val="en-US"/>
        </w:rPr>
        <w:t>*</w:t>
      </w:r>
      <w:r w:rsidRPr="00EB77D6">
        <w:rPr>
          <w:sz w:val="24"/>
          <w:szCs w:val="24"/>
          <w:lang w:val="mk-MK"/>
        </w:rPr>
        <w:t>Кредитните одбори работат во согласност со соодветната кредитна политика усвоена од страна на Надзорниот одбор</w:t>
      </w:r>
      <w:r w:rsidRPr="00EB77D6">
        <w:rPr>
          <w:sz w:val="24"/>
          <w:szCs w:val="24"/>
          <w:lang w:val="en-US"/>
        </w:rPr>
        <w:t xml:space="preserve">. </w:t>
      </w:r>
      <w:r w:rsidRPr="00EB77D6">
        <w:rPr>
          <w:sz w:val="24"/>
          <w:szCs w:val="24"/>
          <w:lang w:val="mk-MK"/>
        </w:rPr>
        <w:t>Членовите</w:t>
      </w:r>
      <w:r w:rsidRPr="00EB77D6">
        <w:rPr>
          <w:sz w:val="24"/>
          <w:szCs w:val="24"/>
          <w:lang w:val="en-US"/>
        </w:rPr>
        <w:t xml:space="preserve"> </w:t>
      </w:r>
      <w:r w:rsidRPr="00EB77D6">
        <w:rPr>
          <w:sz w:val="24"/>
          <w:szCs w:val="24"/>
          <w:lang w:val="mk-MK"/>
        </w:rPr>
        <w:t>на</w:t>
      </w:r>
      <w:r w:rsidRPr="00EB77D6">
        <w:rPr>
          <w:sz w:val="24"/>
          <w:szCs w:val="24"/>
          <w:lang w:val="en-US"/>
        </w:rPr>
        <w:t xml:space="preserve"> </w:t>
      </w:r>
      <w:r w:rsidRPr="00EB77D6">
        <w:rPr>
          <w:sz w:val="24"/>
          <w:szCs w:val="24"/>
          <w:lang w:val="mk-MK"/>
        </w:rPr>
        <w:t>кредитните одбори</w:t>
      </w:r>
      <w:r w:rsidRPr="00EB77D6">
        <w:rPr>
          <w:sz w:val="24"/>
          <w:szCs w:val="24"/>
          <w:lang w:val="en-US"/>
        </w:rPr>
        <w:t xml:space="preserve"> </w:t>
      </w:r>
      <w:r w:rsidRPr="00EB77D6">
        <w:rPr>
          <w:sz w:val="24"/>
          <w:szCs w:val="24"/>
          <w:lang w:val="mk-MK"/>
        </w:rPr>
        <w:t>се лица со посебни права</w:t>
      </w:r>
      <w:r w:rsidRPr="00EB77D6">
        <w:rPr>
          <w:sz w:val="24"/>
          <w:szCs w:val="24"/>
          <w:lang w:val="en-US"/>
        </w:rPr>
        <w:t xml:space="preserve"> и </w:t>
      </w:r>
      <w:r w:rsidRPr="00EB77D6">
        <w:rPr>
          <w:sz w:val="24"/>
          <w:szCs w:val="24"/>
          <w:lang w:val="mk-MK"/>
        </w:rPr>
        <w:t>одговорности во</w:t>
      </w:r>
      <w:r w:rsidRPr="00EB77D6">
        <w:rPr>
          <w:sz w:val="24"/>
          <w:szCs w:val="24"/>
          <w:lang w:val="en-US"/>
        </w:rPr>
        <w:t xml:space="preserve"> СБ, </w:t>
      </w:r>
      <w:r w:rsidRPr="00EB77D6">
        <w:rPr>
          <w:sz w:val="24"/>
          <w:szCs w:val="24"/>
          <w:lang w:val="mk-MK"/>
        </w:rPr>
        <w:t>или други вработени во</w:t>
      </w:r>
      <w:r w:rsidRPr="00EB77D6">
        <w:rPr>
          <w:sz w:val="24"/>
          <w:szCs w:val="24"/>
          <w:lang w:val="en-US"/>
        </w:rPr>
        <w:t xml:space="preserve"> СБ, </w:t>
      </w:r>
      <w:r w:rsidRPr="00EB77D6">
        <w:rPr>
          <w:sz w:val="24"/>
          <w:szCs w:val="24"/>
          <w:lang w:val="mk-MK"/>
        </w:rPr>
        <w:t>или</w:t>
      </w:r>
      <w:r w:rsidRPr="00EB77D6">
        <w:rPr>
          <w:sz w:val="24"/>
          <w:szCs w:val="24"/>
          <w:lang w:val="en-US"/>
        </w:rPr>
        <w:t xml:space="preserve"> </w:t>
      </w:r>
      <w:r w:rsidRPr="00EB77D6">
        <w:rPr>
          <w:sz w:val="24"/>
          <w:szCs w:val="24"/>
          <w:lang w:val="mk-MK"/>
        </w:rPr>
        <w:t>други лица</w:t>
      </w:r>
      <w:r w:rsidRPr="00EB77D6">
        <w:rPr>
          <w:sz w:val="24"/>
          <w:szCs w:val="24"/>
          <w:lang w:val="en-US"/>
        </w:rPr>
        <w:t xml:space="preserve"> </w:t>
      </w:r>
      <w:r w:rsidRPr="00EB77D6">
        <w:rPr>
          <w:sz w:val="24"/>
          <w:szCs w:val="24"/>
          <w:lang w:val="mk-MK"/>
        </w:rPr>
        <w:t>кои се</w:t>
      </w:r>
      <w:r w:rsidRPr="00EB77D6">
        <w:rPr>
          <w:sz w:val="24"/>
          <w:szCs w:val="24"/>
          <w:lang w:val="en-US"/>
        </w:rPr>
        <w:t xml:space="preserve"> </w:t>
      </w:r>
      <w:r w:rsidRPr="00EB77D6">
        <w:rPr>
          <w:sz w:val="24"/>
          <w:szCs w:val="24"/>
          <w:lang w:val="mk-MK"/>
        </w:rPr>
        <w:t>оценуваат како</w:t>
      </w:r>
      <w:r w:rsidRPr="00EB77D6">
        <w:rPr>
          <w:sz w:val="24"/>
          <w:szCs w:val="24"/>
          <w:lang w:val="en-US"/>
        </w:rPr>
        <w:t xml:space="preserve"> </w:t>
      </w:r>
      <w:r w:rsidRPr="00EB77D6">
        <w:rPr>
          <w:sz w:val="24"/>
          <w:szCs w:val="24"/>
          <w:lang w:val="mk-MK"/>
        </w:rPr>
        <w:t>соодветно</w:t>
      </w:r>
      <w:r w:rsidRPr="00EB77D6">
        <w:rPr>
          <w:sz w:val="24"/>
          <w:szCs w:val="24"/>
          <w:lang w:val="en-US"/>
        </w:rPr>
        <w:t xml:space="preserve"> </w:t>
      </w:r>
      <w:r w:rsidRPr="00EB77D6">
        <w:rPr>
          <w:sz w:val="24"/>
          <w:szCs w:val="24"/>
          <w:lang w:val="mk-MK"/>
        </w:rPr>
        <w:t>компетентни</w:t>
      </w:r>
      <w:r w:rsidRPr="00EB77D6">
        <w:rPr>
          <w:sz w:val="24"/>
          <w:szCs w:val="24"/>
          <w:lang w:val="en-US"/>
        </w:rPr>
        <w:t xml:space="preserve"> и </w:t>
      </w:r>
      <w:r w:rsidRPr="00EB77D6">
        <w:rPr>
          <w:sz w:val="24"/>
          <w:szCs w:val="24"/>
          <w:lang w:val="mk-MK"/>
        </w:rPr>
        <w:t>искусни</w:t>
      </w:r>
      <w:r w:rsidRPr="00EB77D6">
        <w:rPr>
          <w:sz w:val="24"/>
          <w:szCs w:val="24"/>
          <w:lang w:val="en-US"/>
        </w:rPr>
        <w:t xml:space="preserve"> </w:t>
      </w:r>
      <w:r w:rsidRPr="00EB77D6">
        <w:rPr>
          <w:sz w:val="24"/>
          <w:szCs w:val="24"/>
          <w:lang w:val="mk-MK"/>
        </w:rPr>
        <w:t>во</w:t>
      </w:r>
      <w:r w:rsidRPr="00EB77D6">
        <w:rPr>
          <w:sz w:val="24"/>
          <w:szCs w:val="24"/>
          <w:lang w:val="en-US"/>
        </w:rPr>
        <w:t xml:space="preserve"> </w:t>
      </w:r>
      <w:r w:rsidRPr="00EB77D6">
        <w:rPr>
          <w:sz w:val="24"/>
          <w:szCs w:val="24"/>
          <w:lang w:val="mk-MK"/>
        </w:rPr>
        <w:t>односната</w:t>
      </w:r>
      <w:r w:rsidRPr="00EB77D6">
        <w:rPr>
          <w:sz w:val="24"/>
          <w:szCs w:val="24"/>
          <w:lang w:val="en-US"/>
        </w:rPr>
        <w:t xml:space="preserve"> </w:t>
      </w:r>
      <w:r w:rsidRPr="00EB77D6">
        <w:rPr>
          <w:sz w:val="24"/>
          <w:szCs w:val="24"/>
          <w:lang w:val="mk-MK"/>
        </w:rPr>
        <w:t>кредитна</w:t>
      </w:r>
      <w:r w:rsidRPr="00EB77D6">
        <w:rPr>
          <w:sz w:val="24"/>
          <w:szCs w:val="24"/>
          <w:lang w:val="en-US"/>
        </w:rPr>
        <w:t xml:space="preserve"> </w:t>
      </w:r>
      <w:r w:rsidRPr="00EB77D6">
        <w:rPr>
          <w:sz w:val="24"/>
          <w:szCs w:val="24"/>
          <w:lang w:val="mk-MK"/>
        </w:rPr>
        <w:t>област.</w:t>
      </w:r>
      <w:r w:rsidRPr="00EB77D6">
        <w:rPr>
          <w:sz w:val="24"/>
          <w:szCs w:val="24"/>
          <w:lang w:val="en-US"/>
        </w:rPr>
        <w:t xml:space="preserve"> </w:t>
      </w:r>
    </w:p>
    <w:p w14:paraId="0787A880" w14:textId="107528BE" w:rsidR="00EB77D6" w:rsidRDefault="00EB77D6" w:rsidP="001C5B17">
      <w:pPr>
        <w:pStyle w:val="BodyText"/>
        <w:spacing w:line="276" w:lineRule="auto"/>
        <w:jc w:val="both"/>
        <w:rPr>
          <w:sz w:val="24"/>
          <w:szCs w:val="24"/>
          <w:lang w:val="en-US"/>
        </w:rPr>
      </w:pPr>
    </w:p>
    <w:p w14:paraId="79A8B28C" w14:textId="37B64403" w:rsidR="00EB77D6" w:rsidRDefault="00EB77D6" w:rsidP="001C5B17">
      <w:pPr>
        <w:pStyle w:val="BodyText"/>
        <w:spacing w:line="276" w:lineRule="auto"/>
        <w:jc w:val="both"/>
        <w:rPr>
          <w:sz w:val="24"/>
          <w:szCs w:val="24"/>
          <w:lang w:val="en-US"/>
        </w:rPr>
      </w:pPr>
    </w:p>
    <w:p w14:paraId="665C04AC" w14:textId="77777777" w:rsidR="00EB77D6" w:rsidRPr="00EB77D6" w:rsidRDefault="00EB77D6" w:rsidP="001C5B17">
      <w:pPr>
        <w:pStyle w:val="BodyText"/>
        <w:spacing w:line="276" w:lineRule="auto"/>
        <w:jc w:val="both"/>
        <w:rPr>
          <w:sz w:val="24"/>
          <w:szCs w:val="24"/>
          <w:lang w:val="en-US"/>
        </w:rPr>
      </w:pPr>
    </w:p>
    <w:p w14:paraId="5E29EE6F" w14:textId="77777777" w:rsidR="001C5B17" w:rsidRPr="00EB77D6" w:rsidRDefault="001C5B17" w:rsidP="001C5B17">
      <w:pPr>
        <w:pStyle w:val="BodyText"/>
        <w:spacing w:line="276" w:lineRule="auto"/>
        <w:ind w:firstLine="720"/>
        <w:jc w:val="both"/>
        <w:rPr>
          <w:b/>
          <w:sz w:val="24"/>
          <w:szCs w:val="24"/>
          <w:lang w:val="mk-MK"/>
        </w:rPr>
      </w:pPr>
      <w:r w:rsidRPr="00EB77D6">
        <w:rPr>
          <w:b/>
          <w:sz w:val="24"/>
          <w:szCs w:val="24"/>
          <w:lang w:val="en-US"/>
        </w:rPr>
        <w:lastRenderedPageBreak/>
        <w:t xml:space="preserve">1.5. </w:t>
      </w:r>
      <w:r w:rsidRPr="00EB77D6">
        <w:rPr>
          <w:b/>
          <w:sz w:val="24"/>
          <w:szCs w:val="24"/>
          <w:lang w:val="mk-MK"/>
        </w:rPr>
        <w:t xml:space="preserve">Политика на сукцесија </w:t>
      </w:r>
    </w:p>
    <w:p w14:paraId="09ACF16B" w14:textId="77777777" w:rsidR="001C5B17" w:rsidRPr="00EB77D6" w:rsidRDefault="001C5B17" w:rsidP="007F0042">
      <w:pPr>
        <w:pStyle w:val="BodyText"/>
        <w:jc w:val="both"/>
        <w:rPr>
          <w:sz w:val="24"/>
          <w:szCs w:val="24"/>
          <w:lang w:val="mk-MK"/>
        </w:rPr>
      </w:pPr>
      <w:r w:rsidRPr="00EB77D6">
        <w:rPr>
          <w:sz w:val="24"/>
          <w:szCs w:val="24"/>
          <w:lang w:val="mk-MK"/>
        </w:rPr>
        <w:t>Планирањето на сукцесијата (наследувањето, заменувањето на високите менаџерски и контролни позиции) е суштинска компонента за развојот на секоја корпорација. Планирањето на овој сегмент е алатка за добро управување на организацијата со цел да се обезбеди континуирано ефективно работење преку континуитет на лидерство. Добрата програма за планирање на сукцесија има за цел да идентификува вработени / поединци со висок потенцијал и амбиција, да ги обучи и да обезбеди достапни таленти за идното работење.</w:t>
      </w:r>
    </w:p>
    <w:p w14:paraId="4AB64839" w14:textId="77777777" w:rsidR="001C5B17" w:rsidRPr="00EB77D6" w:rsidRDefault="001C5B17" w:rsidP="007F0042">
      <w:pPr>
        <w:pStyle w:val="BodyText"/>
        <w:jc w:val="both"/>
        <w:rPr>
          <w:sz w:val="24"/>
          <w:szCs w:val="24"/>
          <w:lang w:val="mk-MK"/>
        </w:rPr>
      </w:pPr>
      <w:r w:rsidRPr="00EB77D6">
        <w:rPr>
          <w:sz w:val="24"/>
          <w:szCs w:val="24"/>
          <w:lang w:val="mk-MK"/>
        </w:rPr>
        <w:t xml:space="preserve">Банката ја препознава важноста на процесот за планирање на сукцесијата за да обезбеди континуитет во непреченото високо успешно работење. Постојат одредени позиции во Банката кои се клучни за сегашниот и идниот раст на Банката. Затоа, важно е овие позиции да бидат доделени на соодветно квалификувани и најдобрите можни поединци. Од клучно значење е таквите позиции да се пополнат навремено за да се избегне каква било лидерска празнина. </w:t>
      </w:r>
    </w:p>
    <w:p w14:paraId="4DFD8EF1" w14:textId="77777777" w:rsidR="001C5B17" w:rsidRPr="00EB77D6" w:rsidRDefault="001C5B17" w:rsidP="007F0042">
      <w:pPr>
        <w:pStyle w:val="BodyText"/>
        <w:spacing w:line="276" w:lineRule="auto"/>
        <w:jc w:val="both"/>
        <w:rPr>
          <w:sz w:val="24"/>
          <w:szCs w:val="24"/>
          <w:lang w:val="mk-MK"/>
        </w:rPr>
      </w:pPr>
      <w:r w:rsidRPr="00EB77D6">
        <w:rPr>
          <w:sz w:val="24"/>
          <w:szCs w:val="24"/>
          <w:lang w:val="mk-MK"/>
        </w:rPr>
        <w:t xml:space="preserve">Во текот на 2022 година Банката превземе подготвителни активности за подготовка на Политиката за сукцесија на НБГ Групацијата, вклучително прилагодување на истата на моделот и потребите на Банката како и на домашното законодавство. </w:t>
      </w:r>
    </w:p>
    <w:p w14:paraId="1361A465" w14:textId="77777777" w:rsidR="001C5B17" w:rsidRPr="00EB77D6" w:rsidRDefault="001C5B17" w:rsidP="007F0042">
      <w:pPr>
        <w:pStyle w:val="BodyText"/>
        <w:spacing w:line="276" w:lineRule="auto"/>
        <w:jc w:val="both"/>
        <w:rPr>
          <w:sz w:val="24"/>
          <w:szCs w:val="24"/>
          <w:lang w:val="mk-MK"/>
        </w:rPr>
      </w:pPr>
      <w:r w:rsidRPr="00EB77D6">
        <w:rPr>
          <w:sz w:val="24"/>
          <w:szCs w:val="24"/>
          <w:lang w:val="mk-MK"/>
        </w:rPr>
        <w:t xml:space="preserve">Истата ќе се применува од 2023 година.  </w:t>
      </w:r>
    </w:p>
    <w:p w14:paraId="23EC7F4D" w14:textId="77777777" w:rsidR="001C5B17" w:rsidRPr="00EB77D6" w:rsidRDefault="001C5B17" w:rsidP="001C5B17">
      <w:pPr>
        <w:autoSpaceDE w:val="0"/>
        <w:autoSpaceDN w:val="0"/>
        <w:adjustRightInd w:val="0"/>
        <w:spacing w:before="240"/>
        <w:ind w:left="720"/>
        <w:jc w:val="both"/>
        <w:rPr>
          <w:rFonts w:ascii="Times New Roman" w:eastAsia="Times New Roman" w:hAnsi="Times New Roman"/>
          <w:b/>
          <w:bCs/>
          <w:color w:val="000000"/>
          <w:sz w:val="24"/>
          <w:szCs w:val="24"/>
          <w:lang w:eastAsia="en-GB"/>
        </w:rPr>
      </w:pPr>
      <w:r w:rsidRPr="00EB77D6">
        <w:rPr>
          <w:rFonts w:ascii="Times New Roman" w:eastAsia="Times New Roman" w:hAnsi="Times New Roman"/>
          <w:b/>
          <w:bCs/>
          <w:color w:val="000000"/>
          <w:sz w:val="24"/>
          <w:szCs w:val="24"/>
          <w:lang w:eastAsia="en-GB"/>
        </w:rPr>
        <w:t xml:space="preserve">2. </w:t>
      </w:r>
      <w:r w:rsidRPr="00EB77D6">
        <w:rPr>
          <w:rFonts w:ascii="Times New Roman" w:eastAsia="Times New Roman" w:hAnsi="Times New Roman"/>
          <w:b/>
          <w:bCs/>
          <w:color w:val="000000"/>
          <w:sz w:val="24"/>
          <w:szCs w:val="24"/>
          <w:lang w:val="mk-MK" w:eastAsia="en-GB"/>
        </w:rPr>
        <w:t>Организациска структура</w:t>
      </w:r>
      <w:r w:rsidRPr="00EB77D6">
        <w:rPr>
          <w:rFonts w:ascii="Times New Roman" w:eastAsia="Times New Roman" w:hAnsi="Times New Roman"/>
          <w:b/>
          <w:bCs/>
          <w:color w:val="000000"/>
          <w:sz w:val="24"/>
          <w:szCs w:val="24"/>
          <w:lang w:eastAsia="en-GB"/>
        </w:rPr>
        <w:t xml:space="preserve"> </w:t>
      </w:r>
    </w:p>
    <w:p w14:paraId="42DC60D3" w14:textId="77777777" w:rsidR="001C5B17" w:rsidRPr="00EB77D6" w:rsidRDefault="001C5B17" w:rsidP="007F0042">
      <w:pPr>
        <w:autoSpaceDE w:val="0"/>
        <w:autoSpaceDN w:val="0"/>
        <w:spacing w:after="0"/>
        <w:jc w:val="both"/>
        <w:rPr>
          <w:rFonts w:ascii="Times New Roman" w:hAnsi="Times New Roman"/>
          <w:color w:val="000000"/>
          <w:sz w:val="24"/>
          <w:szCs w:val="24"/>
          <w:lang w:val="mk-MK" w:eastAsia="en-GB"/>
        </w:rPr>
      </w:pPr>
      <w:r w:rsidRPr="00EB77D6">
        <w:rPr>
          <w:rFonts w:ascii="Times New Roman" w:hAnsi="Times New Roman"/>
          <w:color w:val="000000"/>
          <w:sz w:val="24"/>
          <w:szCs w:val="24"/>
          <w:lang w:val="mk-MK" w:eastAsia="en-GB"/>
        </w:rPr>
        <w:t>Организациската структура на Банката ги следи најдобрите стандарди и барања од корпоративно управување и е создадена со цел да ги оптимизира бизнис процесите како би станале побрзи, поефтини и посигурни за сите инволвирани заинтересирани страни.</w:t>
      </w:r>
      <w:r w:rsidRPr="00EB77D6">
        <w:rPr>
          <w:rFonts w:ascii="Times New Roman" w:hAnsi="Times New Roman"/>
          <w:color w:val="000000"/>
          <w:sz w:val="24"/>
          <w:szCs w:val="24"/>
          <w:lang w:eastAsia="en-GB"/>
        </w:rPr>
        <w:t xml:space="preserve"> </w:t>
      </w:r>
      <w:r w:rsidRPr="00EB77D6">
        <w:rPr>
          <w:rFonts w:ascii="Times New Roman" w:hAnsi="Times New Roman"/>
          <w:color w:val="000000"/>
          <w:sz w:val="24"/>
          <w:szCs w:val="24"/>
          <w:lang w:val="mk-MK" w:eastAsia="en-GB"/>
        </w:rPr>
        <w:t xml:space="preserve">Според Статутот на СБ, организациската структура на Банката е утврдена со Одлука од страна на Надзорниот одбор, по предлог на менаџментот. </w:t>
      </w:r>
    </w:p>
    <w:p w14:paraId="60C92482" w14:textId="77777777" w:rsidR="007F0042" w:rsidRPr="00EB77D6" w:rsidRDefault="007F0042" w:rsidP="001C5B17">
      <w:pPr>
        <w:autoSpaceDE w:val="0"/>
        <w:autoSpaceDN w:val="0"/>
        <w:spacing w:after="0"/>
        <w:ind w:firstLine="720"/>
        <w:jc w:val="both"/>
        <w:rPr>
          <w:rFonts w:ascii="Times New Roman" w:hAnsi="Times New Roman"/>
          <w:color w:val="000000"/>
          <w:sz w:val="24"/>
          <w:szCs w:val="24"/>
          <w:lang w:val="mk-MK" w:eastAsia="en-GB"/>
        </w:rPr>
      </w:pPr>
    </w:p>
    <w:p w14:paraId="1B7B4CCE" w14:textId="222E2EE1" w:rsidR="001C5B17" w:rsidRPr="00EB77D6" w:rsidRDefault="001C5B17" w:rsidP="007F0042">
      <w:pPr>
        <w:autoSpaceDE w:val="0"/>
        <w:autoSpaceDN w:val="0"/>
        <w:spacing w:after="0"/>
        <w:jc w:val="both"/>
        <w:rPr>
          <w:rFonts w:ascii="Times New Roman" w:hAnsi="Times New Roman"/>
          <w:color w:val="000000"/>
          <w:sz w:val="24"/>
          <w:szCs w:val="24"/>
          <w:lang w:eastAsia="en-GB"/>
        </w:rPr>
      </w:pPr>
      <w:r w:rsidRPr="00EB77D6">
        <w:rPr>
          <w:rFonts w:ascii="Times New Roman" w:hAnsi="Times New Roman"/>
          <w:color w:val="000000"/>
          <w:sz w:val="24"/>
          <w:szCs w:val="24"/>
          <w:lang w:val="mk-MK" w:eastAsia="en-GB"/>
        </w:rPr>
        <w:t xml:space="preserve">Заклучно со 31.12.2022 година, Банката е организирана во </w:t>
      </w:r>
      <w:r w:rsidRPr="00EB77D6">
        <w:rPr>
          <w:rFonts w:ascii="Times New Roman" w:hAnsi="Times New Roman"/>
          <w:color w:val="000000"/>
          <w:sz w:val="24"/>
          <w:szCs w:val="24"/>
          <w:lang w:eastAsia="en-GB"/>
        </w:rPr>
        <w:t>2</w:t>
      </w:r>
      <w:r w:rsidRPr="00EB77D6">
        <w:rPr>
          <w:rFonts w:ascii="Times New Roman" w:hAnsi="Times New Roman"/>
          <w:color w:val="000000"/>
          <w:sz w:val="24"/>
          <w:szCs w:val="24"/>
          <w:lang w:val="mk-MK" w:eastAsia="en-GB"/>
        </w:rPr>
        <w:t>1</w:t>
      </w:r>
      <w:r w:rsidRPr="00EB77D6">
        <w:rPr>
          <w:rFonts w:ascii="Times New Roman" w:hAnsi="Times New Roman"/>
          <w:color w:val="000000"/>
          <w:sz w:val="24"/>
          <w:szCs w:val="24"/>
          <w:lang w:eastAsia="en-GB"/>
        </w:rPr>
        <w:t xml:space="preserve"> </w:t>
      </w:r>
      <w:r w:rsidRPr="00EB77D6">
        <w:rPr>
          <w:rFonts w:ascii="Times New Roman" w:hAnsi="Times New Roman"/>
          <w:color w:val="000000"/>
          <w:sz w:val="24"/>
          <w:szCs w:val="24"/>
          <w:lang w:val="mk-MK" w:eastAsia="en-GB"/>
        </w:rPr>
        <w:t>сектори и мрежа од 62 филијали</w:t>
      </w:r>
      <w:r w:rsidRPr="00EB77D6">
        <w:rPr>
          <w:rFonts w:ascii="Times New Roman" w:hAnsi="Times New Roman"/>
          <w:color w:val="000000"/>
          <w:sz w:val="24"/>
          <w:szCs w:val="24"/>
          <w:lang w:eastAsia="en-GB"/>
        </w:rPr>
        <w:t xml:space="preserve">. </w:t>
      </w:r>
    </w:p>
    <w:p w14:paraId="643E3F9E" w14:textId="77777777" w:rsidR="001C5B17" w:rsidRPr="00EB77D6" w:rsidRDefault="001C5B17" w:rsidP="001C5B17">
      <w:pPr>
        <w:autoSpaceDE w:val="0"/>
        <w:autoSpaceDN w:val="0"/>
        <w:spacing w:after="0"/>
        <w:ind w:firstLine="720"/>
        <w:jc w:val="both"/>
        <w:rPr>
          <w:rFonts w:ascii="Times New Roman" w:hAnsi="Times New Roman"/>
          <w:color w:val="000000"/>
          <w:sz w:val="24"/>
          <w:szCs w:val="24"/>
          <w:lang w:eastAsia="en-GB"/>
        </w:rPr>
      </w:pPr>
    </w:p>
    <w:p w14:paraId="455F0200" w14:textId="77777777" w:rsidR="001C5B17" w:rsidRPr="00EB77D6" w:rsidRDefault="001C5B17" w:rsidP="007F0042">
      <w:pPr>
        <w:autoSpaceDE w:val="0"/>
        <w:autoSpaceDN w:val="0"/>
        <w:spacing w:after="0"/>
        <w:jc w:val="both"/>
        <w:rPr>
          <w:rFonts w:ascii="Times New Roman" w:hAnsi="Times New Roman"/>
          <w:color w:val="000000"/>
          <w:sz w:val="24"/>
          <w:szCs w:val="24"/>
          <w:lang w:val="mk-MK" w:eastAsia="en-GB"/>
        </w:rPr>
      </w:pPr>
      <w:r w:rsidRPr="00EB77D6">
        <w:rPr>
          <w:rFonts w:ascii="Times New Roman" w:hAnsi="Times New Roman"/>
          <w:color w:val="000000"/>
          <w:sz w:val="24"/>
          <w:szCs w:val="24"/>
          <w:lang w:val="mk-MK" w:eastAsia="en-GB"/>
        </w:rPr>
        <w:t xml:space="preserve">Организациската структура е објавена и редовно се ажурира на веб-страницата на СБ. </w:t>
      </w:r>
    </w:p>
    <w:p w14:paraId="68DCA43F" w14:textId="77777777" w:rsidR="001C5B17" w:rsidRPr="00EB77D6" w:rsidRDefault="001C5B17" w:rsidP="001C5B17">
      <w:pPr>
        <w:autoSpaceDE w:val="0"/>
        <w:autoSpaceDN w:val="0"/>
        <w:adjustRightInd w:val="0"/>
        <w:spacing w:before="240"/>
        <w:ind w:left="720"/>
        <w:jc w:val="both"/>
        <w:rPr>
          <w:rFonts w:ascii="Times New Roman" w:eastAsia="Times New Roman" w:hAnsi="Times New Roman"/>
          <w:b/>
          <w:bCs/>
          <w:color w:val="000000"/>
          <w:sz w:val="24"/>
          <w:szCs w:val="24"/>
          <w:lang w:val="mk-MK" w:eastAsia="en-GB"/>
        </w:rPr>
      </w:pPr>
      <w:r w:rsidRPr="00EB77D6">
        <w:rPr>
          <w:rFonts w:ascii="Times New Roman" w:eastAsia="Times New Roman" w:hAnsi="Times New Roman"/>
          <w:b/>
          <w:bCs/>
          <w:color w:val="000000"/>
          <w:sz w:val="24"/>
          <w:szCs w:val="24"/>
          <w:lang w:eastAsia="en-GB"/>
        </w:rPr>
        <w:t xml:space="preserve">2.a. </w:t>
      </w:r>
      <w:r w:rsidRPr="00EB77D6">
        <w:rPr>
          <w:rFonts w:ascii="Times New Roman" w:eastAsia="Times New Roman" w:hAnsi="Times New Roman"/>
          <w:b/>
          <w:bCs/>
          <w:color w:val="000000"/>
          <w:sz w:val="24"/>
          <w:szCs w:val="24"/>
          <w:lang w:val="mk-MK" w:eastAsia="en-GB"/>
        </w:rPr>
        <w:t>Стопанска Лизинг ДООЕЛ Скопје</w:t>
      </w:r>
    </w:p>
    <w:p w14:paraId="7395F474" w14:textId="77777777" w:rsidR="001C5B17" w:rsidRPr="00EB77D6" w:rsidRDefault="001C5B17" w:rsidP="007F0042">
      <w:pPr>
        <w:spacing w:after="0"/>
        <w:jc w:val="both"/>
        <w:rPr>
          <w:rFonts w:ascii="Times New Roman" w:hAnsi="Times New Roman"/>
          <w:sz w:val="24"/>
          <w:szCs w:val="24"/>
          <w:lang w:val="mk-MK"/>
        </w:rPr>
      </w:pPr>
      <w:r w:rsidRPr="00EB77D6">
        <w:rPr>
          <w:rFonts w:ascii="Times New Roman" w:hAnsi="Times New Roman"/>
          <w:sz w:val="24"/>
          <w:szCs w:val="24"/>
          <w:lang w:val="mk-MK"/>
        </w:rPr>
        <w:t xml:space="preserve">Согласно амбициозната деловна стратегија, Стопанска банка АД Скопје донесе одлука да инвестира во основање на небанкарска финансиска институција – давател на финансиски лизинг со што ја збогати понудата на финансиски услуги за клиентите и доби дополнителен извор на приходи. </w:t>
      </w:r>
    </w:p>
    <w:p w14:paraId="5ACFF1BD" w14:textId="77777777" w:rsidR="001C5B17" w:rsidRPr="00EB77D6" w:rsidRDefault="001C5B17" w:rsidP="001C5B17">
      <w:pPr>
        <w:spacing w:after="0"/>
        <w:jc w:val="both"/>
        <w:rPr>
          <w:rFonts w:ascii="Times New Roman" w:hAnsi="Times New Roman"/>
          <w:sz w:val="24"/>
          <w:szCs w:val="24"/>
          <w:lang w:val="mk-MK"/>
        </w:rPr>
      </w:pPr>
    </w:p>
    <w:p w14:paraId="7679B334" w14:textId="77777777" w:rsidR="001C5B17" w:rsidRPr="00EB77D6" w:rsidRDefault="001C5B17" w:rsidP="001C5B17">
      <w:pPr>
        <w:spacing w:after="0"/>
        <w:jc w:val="both"/>
        <w:rPr>
          <w:rFonts w:ascii="Times New Roman" w:hAnsi="Times New Roman"/>
          <w:sz w:val="24"/>
          <w:szCs w:val="24"/>
          <w:lang w:val="mk-MK"/>
        </w:rPr>
      </w:pPr>
      <w:r w:rsidRPr="00EB77D6">
        <w:rPr>
          <w:rFonts w:ascii="Times New Roman" w:hAnsi="Times New Roman"/>
          <w:sz w:val="24"/>
          <w:szCs w:val="24"/>
          <w:lang w:val="mk-MK"/>
        </w:rPr>
        <w:t>Имено, согласно Решението на Министерство за финансии бр. 13-11054/2 од 11.2.2022 година, Банката успешно го основа друштвото за финансиски лизинг</w:t>
      </w:r>
      <w:r w:rsidRPr="00EB77D6">
        <w:rPr>
          <w:rFonts w:ascii="Times New Roman" w:hAnsi="Times New Roman"/>
          <w:sz w:val="24"/>
          <w:szCs w:val="24"/>
        </w:rPr>
        <w:t xml:space="preserve">, </w:t>
      </w:r>
      <w:r w:rsidRPr="00EB77D6">
        <w:rPr>
          <w:rFonts w:ascii="Times New Roman" w:hAnsi="Times New Roman"/>
          <w:sz w:val="24"/>
          <w:szCs w:val="24"/>
          <w:lang w:val="mk-MK"/>
        </w:rPr>
        <w:t xml:space="preserve">Стопанска Лизинг </w:t>
      </w:r>
      <w:r w:rsidRPr="00EB77D6">
        <w:rPr>
          <w:rFonts w:ascii="Times New Roman" w:hAnsi="Times New Roman"/>
          <w:sz w:val="24"/>
          <w:szCs w:val="24"/>
          <w:lang w:val="mk-MK"/>
        </w:rPr>
        <w:lastRenderedPageBreak/>
        <w:t xml:space="preserve">ДООЕЛ Скопје, </w:t>
      </w:r>
      <w:r w:rsidRPr="00EB77D6">
        <w:rPr>
          <w:rFonts w:ascii="Times New Roman" w:hAnsi="Times New Roman"/>
          <w:sz w:val="24"/>
          <w:szCs w:val="24"/>
        </w:rPr>
        <w:t xml:space="preserve">во целосна (100%) сопственост на СБ. </w:t>
      </w:r>
      <w:r w:rsidRPr="00EB77D6">
        <w:rPr>
          <w:rFonts w:ascii="Times New Roman" w:hAnsi="Times New Roman"/>
          <w:sz w:val="24"/>
          <w:szCs w:val="24"/>
          <w:lang w:val="mk-MK"/>
        </w:rPr>
        <w:t xml:space="preserve">Друштвото започна со работа на 01 јули, 2022 година. </w:t>
      </w:r>
    </w:p>
    <w:p w14:paraId="35DCC009" w14:textId="77777777" w:rsidR="001C5B17" w:rsidRPr="00EB77D6" w:rsidRDefault="001C5B17" w:rsidP="001C5B17">
      <w:pPr>
        <w:pStyle w:val="ListParagraph"/>
        <w:ind w:left="0" w:right="540"/>
        <w:jc w:val="both"/>
      </w:pPr>
    </w:p>
    <w:p w14:paraId="70BFF3B5" w14:textId="77777777" w:rsidR="001C5B17" w:rsidRPr="00EB77D6" w:rsidRDefault="001C5B17" w:rsidP="001C5B17">
      <w:pPr>
        <w:pStyle w:val="ListParagraph"/>
        <w:ind w:left="0" w:right="540"/>
        <w:jc w:val="both"/>
      </w:pPr>
      <w:r w:rsidRPr="00EB77D6">
        <w:rPr>
          <w:lang w:val="mk-MK"/>
        </w:rPr>
        <w:t>Работењето на Друштвото го контролира Надзорен одбор составен од четворица членови</w:t>
      </w:r>
      <w:r w:rsidRPr="00EB77D6">
        <w:t>:</w:t>
      </w:r>
    </w:p>
    <w:p w14:paraId="0EF549D0" w14:textId="77777777" w:rsidR="001C5B17" w:rsidRPr="00EB77D6" w:rsidRDefault="001C5B17" w:rsidP="001C5B17">
      <w:pPr>
        <w:pStyle w:val="ListParagraph"/>
        <w:numPr>
          <w:ilvl w:val="0"/>
          <w:numId w:val="27"/>
        </w:numPr>
        <w:ind w:right="540"/>
        <w:jc w:val="both"/>
      </w:pPr>
      <w:r w:rsidRPr="00EB77D6">
        <w:rPr>
          <w:lang w:val="mk-MK"/>
        </w:rPr>
        <w:t xml:space="preserve">Тони Стојановски, Генерален директор за корпоративно банкарство и член на Управен одбор на Стопанска банка АД – Скопје - Претседател, </w:t>
      </w:r>
    </w:p>
    <w:p w14:paraId="731D6921" w14:textId="77777777" w:rsidR="001C5B17" w:rsidRPr="00EB77D6" w:rsidRDefault="001C5B17" w:rsidP="001C5B17">
      <w:pPr>
        <w:pStyle w:val="ListParagraph"/>
        <w:numPr>
          <w:ilvl w:val="0"/>
          <w:numId w:val="27"/>
        </w:numPr>
        <w:ind w:right="540"/>
        <w:jc w:val="both"/>
      </w:pPr>
      <w:r w:rsidRPr="00EB77D6">
        <w:rPr>
          <w:lang w:val="mk-MK"/>
        </w:rPr>
        <w:t xml:space="preserve">Милица Чапаровска – Јовановска, Генерален директор за банкарство на мало и член на Управен одбор на Стопанска банка АД – Скопје – член, </w:t>
      </w:r>
    </w:p>
    <w:p w14:paraId="4A571C83" w14:textId="77777777" w:rsidR="001C5B17" w:rsidRPr="00EB77D6" w:rsidRDefault="001C5B17" w:rsidP="001C5B17">
      <w:pPr>
        <w:pStyle w:val="ListParagraph"/>
        <w:numPr>
          <w:ilvl w:val="0"/>
          <w:numId w:val="27"/>
        </w:numPr>
        <w:ind w:right="540"/>
        <w:jc w:val="both"/>
      </w:pPr>
      <w:r w:rsidRPr="00EB77D6">
        <w:rPr>
          <w:lang w:val="mk-MK"/>
        </w:rPr>
        <w:t xml:space="preserve">Теодорос Спиропулос, Генерален извршен директор на НБГ Лизинг – член, и </w:t>
      </w:r>
    </w:p>
    <w:p w14:paraId="0AED9B72" w14:textId="77777777" w:rsidR="001C5B17" w:rsidRPr="00EB77D6" w:rsidRDefault="001C5B17" w:rsidP="001C5B17">
      <w:pPr>
        <w:pStyle w:val="ListParagraph"/>
        <w:numPr>
          <w:ilvl w:val="0"/>
          <w:numId w:val="27"/>
        </w:numPr>
        <w:ind w:right="540"/>
        <w:jc w:val="both"/>
      </w:pPr>
      <w:r w:rsidRPr="00EB77D6">
        <w:rPr>
          <w:lang w:val="mk-MK"/>
        </w:rPr>
        <w:t xml:space="preserve">Евангелија Калупци, Заменик директор на Сектор за меѓународни активности на НБГ Групацијата – член. </w:t>
      </w:r>
    </w:p>
    <w:p w14:paraId="58710D53" w14:textId="77777777" w:rsidR="001C5B17" w:rsidRPr="00EB77D6" w:rsidRDefault="001C5B17" w:rsidP="001C5B17">
      <w:pPr>
        <w:ind w:right="540"/>
        <w:jc w:val="both"/>
        <w:rPr>
          <w:rFonts w:ascii="Times New Roman" w:hAnsi="Times New Roman"/>
          <w:sz w:val="24"/>
          <w:szCs w:val="24"/>
          <w:lang w:val="mk-MK"/>
        </w:rPr>
      </w:pPr>
      <w:r w:rsidRPr="00EB77D6">
        <w:rPr>
          <w:rFonts w:ascii="Times New Roman" w:hAnsi="Times New Roman"/>
          <w:sz w:val="24"/>
          <w:szCs w:val="24"/>
          <w:lang w:val="mk-MK"/>
        </w:rPr>
        <w:br/>
        <w:t xml:space="preserve">Во согласност со Законот за трговски друштва, Надзорниот одбор ја ревидира годишната сметка на Друштвото и другите финансиски извештаи, предлогот за распределба на добивката, го разгледува годишниот извештај во врска со работењето во деловната година и врши други активности согласно закон. </w:t>
      </w:r>
    </w:p>
    <w:p w14:paraId="041909BD" w14:textId="77777777" w:rsidR="001C5B17" w:rsidRPr="00EB77D6" w:rsidRDefault="001C5B17" w:rsidP="001C5B17">
      <w:pPr>
        <w:pStyle w:val="ListParagraph"/>
        <w:ind w:left="0" w:right="540"/>
        <w:jc w:val="both"/>
        <w:rPr>
          <w:lang w:val="mk-MK"/>
        </w:rPr>
      </w:pPr>
      <w:r w:rsidRPr="00EB77D6">
        <w:rPr>
          <w:lang w:val="mk-MK"/>
        </w:rPr>
        <w:t xml:space="preserve">Дополнително, Стопанска Лизинг е управувана од страна на еден управител именуван од страна на Управниот одбор на Стопанска банка АД – Скопје. Станува збор за Жарко Кржаловски, кој повеќе од 13 години работи во лизинг дејноста на раководни позиции и има репутација на еден од најдобрите продавачи во земјата. </w:t>
      </w:r>
    </w:p>
    <w:p w14:paraId="4F97504E" w14:textId="77777777" w:rsidR="001C5B17" w:rsidRPr="00EB77D6" w:rsidRDefault="001C5B17" w:rsidP="001C5B17">
      <w:pPr>
        <w:pStyle w:val="ListParagraph"/>
        <w:ind w:left="0" w:right="540"/>
        <w:jc w:val="both"/>
      </w:pPr>
    </w:p>
    <w:p w14:paraId="7AF0A676" w14:textId="77777777" w:rsidR="001C5B17" w:rsidRPr="00EB77D6" w:rsidRDefault="001C5B17" w:rsidP="001C5B17">
      <w:pPr>
        <w:pStyle w:val="ListParagraph"/>
        <w:ind w:left="0" w:right="540"/>
        <w:jc w:val="both"/>
      </w:pPr>
      <w:r w:rsidRPr="00EB77D6">
        <w:t xml:space="preserve">Покрај финансиските импликации, системски значајна банка со традиција и бренд како Стопанска банка АД – Скопје како и нејзиниот оперативен, менаџерски и финансиски капацитет, е очекувано да има широка понуда на финансиски услуги на пазарот во земјата. Нудењето на финансиски лизинг преку посебно Друштво за оваа финансиска активност ја збогати понудата на Банката за своите клиенти и ќе има позитивно влијание врз билансите на СБ но и врз севкупниот пазар на лизинг во Република С. Македонија. </w:t>
      </w:r>
    </w:p>
    <w:p w14:paraId="7D2EECCF" w14:textId="77777777" w:rsidR="001C5B17" w:rsidRPr="00EB77D6" w:rsidRDefault="001C5B17" w:rsidP="001C5B17">
      <w:pPr>
        <w:autoSpaceDE w:val="0"/>
        <w:autoSpaceDN w:val="0"/>
        <w:adjustRightInd w:val="0"/>
        <w:spacing w:before="240"/>
        <w:ind w:left="720"/>
        <w:jc w:val="both"/>
        <w:rPr>
          <w:rFonts w:ascii="Times New Roman" w:eastAsia="Times New Roman" w:hAnsi="Times New Roman"/>
          <w:b/>
          <w:bCs/>
          <w:color w:val="000000"/>
          <w:sz w:val="24"/>
          <w:szCs w:val="24"/>
          <w:lang w:eastAsia="en-GB"/>
        </w:rPr>
      </w:pPr>
      <w:r w:rsidRPr="00EB77D6">
        <w:rPr>
          <w:rFonts w:ascii="Times New Roman" w:eastAsia="Times New Roman" w:hAnsi="Times New Roman"/>
          <w:b/>
          <w:bCs/>
          <w:color w:val="000000"/>
          <w:sz w:val="24"/>
          <w:szCs w:val="24"/>
          <w:lang w:eastAsia="en-GB"/>
        </w:rPr>
        <w:t xml:space="preserve">3. </w:t>
      </w:r>
      <w:r w:rsidRPr="00EB77D6">
        <w:rPr>
          <w:rFonts w:ascii="Times New Roman" w:eastAsia="Times New Roman" w:hAnsi="Times New Roman"/>
          <w:b/>
          <w:bCs/>
          <w:color w:val="000000"/>
          <w:sz w:val="24"/>
          <w:szCs w:val="24"/>
          <w:lang w:val="mk-MK" w:eastAsia="en-GB"/>
        </w:rPr>
        <w:t>Акционерска структура</w:t>
      </w:r>
      <w:r w:rsidRPr="00EB77D6">
        <w:rPr>
          <w:rFonts w:ascii="Times New Roman" w:eastAsia="Times New Roman" w:hAnsi="Times New Roman"/>
          <w:b/>
          <w:bCs/>
          <w:color w:val="000000"/>
          <w:sz w:val="24"/>
          <w:szCs w:val="24"/>
          <w:lang w:eastAsia="en-GB"/>
        </w:rPr>
        <w:t xml:space="preserve"> </w:t>
      </w:r>
    </w:p>
    <w:p w14:paraId="0C3FA96E" w14:textId="77777777" w:rsidR="001C5B17" w:rsidRPr="00EB77D6" w:rsidRDefault="001C5B17" w:rsidP="007F0042">
      <w:pPr>
        <w:autoSpaceDE w:val="0"/>
        <w:autoSpaceDN w:val="0"/>
        <w:adjustRightInd w:val="0"/>
        <w:spacing w:after="0"/>
        <w:jc w:val="both"/>
        <w:rPr>
          <w:rFonts w:ascii="Times New Roman" w:eastAsia="Times New Roman" w:hAnsi="Times New Roman"/>
          <w:color w:val="000000"/>
          <w:sz w:val="24"/>
          <w:szCs w:val="24"/>
          <w:lang w:eastAsia="en-GB"/>
        </w:rPr>
      </w:pPr>
      <w:r w:rsidRPr="00EB77D6">
        <w:rPr>
          <w:rFonts w:ascii="Times New Roman" w:eastAsia="Times New Roman" w:hAnsi="Times New Roman"/>
          <w:bCs/>
          <w:color w:val="000000"/>
          <w:sz w:val="24"/>
          <w:szCs w:val="24"/>
          <w:lang w:val="mk-MK" w:eastAsia="en-GB"/>
        </w:rPr>
        <w:t>Во текот на 2022 година нема значителни промени во акционерската структура: Национална Банка на Грција С.А. - Атина поседува 94,6% од обичните акции, додека 5,4% од акциите</w:t>
      </w:r>
      <w:r w:rsidRPr="00EB77D6">
        <w:rPr>
          <w:rFonts w:ascii="Times New Roman" w:eastAsia="Times New Roman" w:hAnsi="Times New Roman"/>
          <w:bCs/>
          <w:color w:val="000000"/>
          <w:sz w:val="24"/>
          <w:szCs w:val="24"/>
          <w:lang w:eastAsia="en-GB"/>
        </w:rPr>
        <w:t xml:space="preserve"> </w:t>
      </w:r>
      <w:r w:rsidRPr="00EB77D6">
        <w:rPr>
          <w:rFonts w:ascii="Times New Roman" w:eastAsia="Times New Roman" w:hAnsi="Times New Roman"/>
          <w:bCs/>
          <w:color w:val="000000"/>
          <w:sz w:val="24"/>
          <w:szCs w:val="24"/>
          <w:lang w:val="mk-MK" w:eastAsia="en-GB"/>
        </w:rPr>
        <w:t>се во сопственост на останатите малцински акционери. НБГ се претставени со 5 членови во Надзорниот одбор на СБ, а останатите 2 члена се независни.</w:t>
      </w:r>
      <w:r w:rsidRPr="00EB77D6">
        <w:rPr>
          <w:rFonts w:ascii="Times New Roman" w:eastAsia="Times New Roman" w:hAnsi="Times New Roman"/>
          <w:color w:val="000000"/>
          <w:sz w:val="24"/>
          <w:szCs w:val="24"/>
          <w:lang w:eastAsia="en-GB"/>
        </w:rPr>
        <w:t xml:space="preserve"> </w:t>
      </w:r>
    </w:p>
    <w:p w14:paraId="0153878E" w14:textId="77777777" w:rsidR="001C5B17" w:rsidRPr="00EB77D6" w:rsidRDefault="001C5B17" w:rsidP="001C5B17">
      <w:pPr>
        <w:autoSpaceDE w:val="0"/>
        <w:autoSpaceDN w:val="0"/>
        <w:adjustRightInd w:val="0"/>
        <w:spacing w:after="0"/>
        <w:ind w:firstLine="720"/>
        <w:jc w:val="both"/>
        <w:rPr>
          <w:rFonts w:ascii="Times New Roman" w:eastAsia="Times New Roman" w:hAnsi="Times New Roman"/>
          <w:color w:val="000000"/>
          <w:sz w:val="24"/>
          <w:szCs w:val="24"/>
          <w:lang w:eastAsia="en-GB"/>
        </w:rPr>
      </w:pPr>
    </w:p>
    <w:p w14:paraId="7C83F49A" w14:textId="77777777" w:rsidR="001C5B17" w:rsidRPr="00EB77D6" w:rsidRDefault="001C5B17" w:rsidP="007F0042">
      <w:pPr>
        <w:autoSpaceDE w:val="0"/>
        <w:autoSpaceDN w:val="0"/>
        <w:adjustRightInd w:val="0"/>
        <w:spacing w:before="120" w:after="120"/>
        <w:jc w:val="both"/>
        <w:rPr>
          <w:rFonts w:ascii="Times New Roman" w:eastAsia="Times New Roman" w:hAnsi="Times New Roman"/>
          <w:color w:val="000000"/>
          <w:sz w:val="24"/>
          <w:szCs w:val="24"/>
          <w:lang w:val="mk-MK" w:eastAsia="en-GB"/>
        </w:rPr>
      </w:pPr>
      <w:r w:rsidRPr="00EB77D6">
        <w:rPr>
          <w:rFonts w:ascii="Times New Roman" w:eastAsia="Times New Roman" w:hAnsi="Times New Roman"/>
          <w:color w:val="000000"/>
          <w:sz w:val="24"/>
          <w:szCs w:val="24"/>
          <w:lang w:val="mk-MK" w:eastAsia="en-GB"/>
        </w:rPr>
        <w:t xml:space="preserve">Во извештајниот период, ниту еден член на Надзорниот одбор и Управниот одбор не поседува обични акции со право на глас во Стопанска банка АД – Скопје. Во однос на приоритетните кумулативни акции без право на глас, еден член на Надзорен одбор и еден член на Управен одбор поседуваат мал незначителен број на акции (помалку од 0.1%). </w:t>
      </w:r>
    </w:p>
    <w:p w14:paraId="6D4BA39E" w14:textId="77777777" w:rsidR="001C5B17" w:rsidRPr="00EB77D6" w:rsidRDefault="001C5B17" w:rsidP="001C5B17">
      <w:pPr>
        <w:autoSpaceDE w:val="0"/>
        <w:autoSpaceDN w:val="0"/>
        <w:adjustRightInd w:val="0"/>
        <w:spacing w:after="0"/>
        <w:ind w:firstLine="720"/>
        <w:jc w:val="both"/>
        <w:rPr>
          <w:rFonts w:ascii="Times New Roman" w:eastAsia="Times New Roman" w:hAnsi="Times New Roman"/>
          <w:color w:val="000000"/>
          <w:sz w:val="24"/>
          <w:szCs w:val="24"/>
          <w:lang w:eastAsia="en-GB"/>
        </w:rPr>
      </w:pPr>
    </w:p>
    <w:p w14:paraId="09D0CA88" w14:textId="77777777" w:rsidR="001C5B17" w:rsidRPr="00EB77D6" w:rsidRDefault="001C5B17" w:rsidP="007F0042">
      <w:pPr>
        <w:autoSpaceDE w:val="0"/>
        <w:autoSpaceDN w:val="0"/>
        <w:adjustRightInd w:val="0"/>
        <w:spacing w:after="0"/>
        <w:jc w:val="both"/>
        <w:rPr>
          <w:rFonts w:ascii="Times New Roman" w:hAnsi="Times New Roman"/>
          <w:sz w:val="24"/>
          <w:szCs w:val="24"/>
          <w:lang w:val="en-GB"/>
        </w:rPr>
      </w:pPr>
      <w:r w:rsidRPr="00EB77D6">
        <w:rPr>
          <w:rFonts w:ascii="Times New Roman" w:eastAsia="Times New Roman" w:hAnsi="Times New Roman"/>
          <w:bCs/>
          <w:color w:val="000000"/>
          <w:sz w:val="24"/>
          <w:szCs w:val="24"/>
          <w:lang w:val="mk-MK" w:eastAsia="en-GB"/>
        </w:rPr>
        <w:lastRenderedPageBreak/>
        <w:t>Со состојба на 31 декември 2022 година, почетниот капитал (основниот капитал) се состои од 17.460.180 обични акции со номинална вредност од МКД 201,1 по акција и 227.444 приоритетни акции со номинална вредност од МКД 400,00 по акција. Истите се регистрирани и се водат во Централниот депозитар на хартии од вредност. Акциите на Банката котираат на официјалниот пазар на Македонската берза, подсегментна законска котација, а кодот под кој тие котираат е: СТБ (обична акција) ИСИН број МКСТБС101014 и СТБ (приоритетна</w:t>
      </w:r>
      <w:r w:rsidRPr="00EB77D6">
        <w:rPr>
          <w:rFonts w:ascii="Times New Roman" w:eastAsia="Times New Roman" w:hAnsi="Times New Roman"/>
          <w:bCs/>
          <w:color w:val="000000"/>
          <w:sz w:val="24"/>
          <w:szCs w:val="24"/>
          <w:lang w:eastAsia="en-GB"/>
        </w:rPr>
        <w:t xml:space="preserve"> </w:t>
      </w:r>
      <w:r w:rsidRPr="00EB77D6">
        <w:rPr>
          <w:rFonts w:ascii="Times New Roman" w:eastAsia="Times New Roman" w:hAnsi="Times New Roman"/>
          <w:bCs/>
          <w:color w:val="000000"/>
          <w:sz w:val="24"/>
          <w:szCs w:val="24"/>
          <w:lang w:val="mk-MK" w:eastAsia="en-GB"/>
        </w:rPr>
        <w:t>кумулативна акција) ИСИН</w:t>
      </w:r>
      <w:r w:rsidRPr="00EB77D6">
        <w:rPr>
          <w:rFonts w:ascii="Times New Roman" w:eastAsia="Times New Roman" w:hAnsi="Times New Roman"/>
          <w:bCs/>
          <w:color w:val="000000"/>
          <w:sz w:val="24"/>
          <w:szCs w:val="24"/>
          <w:lang w:eastAsia="en-GB"/>
        </w:rPr>
        <w:t xml:space="preserve"> </w:t>
      </w:r>
      <w:r w:rsidRPr="00EB77D6">
        <w:rPr>
          <w:rFonts w:ascii="Times New Roman" w:eastAsia="Times New Roman" w:hAnsi="Times New Roman"/>
          <w:bCs/>
          <w:color w:val="000000"/>
          <w:sz w:val="24"/>
          <w:szCs w:val="24"/>
          <w:lang w:val="mk-MK" w:eastAsia="en-GB"/>
        </w:rPr>
        <w:t>број МКСТБС120014.</w:t>
      </w:r>
    </w:p>
    <w:p w14:paraId="29F666B3" w14:textId="77777777" w:rsidR="001C5B17" w:rsidRPr="00EB77D6" w:rsidRDefault="001C5B17" w:rsidP="001C5B17">
      <w:pPr>
        <w:autoSpaceDE w:val="0"/>
        <w:autoSpaceDN w:val="0"/>
        <w:adjustRightInd w:val="0"/>
        <w:spacing w:after="0" w:line="240" w:lineRule="auto"/>
        <w:ind w:firstLine="720"/>
        <w:jc w:val="both"/>
        <w:rPr>
          <w:rFonts w:ascii="Times New Roman" w:eastAsia="Times New Roman" w:hAnsi="Times New Roman"/>
          <w:color w:val="000000"/>
          <w:sz w:val="24"/>
          <w:szCs w:val="24"/>
          <w:lang w:eastAsia="en-GB"/>
        </w:rPr>
      </w:pPr>
    </w:p>
    <w:p w14:paraId="6CCEA9B5" w14:textId="77777777" w:rsidR="001C5B17" w:rsidRPr="00EB77D6" w:rsidRDefault="001C5B17" w:rsidP="001C5B17">
      <w:pPr>
        <w:autoSpaceDE w:val="0"/>
        <w:autoSpaceDN w:val="0"/>
        <w:adjustRightInd w:val="0"/>
        <w:spacing w:after="0" w:line="240" w:lineRule="auto"/>
        <w:ind w:firstLine="720"/>
        <w:jc w:val="both"/>
        <w:rPr>
          <w:rFonts w:ascii="Times New Roman" w:eastAsia="Times New Roman" w:hAnsi="Times New Roman"/>
          <w:b/>
          <w:bCs/>
          <w:color w:val="000000"/>
          <w:sz w:val="24"/>
          <w:szCs w:val="24"/>
          <w:lang w:val="mk-MK" w:eastAsia="en-GB"/>
        </w:rPr>
      </w:pPr>
      <w:r w:rsidRPr="00EB77D6">
        <w:rPr>
          <w:rFonts w:ascii="Times New Roman" w:eastAsia="Times New Roman" w:hAnsi="Times New Roman"/>
          <w:b/>
          <w:bCs/>
          <w:color w:val="000000"/>
          <w:sz w:val="24"/>
          <w:szCs w:val="24"/>
          <w:lang w:eastAsia="en-GB"/>
        </w:rPr>
        <w:t xml:space="preserve">4. </w:t>
      </w:r>
      <w:r w:rsidRPr="00EB77D6">
        <w:rPr>
          <w:rFonts w:ascii="Times New Roman" w:eastAsia="Times New Roman" w:hAnsi="Times New Roman"/>
          <w:b/>
          <w:bCs/>
          <w:color w:val="000000"/>
          <w:sz w:val="24"/>
          <w:szCs w:val="24"/>
          <w:lang w:val="mk-MK" w:eastAsia="en-GB"/>
        </w:rPr>
        <w:t>Исплата на дивиденда</w:t>
      </w:r>
      <w:r w:rsidRPr="00EB77D6">
        <w:rPr>
          <w:rFonts w:ascii="Times New Roman" w:eastAsia="Times New Roman" w:hAnsi="Times New Roman"/>
          <w:b/>
          <w:bCs/>
          <w:color w:val="000000"/>
          <w:sz w:val="24"/>
          <w:szCs w:val="24"/>
          <w:lang w:eastAsia="en-GB"/>
        </w:rPr>
        <w:t xml:space="preserve"> </w:t>
      </w:r>
      <w:r w:rsidRPr="00EB77D6">
        <w:rPr>
          <w:rFonts w:ascii="Times New Roman" w:eastAsia="Times New Roman" w:hAnsi="Times New Roman"/>
          <w:b/>
          <w:bCs/>
          <w:color w:val="000000"/>
          <w:sz w:val="24"/>
          <w:szCs w:val="24"/>
          <w:lang w:val="mk-MK" w:eastAsia="en-GB"/>
        </w:rPr>
        <w:t>и</w:t>
      </w:r>
      <w:r w:rsidRPr="00EB77D6">
        <w:rPr>
          <w:rFonts w:ascii="Times New Roman" w:eastAsia="Times New Roman" w:hAnsi="Times New Roman"/>
          <w:b/>
          <w:bCs/>
          <w:color w:val="000000"/>
          <w:sz w:val="24"/>
          <w:szCs w:val="24"/>
          <w:lang w:eastAsia="en-GB"/>
        </w:rPr>
        <w:t xml:space="preserve"> </w:t>
      </w:r>
      <w:r w:rsidRPr="00EB77D6">
        <w:rPr>
          <w:rFonts w:ascii="Times New Roman" w:eastAsia="Times New Roman" w:hAnsi="Times New Roman"/>
          <w:b/>
          <w:bCs/>
          <w:color w:val="000000"/>
          <w:sz w:val="24"/>
          <w:szCs w:val="24"/>
          <w:lang w:val="mk-MK" w:eastAsia="en-GB"/>
        </w:rPr>
        <w:t>Политика за дивиденда</w:t>
      </w:r>
    </w:p>
    <w:p w14:paraId="4F5165EF" w14:textId="77777777" w:rsidR="001C5B17" w:rsidRPr="00EB77D6" w:rsidRDefault="001C5B17" w:rsidP="001C5B17">
      <w:pPr>
        <w:shd w:val="clear" w:color="auto" w:fill="FFFFFF" w:themeFill="background1"/>
        <w:spacing w:after="0" w:line="240" w:lineRule="auto"/>
        <w:ind w:firstLine="720"/>
        <w:jc w:val="both"/>
        <w:rPr>
          <w:rFonts w:ascii="Times New Roman" w:hAnsi="Times New Roman"/>
          <w:sz w:val="24"/>
          <w:szCs w:val="24"/>
        </w:rPr>
      </w:pPr>
    </w:p>
    <w:p w14:paraId="00C0724C" w14:textId="77777777" w:rsidR="001C5B17" w:rsidRPr="00EB77D6" w:rsidRDefault="001C5B17" w:rsidP="007F0042">
      <w:pPr>
        <w:jc w:val="both"/>
        <w:rPr>
          <w:rFonts w:ascii="Times New Roman" w:hAnsi="Times New Roman"/>
          <w:sz w:val="24"/>
          <w:szCs w:val="24"/>
        </w:rPr>
      </w:pPr>
      <w:r w:rsidRPr="00EB77D6">
        <w:rPr>
          <w:rFonts w:ascii="Times New Roman" w:eastAsia="Times New Roman" w:hAnsi="Times New Roman"/>
          <w:bCs/>
          <w:color w:val="000000"/>
          <w:sz w:val="24"/>
          <w:szCs w:val="24"/>
          <w:lang w:val="mk-MK" w:eastAsia="en-GB"/>
        </w:rPr>
        <w:t>По приватизацијата на Стопанска банка во 2000 година, примарна цел на главните акционери беше да се реструктурира Банката во стабилен, солиден и доверлив фактор во економијата, кој ќе биде столб и партнер на клиентите. По долг период на преструктурирање и чистење на загуби од минатото, Банката почна да создава профит, кој се реивенстираше во Банката и се користеше да ја обезбеди нејзината денешна лидерска позиција.</w:t>
      </w:r>
      <w:r w:rsidRPr="00EB77D6">
        <w:rPr>
          <w:rFonts w:ascii="Times New Roman" w:hAnsi="Times New Roman"/>
          <w:sz w:val="24"/>
          <w:szCs w:val="24"/>
        </w:rPr>
        <w:t xml:space="preserve"> </w:t>
      </w:r>
    </w:p>
    <w:p w14:paraId="71ED735F" w14:textId="77777777" w:rsidR="001C5B17" w:rsidRPr="00EB77D6" w:rsidRDefault="001C5B17" w:rsidP="007F0042">
      <w:pPr>
        <w:jc w:val="both"/>
        <w:rPr>
          <w:rFonts w:ascii="Times New Roman" w:eastAsia="Times New Roman" w:hAnsi="Times New Roman"/>
          <w:color w:val="000000"/>
          <w:sz w:val="24"/>
          <w:szCs w:val="24"/>
        </w:rPr>
      </w:pPr>
      <w:r w:rsidRPr="00EB77D6">
        <w:rPr>
          <w:rFonts w:ascii="Times New Roman" w:eastAsia="Times New Roman" w:hAnsi="Times New Roman"/>
          <w:color w:val="000000"/>
          <w:sz w:val="24"/>
          <w:szCs w:val="24"/>
          <w:lang w:val="mk-MK"/>
        </w:rPr>
        <w:t>Стопанска банка има издадено два типа на акции</w:t>
      </w:r>
      <w:r w:rsidRPr="00EB77D6">
        <w:rPr>
          <w:rFonts w:ascii="Times New Roman" w:eastAsia="Times New Roman" w:hAnsi="Times New Roman"/>
          <w:color w:val="000000"/>
          <w:sz w:val="24"/>
          <w:szCs w:val="24"/>
        </w:rPr>
        <w:t>:</w:t>
      </w:r>
    </w:p>
    <w:p w14:paraId="3D6FF255" w14:textId="77777777" w:rsidR="001C5B17" w:rsidRPr="00EB77D6" w:rsidRDefault="001C5B17" w:rsidP="001C5B17">
      <w:pPr>
        <w:pStyle w:val="ListParagraph"/>
        <w:numPr>
          <w:ilvl w:val="0"/>
          <w:numId w:val="28"/>
        </w:numPr>
        <w:ind w:left="1170"/>
        <w:jc w:val="both"/>
        <w:rPr>
          <w:color w:val="000000"/>
        </w:rPr>
      </w:pPr>
      <w:r w:rsidRPr="00EB77D6">
        <w:rPr>
          <w:color w:val="000000"/>
          <w:lang w:val="mk-MK"/>
        </w:rPr>
        <w:t>Обични акции со право на глас</w:t>
      </w:r>
      <w:r w:rsidRPr="00EB77D6">
        <w:rPr>
          <w:color w:val="000000"/>
        </w:rPr>
        <w:t xml:space="preserve">: 17.460.180 </w:t>
      </w:r>
      <w:r w:rsidRPr="00EB77D6">
        <w:rPr>
          <w:color w:val="000000"/>
          <w:lang w:val="mk-MK"/>
        </w:rPr>
        <w:t>со номинална вредност од</w:t>
      </w:r>
      <w:r w:rsidRPr="00EB77D6">
        <w:rPr>
          <w:color w:val="000000"/>
        </w:rPr>
        <w:t xml:space="preserve"> MKD 201.1; </w:t>
      </w:r>
    </w:p>
    <w:p w14:paraId="0AB07EC6" w14:textId="77777777" w:rsidR="001C5B17" w:rsidRPr="00EB77D6" w:rsidRDefault="001C5B17" w:rsidP="001C5B17">
      <w:pPr>
        <w:pStyle w:val="ListParagraph"/>
        <w:numPr>
          <w:ilvl w:val="0"/>
          <w:numId w:val="28"/>
        </w:numPr>
        <w:ind w:left="1170"/>
        <w:jc w:val="both"/>
        <w:rPr>
          <w:color w:val="000000"/>
        </w:rPr>
      </w:pPr>
      <w:r w:rsidRPr="00EB77D6">
        <w:rPr>
          <w:color w:val="000000"/>
          <w:lang w:val="mk-MK"/>
        </w:rPr>
        <w:t>Приоритетни акции без право на глас</w:t>
      </w:r>
      <w:r w:rsidRPr="00EB77D6">
        <w:rPr>
          <w:color w:val="000000"/>
        </w:rPr>
        <w:t xml:space="preserve">: 227.444 </w:t>
      </w:r>
      <w:r w:rsidRPr="00EB77D6">
        <w:rPr>
          <w:color w:val="000000"/>
          <w:lang w:val="mk-MK"/>
        </w:rPr>
        <w:t>со номинална вредност од</w:t>
      </w:r>
      <w:r w:rsidRPr="00EB77D6">
        <w:rPr>
          <w:color w:val="000000"/>
        </w:rPr>
        <w:t xml:space="preserve"> MKD 400. </w:t>
      </w:r>
    </w:p>
    <w:p w14:paraId="2FFC27E1" w14:textId="77777777" w:rsidR="001C5B17" w:rsidRPr="00EB77D6" w:rsidRDefault="001C5B17" w:rsidP="001C5B17">
      <w:pPr>
        <w:pStyle w:val="ListParagraph"/>
        <w:ind w:left="1170"/>
        <w:jc w:val="both"/>
        <w:rPr>
          <w:color w:val="000000"/>
        </w:rPr>
      </w:pPr>
    </w:p>
    <w:p w14:paraId="7792B42F" w14:textId="77777777" w:rsidR="001C5B17" w:rsidRPr="00EB77D6" w:rsidRDefault="001C5B17" w:rsidP="007F0042">
      <w:pPr>
        <w:jc w:val="both"/>
        <w:rPr>
          <w:rFonts w:ascii="Times New Roman" w:hAnsi="Times New Roman"/>
          <w:sz w:val="24"/>
          <w:szCs w:val="24"/>
        </w:rPr>
      </w:pPr>
      <w:r w:rsidRPr="00EB77D6">
        <w:rPr>
          <w:rFonts w:ascii="Times New Roman" w:hAnsi="Times New Roman"/>
          <w:sz w:val="24"/>
          <w:szCs w:val="24"/>
          <w:lang w:val="mk-MK"/>
        </w:rPr>
        <w:t>Правото на дивиденда</w:t>
      </w:r>
      <w:r w:rsidRPr="00EB77D6">
        <w:rPr>
          <w:rFonts w:ascii="Times New Roman" w:hAnsi="Times New Roman"/>
          <w:sz w:val="24"/>
          <w:szCs w:val="24"/>
        </w:rPr>
        <w:t xml:space="preserve"> </w:t>
      </w:r>
      <w:r w:rsidRPr="00EB77D6">
        <w:rPr>
          <w:rFonts w:ascii="Times New Roman" w:hAnsi="Times New Roman"/>
          <w:sz w:val="24"/>
          <w:szCs w:val="24"/>
          <w:lang w:val="mk-MK"/>
        </w:rPr>
        <w:t>за приоритетните акции</w:t>
      </w:r>
      <w:r w:rsidRPr="00EB77D6">
        <w:rPr>
          <w:rFonts w:ascii="Times New Roman" w:hAnsi="Times New Roman"/>
          <w:sz w:val="24"/>
          <w:szCs w:val="24"/>
        </w:rPr>
        <w:t xml:space="preserve"> е </w:t>
      </w:r>
      <w:r w:rsidRPr="00EB77D6">
        <w:rPr>
          <w:rFonts w:ascii="Times New Roman" w:hAnsi="Times New Roman"/>
          <w:sz w:val="24"/>
          <w:szCs w:val="24"/>
          <w:lang w:val="mk-MK"/>
        </w:rPr>
        <w:t>утврдено во</w:t>
      </w:r>
      <w:r w:rsidRPr="00EB77D6">
        <w:rPr>
          <w:rFonts w:ascii="Times New Roman" w:hAnsi="Times New Roman"/>
          <w:sz w:val="24"/>
          <w:szCs w:val="24"/>
        </w:rPr>
        <w:t xml:space="preserve"> </w:t>
      </w:r>
      <w:r w:rsidRPr="00EB77D6">
        <w:rPr>
          <w:rFonts w:ascii="Times New Roman" w:hAnsi="Times New Roman"/>
          <w:sz w:val="24"/>
          <w:szCs w:val="24"/>
          <w:lang w:val="mk-MK"/>
        </w:rPr>
        <w:t>Одлуката за</w:t>
      </w:r>
      <w:r w:rsidRPr="00EB77D6">
        <w:rPr>
          <w:rFonts w:ascii="Times New Roman" w:hAnsi="Times New Roman"/>
          <w:sz w:val="24"/>
          <w:szCs w:val="24"/>
        </w:rPr>
        <w:t xml:space="preserve"> </w:t>
      </w:r>
      <w:r w:rsidRPr="00EB77D6">
        <w:rPr>
          <w:rFonts w:ascii="Times New Roman" w:hAnsi="Times New Roman"/>
          <w:sz w:val="24"/>
          <w:szCs w:val="24"/>
          <w:lang w:val="mk-MK"/>
        </w:rPr>
        <w:t>издавање акции</w:t>
      </w:r>
      <w:r w:rsidRPr="00EB77D6">
        <w:rPr>
          <w:rFonts w:ascii="Times New Roman" w:hAnsi="Times New Roman"/>
          <w:sz w:val="24"/>
          <w:szCs w:val="24"/>
        </w:rPr>
        <w:t xml:space="preserve"> </w:t>
      </w:r>
      <w:r w:rsidRPr="00EB77D6">
        <w:rPr>
          <w:rFonts w:ascii="Times New Roman" w:hAnsi="Times New Roman"/>
          <w:sz w:val="24"/>
          <w:szCs w:val="24"/>
          <w:lang w:val="mk-MK"/>
        </w:rPr>
        <w:t>од</w:t>
      </w:r>
      <w:r w:rsidRPr="00EB77D6">
        <w:rPr>
          <w:rFonts w:ascii="Times New Roman" w:hAnsi="Times New Roman"/>
          <w:sz w:val="24"/>
          <w:szCs w:val="24"/>
        </w:rPr>
        <w:t xml:space="preserve"> </w:t>
      </w:r>
      <w:r w:rsidRPr="00EB77D6">
        <w:rPr>
          <w:rFonts w:ascii="Times New Roman" w:hAnsi="Times New Roman"/>
          <w:sz w:val="24"/>
          <w:szCs w:val="24"/>
          <w:lang w:val="mk-MK"/>
        </w:rPr>
        <w:t>Втората емисија</w:t>
      </w:r>
      <w:r w:rsidRPr="00EB77D6">
        <w:rPr>
          <w:rFonts w:ascii="Times New Roman" w:hAnsi="Times New Roman"/>
          <w:sz w:val="24"/>
          <w:szCs w:val="24"/>
        </w:rPr>
        <w:t xml:space="preserve"> АД </w:t>
      </w:r>
      <w:r w:rsidRPr="00EB77D6">
        <w:rPr>
          <w:rFonts w:ascii="Times New Roman" w:hAnsi="Times New Roman"/>
          <w:sz w:val="24"/>
          <w:szCs w:val="24"/>
          <w:lang w:val="mk-MK"/>
        </w:rPr>
        <w:t>бр</w:t>
      </w:r>
      <w:r w:rsidRPr="00EB77D6">
        <w:rPr>
          <w:rFonts w:ascii="Times New Roman" w:hAnsi="Times New Roman"/>
          <w:sz w:val="24"/>
          <w:szCs w:val="24"/>
        </w:rPr>
        <w:t xml:space="preserve">. 32 / 20.06.1991 </w:t>
      </w:r>
      <w:r w:rsidRPr="00EB77D6">
        <w:rPr>
          <w:rFonts w:ascii="Times New Roman" w:hAnsi="Times New Roman"/>
          <w:sz w:val="24"/>
          <w:szCs w:val="24"/>
          <w:lang w:val="mk-MK"/>
        </w:rPr>
        <w:t>и</w:t>
      </w:r>
      <w:r w:rsidRPr="00EB77D6">
        <w:rPr>
          <w:rFonts w:ascii="Times New Roman" w:hAnsi="Times New Roman"/>
          <w:sz w:val="24"/>
          <w:szCs w:val="24"/>
        </w:rPr>
        <w:t xml:space="preserve"> </w:t>
      </w:r>
      <w:r w:rsidRPr="00EB77D6">
        <w:rPr>
          <w:rFonts w:ascii="Times New Roman" w:hAnsi="Times New Roman"/>
          <w:sz w:val="24"/>
          <w:szCs w:val="24"/>
          <w:lang w:val="mk-MK"/>
        </w:rPr>
        <w:t>Одлуката за издавање акции</w:t>
      </w:r>
      <w:r w:rsidRPr="00EB77D6">
        <w:rPr>
          <w:rFonts w:ascii="Times New Roman" w:hAnsi="Times New Roman"/>
          <w:sz w:val="24"/>
          <w:szCs w:val="24"/>
        </w:rPr>
        <w:t xml:space="preserve"> </w:t>
      </w:r>
      <w:r w:rsidRPr="00EB77D6">
        <w:rPr>
          <w:rFonts w:ascii="Times New Roman" w:hAnsi="Times New Roman"/>
          <w:sz w:val="24"/>
          <w:szCs w:val="24"/>
          <w:lang w:val="mk-MK"/>
        </w:rPr>
        <w:t>од</w:t>
      </w:r>
      <w:r w:rsidRPr="00EB77D6">
        <w:rPr>
          <w:rFonts w:ascii="Times New Roman" w:hAnsi="Times New Roman"/>
          <w:sz w:val="24"/>
          <w:szCs w:val="24"/>
        </w:rPr>
        <w:t xml:space="preserve"> </w:t>
      </w:r>
      <w:r w:rsidRPr="00EB77D6">
        <w:rPr>
          <w:rFonts w:ascii="Times New Roman" w:hAnsi="Times New Roman"/>
          <w:sz w:val="24"/>
          <w:szCs w:val="24"/>
          <w:lang w:val="mk-MK"/>
        </w:rPr>
        <w:t>Четвртата емисија</w:t>
      </w:r>
      <w:r w:rsidRPr="00EB77D6">
        <w:rPr>
          <w:rFonts w:ascii="Times New Roman" w:hAnsi="Times New Roman"/>
          <w:sz w:val="24"/>
          <w:szCs w:val="24"/>
        </w:rPr>
        <w:t xml:space="preserve"> АД </w:t>
      </w:r>
      <w:r w:rsidRPr="00EB77D6">
        <w:rPr>
          <w:rFonts w:ascii="Times New Roman" w:hAnsi="Times New Roman"/>
          <w:sz w:val="24"/>
          <w:szCs w:val="24"/>
          <w:lang w:val="mk-MK"/>
        </w:rPr>
        <w:t>бр</w:t>
      </w:r>
      <w:r w:rsidRPr="00EB77D6">
        <w:rPr>
          <w:rFonts w:ascii="Times New Roman" w:hAnsi="Times New Roman"/>
          <w:sz w:val="24"/>
          <w:szCs w:val="24"/>
        </w:rPr>
        <w:t xml:space="preserve">. 102 / 30.05.1996 </w:t>
      </w:r>
      <w:r w:rsidRPr="00EB77D6">
        <w:rPr>
          <w:rFonts w:ascii="Times New Roman" w:hAnsi="Times New Roman"/>
          <w:sz w:val="24"/>
          <w:szCs w:val="24"/>
          <w:lang w:val="mk-MK"/>
        </w:rPr>
        <w:t>година</w:t>
      </w:r>
      <w:r w:rsidRPr="00EB77D6">
        <w:rPr>
          <w:rFonts w:ascii="Times New Roman" w:hAnsi="Times New Roman"/>
          <w:sz w:val="24"/>
          <w:szCs w:val="24"/>
        </w:rPr>
        <w:t xml:space="preserve">. </w:t>
      </w:r>
      <w:r w:rsidRPr="00EB77D6">
        <w:rPr>
          <w:rFonts w:ascii="Times New Roman" w:hAnsi="Times New Roman"/>
          <w:sz w:val="24"/>
          <w:szCs w:val="24"/>
          <w:lang w:val="mk-MK"/>
        </w:rPr>
        <w:t>Во согласност со овие решенија</w:t>
      </w:r>
      <w:r w:rsidRPr="00EB77D6">
        <w:rPr>
          <w:rFonts w:ascii="Times New Roman" w:hAnsi="Times New Roman"/>
          <w:sz w:val="24"/>
          <w:szCs w:val="24"/>
        </w:rPr>
        <w:t xml:space="preserve"> </w:t>
      </w:r>
      <w:r w:rsidRPr="00EB77D6">
        <w:rPr>
          <w:rFonts w:ascii="Times New Roman" w:hAnsi="Times New Roman"/>
          <w:sz w:val="24"/>
          <w:szCs w:val="24"/>
          <w:lang w:val="mk-MK"/>
        </w:rPr>
        <w:t>донесени од</w:t>
      </w:r>
      <w:r w:rsidRPr="00EB77D6">
        <w:rPr>
          <w:rFonts w:ascii="Times New Roman" w:hAnsi="Times New Roman"/>
          <w:sz w:val="24"/>
          <w:szCs w:val="24"/>
        </w:rPr>
        <w:t xml:space="preserve"> </w:t>
      </w:r>
      <w:r w:rsidRPr="00EB77D6">
        <w:rPr>
          <w:rFonts w:ascii="Times New Roman" w:hAnsi="Times New Roman"/>
          <w:sz w:val="24"/>
          <w:szCs w:val="24"/>
          <w:lang w:val="mk-MK"/>
        </w:rPr>
        <w:t>Собранието на акционери</w:t>
      </w:r>
      <w:r w:rsidRPr="00EB77D6">
        <w:rPr>
          <w:rFonts w:ascii="Times New Roman" w:hAnsi="Times New Roman"/>
          <w:sz w:val="24"/>
          <w:szCs w:val="24"/>
        </w:rPr>
        <w:t xml:space="preserve">, </w:t>
      </w:r>
      <w:r w:rsidRPr="00EB77D6">
        <w:rPr>
          <w:rFonts w:ascii="Times New Roman" w:hAnsi="Times New Roman"/>
          <w:sz w:val="24"/>
          <w:szCs w:val="24"/>
          <w:lang w:val="mk-MK"/>
        </w:rPr>
        <w:t>дивидендата на приоритетните акции</w:t>
      </w:r>
      <w:r w:rsidRPr="00EB77D6">
        <w:rPr>
          <w:rFonts w:ascii="Times New Roman" w:hAnsi="Times New Roman"/>
          <w:sz w:val="24"/>
          <w:szCs w:val="24"/>
        </w:rPr>
        <w:t xml:space="preserve"> </w:t>
      </w:r>
      <w:r w:rsidRPr="00EB77D6">
        <w:rPr>
          <w:rFonts w:ascii="Times New Roman" w:hAnsi="Times New Roman"/>
          <w:sz w:val="24"/>
          <w:szCs w:val="24"/>
          <w:lang w:val="mk-MK"/>
        </w:rPr>
        <w:t>се утврдува</w:t>
      </w:r>
      <w:r w:rsidRPr="00EB77D6">
        <w:rPr>
          <w:rFonts w:ascii="Times New Roman" w:hAnsi="Times New Roman"/>
          <w:sz w:val="24"/>
          <w:szCs w:val="24"/>
        </w:rPr>
        <w:t xml:space="preserve"> </w:t>
      </w:r>
      <w:r w:rsidRPr="00EB77D6">
        <w:rPr>
          <w:rFonts w:ascii="Times New Roman" w:hAnsi="Times New Roman"/>
          <w:sz w:val="24"/>
          <w:szCs w:val="24"/>
          <w:lang w:val="mk-MK"/>
        </w:rPr>
        <w:t>во висина на каматата</w:t>
      </w:r>
      <w:r w:rsidRPr="00EB77D6">
        <w:rPr>
          <w:rFonts w:ascii="Times New Roman" w:hAnsi="Times New Roman"/>
          <w:sz w:val="24"/>
          <w:szCs w:val="24"/>
        </w:rPr>
        <w:t xml:space="preserve"> </w:t>
      </w:r>
      <w:r w:rsidRPr="00EB77D6">
        <w:rPr>
          <w:rFonts w:ascii="Times New Roman" w:hAnsi="Times New Roman"/>
          <w:sz w:val="24"/>
          <w:szCs w:val="24"/>
          <w:lang w:val="mk-MK"/>
        </w:rPr>
        <w:t>на орочени денарски депозити на население</w:t>
      </w:r>
      <w:r w:rsidRPr="00EB77D6">
        <w:rPr>
          <w:rFonts w:ascii="Times New Roman" w:hAnsi="Times New Roman"/>
          <w:sz w:val="24"/>
          <w:szCs w:val="24"/>
        </w:rPr>
        <w:t xml:space="preserve"> </w:t>
      </w:r>
      <w:r w:rsidRPr="00EB77D6">
        <w:rPr>
          <w:rFonts w:ascii="Times New Roman" w:hAnsi="Times New Roman"/>
          <w:sz w:val="24"/>
          <w:szCs w:val="24"/>
          <w:lang w:val="mk-MK"/>
        </w:rPr>
        <w:t>за период од</w:t>
      </w:r>
      <w:r w:rsidRPr="00EB77D6">
        <w:rPr>
          <w:rFonts w:ascii="Times New Roman" w:hAnsi="Times New Roman"/>
          <w:sz w:val="24"/>
          <w:szCs w:val="24"/>
        </w:rPr>
        <w:t xml:space="preserve"> 1 (</w:t>
      </w:r>
      <w:r w:rsidRPr="00EB77D6">
        <w:rPr>
          <w:rFonts w:ascii="Times New Roman" w:hAnsi="Times New Roman"/>
          <w:sz w:val="24"/>
          <w:szCs w:val="24"/>
          <w:lang w:val="mk-MK"/>
        </w:rPr>
        <w:t>една</w:t>
      </w:r>
      <w:r w:rsidRPr="00EB77D6">
        <w:rPr>
          <w:rFonts w:ascii="Times New Roman" w:hAnsi="Times New Roman"/>
          <w:sz w:val="24"/>
          <w:szCs w:val="24"/>
        </w:rPr>
        <w:t xml:space="preserve">) </w:t>
      </w:r>
      <w:r w:rsidRPr="00EB77D6">
        <w:rPr>
          <w:rFonts w:ascii="Times New Roman" w:hAnsi="Times New Roman"/>
          <w:sz w:val="24"/>
          <w:szCs w:val="24"/>
          <w:lang w:val="mk-MK"/>
        </w:rPr>
        <w:t>година</w:t>
      </w:r>
      <w:r w:rsidRPr="00EB77D6">
        <w:rPr>
          <w:rFonts w:ascii="Times New Roman" w:hAnsi="Times New Roman"/>
          <w:sz w:val="24"/>
          <w:szCs w:val="24"/>
        </w:rPr>
        <w:t xml:space="preserve">, </w:t>
      </w:r>
      <w:r w:rsidRPr="00EB77D6">
        <w:rPr>
          <w:rFonts w:ascii="Times New Roman" w:hAnsi="Times New Roman"/>
          <w:sz w:val="24"/>
          <w:szCs w:val="24"/>
          <w:lang w:val="mk-MK"/>
        </w:rPr>
        <w:t>зголемена за соодветниот процентен поен</w:t>
      </w:r>
      <w:r w:rsidRPr="00EB77D6">
        <w:rPr>
          <w:rFonts w:ascii="Times New Roman" w:hAnsi="Times New Roman"/>
          <w:sz w:val="24"/>
          <w:szCs w:val="24"/>
        </w:rPr>
        <w:t xml:space="preserve">. </w:t>
      </w:r>
      <w:r w:rsidRPr="00EB77D6">
        <w:rPr>
          <w:rFonts w:ascii="Times New Roman" w:hAnsi="Times New Roman"/>
          <w:sz w:val="24"/>
          <w:szCs w:val="24"/>
          <w:lang w:val="mk-MK"/>
        </w:rPr>
        <w:t>Во согласност со овие одлуки</w:t>
      </w:r>
      <w:r w:rsidRPr="00EB77D6">
        <w:rPr>
          <w:rFonts w:ascii="Times New Roman" w:hAnsi="Times New Roman"/>
          <w:sz w:val="24"/>
          <w:szCs w:val="24"/>
        </w:rPr>
        <w:t xml:space="preserve"> </w:t>
      </w:r>
      <w:r w:rsidRPr="00EB77D6">
        <w:rPr>
          <w:rFonts w:ascii="Times New Roman" w:hAnsi="Times New Roman"/>
          <w:sz w:val="24"/>
          <w:szCs w:val="24"/>
          <w:lang w:val="mk-MK"/>
        </w:rPr>
        <w:t>за издавање</w:t>
      </w:r>
      <w:r w:rsidRPr="00EB77D6">
        <w:rPr>
          <w:rFonts w:ascii="Times New Roman" w:hAnsi="Times New Roman"/>
          <w:sz w:val="24"/>
          <w:szCs w:val="24"/>
        </w:rPr>
        <w:t xml:space="preserve"> </w:t>
      </w:r>
      <w:r w:rsidRPr="00EB77D6">
        <w:rPr>
          <w:rFonts w:ascii="Times New Roman" w:hAnsi="Times New Roman"/>
          <w:sz w:val="24"/>
          <w:szCs w:val="24"/>
          <w:lang w:val="mk-MK"/>
        </w:rPr>
        <w:t>на</w:t>
      </w:r>
      <w:r w:rsidRPr="00EB77D6">
        <w:rPr>
          <w:rFonts w:ascii="Times New Roman" w:hAnsi="Times New Roman"/>
          <w:sz w:val="24"/>
          <w:szCs w:val="24"/>
        </w:rPr>
        <w:t xml:space="preserve"> </w:t>
      </w:r>
      <w:r w:rsidRPr="00EB77D6">
        <w:rPr>
          <w:rFonts w:ascii="Times New Roman" w:hAnsi="Times New Roman"/>
          <w:sz w:val="24"/>
          <w:szCs w:val="24"/>
          <w:lang w:val="mk-MK"/>
        </w:rPr>
        <w:t>акции</w:t>
      </w:r>
      <w:r w:rsidRPr="00EB77D6">
        <w:rPr>
          <w:rFonts w:ascii="Times New Roman" w:hAnsi="Times New Roman"/>
          <w:sz w:val="24"/>
          <w:szCs w:val="24"/>
        </w:rPr>
        <w:t xml:space="preserve"> и </w:t>
      </w:r>
      <w:r w:rsidRPr="00EB77D6">
        <w:rPr>
          <w:rFonts w:ascii="Times New Roman" w:hAnsi="Times New Roman"/>
          <w:sz w:val="24"/>
          <w:szCs w:val="24"/>
          <w:lang w:val="mk-MK"/>
        </w:rPr>
        <w:t>Законот за трговски друштва</w:t>
      </w:r>
      <w:r w:rsidRPr="00EB77D6">
        <w:rPr>
          <w:rFonts w:ascii="Times New Roman" w:hAnsi="Times New Roman"/>
          <w:sz w:val="24"/>
          <w:szCs w:val="24"/>
        </w:rPr>
        <w:t xml:space="preserve">, </w:t>
      </w:r>
      <w:r w:rsidRPr="00EB77D6">
        <w:rPr>
          <w:rFonts w:ascii="Times New Roman" w:hAnsi="Times New Roman"/>
          <w:sz w:val="24"/>
          <w:szCs w:val="24"/>
          <w:lang w:val="mk-MK"/>
        </w:rPr>
        <w:t>приоритетните акционери</w:t>
      </w:r>
      <w:r w:rsidRPr="00EB77D6">
        <w:rPr>
          <w:rFonts w:ascii="Times New Roman" w:hAnsi="Times New Roman"/>
          <w:sz w:val="24"/>
          <w:szCs w:val="24"/>
        </w:rPr>
        <w:t xml:space="preserve"> </w:t>
      </w:r>
      <w:r w:rsidRPr="00EB77D6">
        <w:rPr>
          <w:rFonts w:ascii="Times New Roman" w:hAnsi="Times New Roman"/>
          <w:sz w:val="24"/>
          <w:szCs w:val="24"/>
          <w:lang w:val="mk-MK"/>
        </w:rPr>
        <w:t>имаат право</w:t>
      </w:r>
      <w:r w:rsidRPr="00EB77D6">
        <w:rPr>
          <w:rFonts w:ascii="Times New Roman" w:hAnsi="Times New Roman"/>
          <w:sz w:val="24"/>
          <w:szCs w:val="24"/>
        </w:rPr>
        <w:t xml:space="preserve"> </w:t>
      </w:r>
      <w:r w:rsidRPr="00EB77D6">
        <w:rPr>
          <w:rFonts w:ascii="Times New Roman" w:hAnsi="Times New Roman"/>
          <w:sz w:val="24"/>
          <w:szCs w:val="24"/>
          <w:lang w:val="mk-MK"/>
        </w:rPr>
        <w:t>на</w:t>
      </w:r>
      <w:r w:rsidRPr="00EB77D6">
        <w:rPr>
          <w:rFonts w:ascii="Times New Roman" w:hAnsi="Times New Roman"/>
          <w:sz w:val="24"/>
          <w:szCs w:val="24"/>
        </w:rPr>
        <w:t xml:space="preserve"> </w:t>
      </w:r>
      <w:r w:rsidRPr="00EB77D6">
        <w:rPr>
          <w:rFonts w:ascii="Times New Roman" w:hAnsi="Times New Roman"/>
          <w:sz w:val="24"/>
          <w:szCs w:val="24"/>
          <w:lang w:val="mk-MK"/>
        </w:rPr>
        <w:t>загарантирана</w:t>
      </w:r>
      <w:r w:rsidRPr="00EB77D6">
        <w:rPr>
          <w:rFonts w:ascii="Times New Roman" w:hAnsi="Times New Roman"/>
          <w:sz w:val="24"/>
          <w:szCs w:val="24"/>
        </w:rPr>
        <w:t xml:space="preserve"> </w:t>
      </w:r>
      <w:r w:rsidRPr="00EB77D6">
        <w:rPr>
          <w:rFonts w:ascii="Times New Roman" w:hAnsi="Times New Roman"/>
          <w:sz w:val="24"/>
          <w:szCs w:val="24"/>
          <w:lang w:val="mk-MK"/>
        </w:rPr>
        <w:t>кумулативна</w:t>
      </w:r>
      <w:r w:rsidRPr="00EB77D6">
        <w:rPr>
          <w:rFonts w:ascii="Times New Roman" w:hAnsi="Times New Roman"/>
          <w:sz w:val="24"/>
          <w:szCs w:val="24"/>
        </w:rPr>
        <w:t xml:space="preserve"> </w:t>
      </w:r>
      <w:r w:rsidRPr="00EB77D6">
        <w:rPr>
          <w:rFonts w:ascii="Times New Roman" w:hAnsi="Times New Roman"/>
          <w:sz w:val="24"/>
          <w:szCs w:val="24"/>
          <w:lang w:val="mk-MK"/>
        </w:rPr>
        <w:t>дивиденда</w:t>
      </w:r>
      <w:r w:rsidRPr="00EB77D6">
        <w:rPr>
          <w:rFonts w:ascii="Times New Roman" w:hAnsi="Times New Roman"/>
          <w:sz w:val="24"/>
          <w:szCs w:val="24"/>
        </w:rPr>
        <w:t xml:space="preserve"> и </w:t>
      </w:r>
      <w:r w:rsidRPr="00EB77D6">
        <w:rPr>
          <w:rFonts w:ascii="Times New Roman" w:hAnsi="Times New Roman"/>
          <w:sz w:val="24"/>
          <w:szCs w:val="24"/>
          <w:lang w:val="mk-MK"/>
        </w:rPr>
        <w:t>Банката</w:t>
      </w:r>
      <w:r w:rsidRPr="00EB77D6">
        <w:rPr>
          <w:rFonts w:ascii="Times New Roman" w:hAnsi="Times New Roman"/>
          <w:sz w:val="24"/>
          <w:szCs w:val="24"/>
        </w:rPr>
        <w:t xml:space="preserve"> </w:t>
      </w:r>
      <w:r w:rsidRPr="00EB77D6">
        <w:rPr>
          <w:rFonts w:ascii="Times New Roman" w:hAnsi="Times New Roman"/>
          <w:sz w:val="24"/>
          <w:szCs w:val="24"/>
          <w:lang w:val="mk-MK"/>
        </w:rPr>
        <w:t>истото во целост го почитува</w:t>
      </w:r>
      <w:r w:rsidRPr="00EB77D6">
        <w:rPr>
          <w:rFonts w:ascii="Times New Roman" w:hAnsi="Times New Roman"/>
          <w:sz w:val="24"/>
          <w:szCs w:val="24"/>
        </w:rPr>
        <w:t xml:space="preserve">. </w:t>
      </w:r>
    </w:p>
    <w:p w14:paraId="521759EC" w14:textId="77777777" w:rsidR="001C5B17" w:rsidRPr="00EB77D6" w:rsidRDefault="001C5B17" w:rsidP="007F0042">
      <w:pPr>
        <w:jc w:val="both"/>
        <w:rPr>
          <w:rFonts w:ascii="Times New Roman" w:hAnsi="Times New Roman"/>
          <w:color w:val="000000"/>
          <w:sz w:val="24"/>
          <w:szCs w:val="24"/>
        </w:rPr>
      </w:pPr>
      <w:r w:rsidRPr="00EB77D6">
        <w:rPr>
          <w:rFonts w:ascii="Times New Roman" w:hAnsi="Times New Roman"/>
          <w:sz w:val="24"/>
          <w:szCs w:val="24"/>
          <w:lang w:val="mk-MK"/>
        </w:rPr>
        <w:t>Банката има стабилна и предвидлива политика</w:t>
      </w:r>
      <w:r w:rsidRPr="00EB77D6">
        <w:rPr>
          <w:rFonts w:ascii="Times New Roman" w:hAnsi="Times New Roman"/>
          <w:sz w:val="24"/>
          <w:szCs w:val="24"/>
        </w:rPr>
        <w:t xml:space="preserve"> </w:t>
      </w:r>
      <w:r w:rsidRPr="00EB77D6">
        <w:rPr>
          <w:rFonts w:ascii="Times New Roman" w:hAnsi="Times New Roman"/>
          <w:sz w:val="24"/>
          <w:szCs w:val="24"/>
          <w:lang w:val="mk-MK"/>
        </w:rPr>
        <w:t>на</w:t>
      </w:r>
      <w:r w:rsidRPr="00EB77D6">
        <w:rPr>
          <w:rFonts w:ascii="Times New Roman" w:hAnsi="Times New Roman"/>
          <w:sz w:val="24"/>
          <w:szCs w:val="24"/>
        </w:rPr>
        <w:t xml:space="preserve"> </w:t>
      </w:r>
      <w:r w:rsidRPr="00EB77D6">
        <w:rPr>
          <w:rFonts w:ascii="Times New Roman" w:hAnsi="Times New Roman"/>
          <w:sz w:val="24"/>
          <w:szCs w:val="24"/>
          <w:lang w:val="mk-MK"/>
        </w:rPr>
        <w:t>дивиденда</w:t>
      </w:r>
      <w:r w:rsidRPr="00EB77D6">
        <w:rPr>
          <w:rFonts w:ascii="Times New Roman" w:hAnsi="Times New Roman"/>
          <w:sz w:val="24"/>
          <w:szCs w:val="24"/>
        </w:rPr>
        <w:t xml:space="preserve"> </w:t>
      </w:r>
      <w:r w:rsidRPr="00EB77D6">
        <w:rPr>
          <w:rFonts w:ascii="Times New Roman" w:hAnsi="Times New Roman"/>
          <w:sz w:val="24"/>
          <w:szCs w:val="24"/>
          <w:lang w:val="mk-MK"/>
        </w:rPr>
        <w:t>за</w:t>
      </w:r>
      <w:r w:rsidRPr="00EB77D6">
        <w:rPr>
          <w:rFonts w:ascii="Times New Roman" w:hAnsi="Times New Roman"/>
          <w:sz w:val="24"/>
          <w:szCs w:val="24"/>
        </w:rPr>
        <w:t xml:space="preserve"> </w:t>
      </w:r>
      <w:r w:rsidRPr="00EB77D6">
        <w:rPr>
          <w:rFonts w:ascii="Times New Roman" w:hAnsi="Times New Roman"/>
          <w:sz w:val="24"/>
          <w:szCs w:val="24"/>
          <w:lang w:val="mk-MK"/>
        </w:rPr>
        <w:t>приоритетните акции</w:t>
      </w:r>
      <w:r w:rsidRPr="00EB77D6">
        <w:rPr>
          <w:rFonts w:ascii="Times New Roman" w:hAnsi="Times New Roman"/>
          <w:sz w:val="24"/>
          <w:szCs w:val="24"/>
        </w:rPr>
        <w:t xml:space="preserve">, </w:t>
      </w:r>
      <w:r w:rsidRPr="00EB77D6">
        <w:rPr>
          <w:rFonts w:ascii="Times New Roman" w:hAnsi="Times New Roman"/>
          <w:sz w:val="24"/>
          <w:szCs w:val="24"/>
          <w:lang w:val="mk-MK"/>
        </w:rPr>
        <w:t>т.е.</w:t>
      </w:r>
      <w:r w:rsidRPr="00EB77D6">
        <w:rPr>
          <w:rFonts w:ascii="Times New Roman" w:hAnsi="Times New Roman"/>
          <w:sz w:val="24"/>
          <w:szCs w:val="24"/>
        </w:rPr>
        <w:t xml:space="preserve"> </w:t>
      </w:r>
      <w:r w:rsidRPr="00EB77D6">
        <w:rPr>
          <w:rFonts w:ascii="Times New Roman" w:hAnsi="Times New Roman"/>
          <w:sz w:val="24"/>
          <w:szCs w:val="24"/>
          <w:lang w:val="mk-MK"/>
        </w:rPr>
        <w:t>фиксна каматна стапка</w:t>
      </w:r>
      <w:r w:rsidRPr="00EB77D6">
        <w:rPr>
          <w:rFonts w:ascii="Times New Roman" w:hAnsi="Times New Roman"/>
          <w:sz w:val="24"/>
          <w:szCs w:val="24"/>
        </w:rPr>
        <w:t xml:space="preserve"> </w:t>
      </w:r>
      <w:r w:rsidRPr="00EB77D6">
        <w:rPr>
          <w:rFonts w:ascii="Times New Roman" w:hAnsi="Times New Roman"/>
          <w:sz w:val="24"/>
          <w:szCs w:val="24"/>
          <w:lang w:val="mk-MK"/>
        </w:rPr>
        <w:t>заснована врз пазарната каматна стапка</w:t>
      </w:r>
      <w:r w:rsidRPr="00EB77D6">
        <w:rPr>
          <w:rFonts w:ascii="Times New Roman" w:hAnsi="Times New Roman"/>
          <w:sz w:val="24"/>
          <w:szCs w:val="24"/>
        </w:rPr>
        <w:t xml:space="preserve"> </w:t>
      </w:r>
      <w:r w:rsidRPr="00EB77D6">
        <w:rPr>
          <w:rFonts w:ascii="Times New Roman" w:hAnsi="Times New Roman"/>
          <w:sz w:val="24"/>
          <w:szCs w:val="24"/>
          <w:lang w:val="mk-MK"/>
        </w:rPr>
        <w:t>што служи како референтна вредност</w:t>
      </w:r>
      <w:r w:rsidRPr="00EB77D6">
        <w:rPr>
          <w:rFonts w:ascii="Times New Roman" w:hAnsi="Times New Roman"/>
          <w:sz w:val="24"/>
          <w:szCs w:val="24"/>
        </w:rPr>
        <w:t xml:space="preserve"> </w:t>
      </w:r>
      <w:r w:rsidRPr="00EB77D6">
        <w:rPr>
          <w:rFonts w:ascii="Times New Roman" w:hAnsi="Times New Roman"/>
          <w:sz w:val="24"/>
          <w:szCs w:val="24"/>
          <w:lang w:val="mk-MK"/>
        </w:rPr>
        <w:t>што однапред им дава</w:t>
      </w:r>
      <w:r w:rsidRPr="00EB77D6">
        <w:rPr>
          <w:rFonts w:ascii="Times New Roman" w:hAnsi="Times New Roman"/>
          <w:sz w:val="24"/>
          <w:szCs w:val="24"/>
        </w:rPr>
        <w:t xml:space="preserve"> </w:t>
      </w:r>
      <w:r w:rsidRPr="00EB77D6">
        <w:rPr>
          <w:rFonts w:ascii="Times New Roman" w:hAnsi="Times New Roman"/>
          <w:sz w:val="24"/>
          <w:szCs w:val="24"/>
          <w:lang w:val="mk-MK"/>
        </w:rPr>
        <w:t>на акционерите</w:t>
      </w:r>
      <w:r w:rsidRPr="00EB77D6">
        <w:rPr>
          <w:rFonts w:ascii="Times New Roman" w:hAnsi="Times New Roman"/>
          <w:sz w:val="24"/>
          <w:szCs w:val="24"/>
        </w:rPr>
        <w:t xml:space="preserve"> </w:t>
      </w:r>
      <w:r w:rsidRPr="00EB77D6">
        <w:rPr>
          <w:rFonts w:ascii="Times New Roman" w:hAnsi="Times New Roman"/>
          <w:sz w:val="24"/>
          <w:szCs w:val="24"/>
          <w:lang w:val="mk-MK"/>
        </w:rPr>
        <w:t>индиции</w:t>
      </w:r>
      <w:r w:rsidRPr="00EB77D6">
        <w:rPr>
          <w:rFonts w:ascii="Times New Roman" w:hAnsi="Times New Roman"/>
          <w:sz w:val="24"/>
          <w:szCs w:val="24"/>
        </w:rPr>
        <w:t xml:space="preserve"> </w:t>
      </w:r>
      <w:r w:rsidRPr="00EB77D6">
        <w:rPr>
          <w:rFonts w:ascii="Times New Roman" w:hAnsi="Times New Roman"/>
          <w:sz w:val="24"/>
          <w:szCs w:val="24"/>
          <w:lang w:val="mk-MK"/>
        </w:rPr>
        <w:t>за дивидендата</w:t>
      </w:r>
      <w:r w:rsidRPr="00EB77D6">
        <w:rPr>
          <w:rFonts w:ascii="Times New Roman" w:hAnsi="Times New Roman"/>
          <w:sz w:val="24"/>
          <w:szCs w:val="24"/>
        </w:rPr>
        <w:t xml:space="preserve"> </w:t>
      </w:r>
      <w:r w:rsidRPr="00EB77D6">
        <w:rPr>
          <w:rFonts w:ascii="Times New Roman" w:hAnsi="Times New Roman"/>
          <w:sz w:val="24"/>
          <w:szCs w:val="24"/>
          <w:lang w:val="mk-MK"/>
        </w:rPr>
        <w:t>што</w:t>
      </w:r>
      <w:r w:rsidRPr="00EB77D6">
        <w:rPr>
          <w:rFonts w:ascii="Times New Roman" w:hAnsi="Times New Roman"/>
          <w:sz w:val="24"/>
          <w:szCs w:val="24"/>
        </w:rPr>
        <w:t xml:space="preserve"> </w:t>
      </w:r>
      <w:r w:rsidRPr="00EB77D6">
        <w:rPr>
          <w:rFonts w:ascii="Times New Roman" w:hAnsi="Times New Roman"/>
          <w:sz w:val="24"/>
          <w:szCs w:val="24"/>
          <w:lang w:val="mk-MK"/>
        </w:rPr>
        <w:t>ќе ја добијат</w:t>
      </w:r>
      <w:r w:rsidRPr="00EB77D6">
        <w:rPr>
          <w:rFonts w:ascii="Times New Roman" w:hAnsi="Times New Roman"/>
          <w:sz w:val="24"/>
          <w:szCs w:val="24"/>
        </w:rPr>
        <w:t xml:space="preserve">.  </w:t>
      </w:r>
    </w:p>
    <w:p w14:paraId="64E18D78" w14:textId="77777777" w:rsidR="001C5B17" w:rsidRPr="00EB77D6" w:rsidRDefault="001C5B17" w:rsidP="007F0042">
      <w:pPr>
        <w:jc w:val="both"/>
        <w:rPr>
          <w:rFonts w:ascii="Times New Roman" w:hAnsi="Times New Roman"/>
          <w:sz w:val="24"/>
          <w:szCs w:val="24"/>
        </w:rPr>
      </w:pPr>
      <w:r w:rsidRPr="00EB77D6">
        <w:rPr>
          <w:rFonts w:ascii="Times New Roman" w:hAnsi="Times New Roman"/>
          <w:sz w:val="24"/>
          <w:szCs w:val="24"/>
          <w:lang w:val="mk-MK"/>
        </w:rPr>
        <w:t>Во однос на политиката на дивиденда</w:t>
      </w:r>
      <w:r w:rsidRPr="00EB77D6">
        <w:rPr>
          <w:rFonts w:ascii="Times New Roman" w:hAnsi="Times New Roman"/>
          <w:sz w:val="24"/>
          <w:szCs w:val="24"/>
        </w:rPr>
        <w:t xml:space="preserve"> </w:t>
      </w:r>
      <w:r w:rsidRPr="00EB77D6">
        <w:rPr>
          <w:rFonts w:ascii="Times New Roman" w:hAnsi="Times New Roman"/>
          <w:sz w:val="24"/>
          <w:szCs w:val="24"/>
          <w:lang w:val="mk-MK"/>
        </w:rPr>
        <w:t>поврзана со обичните акции</w:t>
      </w:r>
      <w:r w:rsidRPr="00EB77D6">
        <w:rPr>
          <w:rFonts w:ascii="Times New Roman" w:hAnsi="Times New Roman"/>
          <w:sz w:val="24"/>
          <w:szCs w:val="24"/>
        </w:rPr>
        <w:t xml:space="preserve">, </w:t>
      </w:r>
      <w:r w:rsidRPr="00EB77D6">
        <w:rPr>
          <w:rFonts w:ascii="Times New Roman" w:hAnsi="Times New Roman"/>
          <w:sz w:val="24"/>
          <w:szCs w:val="24"/>
          <w:lang w:val="mk-MK"/>
        </w:rPr>
        <w:t>Банката ги зема предвид капиталот</w:t>
      </w:r>
      <w:r w:rsidRPr="00EB77D6">
        <w:rPr>
          <w:rFonts w:ascii="Times New Roman" w:hAnsi="Times New Roman"/>
          <w:sz w:val="24"/>
          <w:szCs w:val="24"/>
        </w:rPr>
        <w:t xml:space="preserve"> и </w:t>
      </w:r>
      <w:r w:rsidRPr="00EB77D6">
        <w:rPr>
          <w:rFonts w:ascii="Times New Roman" w:hAnsi="Times New Roman"/>
          <w:sz w:val="24"/>
          <w:szCs w:val="24"/>
          <w:lang w:val="mk-MK"/>
        </w:rPr>
        <w:t>другите регулаторни барања</w:t>
      </w:r>
      <w:r w:rsidRPr="00EB77D6">
        <w:rPr>
          <w:rFonts w:ascii="Times New Roman" w:hAnsi="Times New Roman"/>
          <w:sz w:val="24"/>
          <w:szCs w:val="24"/>
        </w:rPr>
        <w:t xml:space="preserve"> </w:t>
      </w:r>
      <w:r w:rsidRPr="00EB77D6">
        <w:rPr>
          <w:rFonts w:ascii="Times New Roman" w:hAnsi="Times New Roman"/>
          <w:sz w:val="24"/>
          <w:szCs w:val="24"/>
          <w:lang w:val="mk-MK"/>
        </w:rPr>
        <w:t>што треба да ги поддржат</w:t>
      </w:r>
      <w:r w:rsidRPr="00EB77D6">
        <w:rPr>
          <w:rFonts w:ascii="Times New Roman" w:hAnsi="Times New Roman"/>
          <w:sz w:val="24"/>
          <w:szCs w:val="24"/>
        </w:rPr>
        <w:t xml:space="preserve"> </w:t>
      </w:r>
      <w:r w:rsidRPr="00EB77D6">
        <w:rPr>
          <w:rFonts w:ascii="Times New Roman" w:hAnsi="Times New Roman"/>
          <w:sz w:val="24"/>
          <w:szCs w:val="24"/>
          <w:lang w:val="mk-MK"/>
        </w:rPr>
        <w:t>деловните потреби</w:t>
      </w:r>
      <w:r w:rsidRPr="00EB77D6">
        <w:rPr>
          <w:rFonts w:ascii="Times New Roman" w:hAnsi="Times New Roman"/>
          <w:sz w:val="24"/>
          <w:szCs w:val="24"/>
        </w:rPr>
        <w:t xml:space="preserve"> и </w:t>
      </w:r>
      <w:r w:rsidRPr="00EB77D6">
        <w:rPr>
          <w:rFonts w:ascii="Times New Roman" w:hAnsi="Times New Roman"/>
          <w:sz w:val="24"/>
          <w:szCs w:val="24"/>
          <w:lang w:val="mk-MK"/>
        </w:rPr>
        <w:t>аспектите на раст</w:t>
      </w:r>
      <w:r w:rsidRPr="00EB77D6">
        <w:rPr>
          <w:rFonts w:ascii="Times New Roman" w:hAnsi="Times New Roman"/>
          <w:sz w:val="24"/>
          <w:szCs w:val="24"/>
        </w:rPr>
        <w:t xml:space="preserve">. </w:t>
      </w:r>
      <w:r w:rsidRPr="00EB77D6">
        <w:rPr>
          <w:rFonts w:ascii="Times New Roman" w:hAnsi="Times New Roman"/>
          <w:sz w:val="24"/>
          <w:szCs w:val="24"/>
          <w:lang w:val="mk-MK"/>
        </w:rPr>
        <w:t>По обезбедување на споменатите приоритети</w:t>
      </w:r>
      <w:r w:rsidRPr="00EB77D6">
        <w:rPr>
          <w:rFonts w:ascii="Times New Roman" w:hAnsi="Times New Roman"/>
          <w:sz w:val="24"/>
          <w:szCs w:val="24"/>
        </w:rPr>
        <w:t xml:space="preserve">, </w:t>
      </w:r>
      <w:r w:rsidRPr="00EB77D6">
        <w:rPr>
          <w:rFonts w:ascii="Times New Roman" w:hAnsi="Times New Roman"/>
          <w:sz w:val="24"/>
          <w:szCs w:val="24"/>
          <w:lang w:val="mk-MK"/>
        </w:rPr>
        <w:t>останатото е предмет на дискреција</w:t>
      </w:r>
      <w:r w:rsidRPr="00EB77D6">
        <w:rPr>
          <w:rFonts w:ascii="Times New Roman" w:hAnsi="Times New Roman"/>
          <w:sz w:val="24"/>
          <w:szCs w:val="24"/>
        </w:rPr>
        <w:t xml:space="preserve"> </w:t>
      </w:r>
      <w:r w:rsidRPr="00EB77D6">
        <w:rPr>
          <w:rFonts w:ascii="Times New Roman" w:hAnsi="Times New Roman"/>
          <w:sz w:val="24"/>
          <w:szCs w:val="24"/>
          <w:lang w:val="mk-MK"/>
        </w:rPr>
        <w:t>на</w:t>
      </w:r>
      <w:r w:rsidRPr="00EB77D6">
        <w:rPr>
          <w:rFonts w:ascii="Times New Roman" w:hAnsi="Times New Roman"/>
          <w:sz w:val="24"/>
          <w:szCs w:val="24"/>
        </w:rPr>
        <w:t xml:space="preserve"> </w:t>
      </w:r>
      <w:r w:rsidRPr="00EB77D6">
        <w:rPr>
          <w:rFonts w:ascii="Times New Roman" w:hAnsi="Times New Roman"/>
          <w:sz w:val="24"/>
          <w:szCs w:val="24"/>
          <w:lang w:val="mk-MK"/>
        </w:rPr>
        <w:t>акционерите</w:t>
      </w:r>
      <w:r w:rsidRPr="00EB77D6">
        <w:rPr>
          <w:rFonts w:ascii="Times New Roman" w:hAnsi="Times New Roman"/>
          <w:sz w:val="24"/>
          <w:szCs w:val="24"/>
        </w:rPr>
        <w:t xml:space="preserve"> </w:t>
      </w:r>
      <w:r w:rsidRPr="00EB77D6">
        <w:rPr>
          <w:rFonts w:ascii="Times New Roman" w:hAnsi="Times New Roman"/>
          <w:sz w:val="24"/>
          <w:szCs w:val="24"/>
          <w:lang w:val="mk-MK"/>
        </w:rPr>
        <w:t>врз основа на</w:t>
      </w:r>
      <w:r w:rsidRPr="00EB77D6">
        <w:rPr>
          <w:rFonts w:ascii="Times New Roman" w:hAnsi="Times New Roman"/>
          <w:sz w:val="24"/>
          <w:szCs w:val="24"/>
        </w:rPr>
        <w:t xml:space="preserve"> </w:t>
      </w:r>
      <w:r w:rsidRPr="00EB77D6">
        <w:rPr>
          <w:rFonts w:ascii="Times New Roman" w:hAnsi="Times New Roman"/>
          <w:sz w:val="24"/>
          <w:szCs w:val="24"/>
          <w:lang w:val="mk-MK"/>
        </w:rPr>
        <w:t>одлука донесена</w:t>
      </w:r>
      <w:r w:rsidRPr="00EB77D6">
        <w:rPr>
          <w:rFonts w:ascii="Times New Roman" w:hAnsi="Times New Roman"/>
          <w:sz w:val="24"/>
          <w:szCs w:val="24"/>
        </w:rPr>
        <w:t xml:space="preserve"> </w:t>
      </w:r>
      <w:r w:rsidRPr="00EB77D6">
        <w:rPr>
          <w:rFonts w:ascii="Times New Roman" w:hAnsi="Times New Roman"/>
          <w:sz w:val="24"/>
          <w:szCs w:val="24"/>
          <w:lang w:val="mk-MK"/>
        </w:rPr>
        <w:t>од</w:t>
      </w:r>
      <w:r w:rsidRPr="00EB77D6">
        <w:rPr>
          <w:rFonts w:ascii="Times New Roman" w:hAnsi="Times New Roman"/>
          <w:sz w:val="24"/>
          <w:szCs w:val="24"/>
        </w:rPr>
        <w:t xml:space="preserve"> </w:t>
      </w:r>
      <w:r w:rsidRPr="00EB77D6">
        <w:rPr>
          <w:rFonts w:ascii="Times New Roman" w:hAnsi="Times New Roman"/>
          <w:sz w:val="24"/>
          <w:szCs w:val="24"/>
          <w:lang w:val="mk-MK"/>
        </w:rPr>
        <w:t>Собранието на акционери</w:t>
      </w:r>
      <w:r w:rsidRPr="00EB77D6">
        <w:rPr>
          <w:rFonts w:ascii="Times New Roman" w:hAnsi="Times New Roman"/>
          <w:sz w:val="24"/>
          <w:szCs w:val="24"/>
        </w:rPr>
        <w:t>.</w:t>
      </w:r>
    </w:p>
    <w:p w14:paraId="3BFD3386" w14:textId="77777777" w:rsidR="001C5B17" w:rsidRPr="00EB77D6" w:rsidRDefault="001C5B17" w:rsidP="007F0042">
      <w:pPr>
        <w:jc w:val="both"/>
        <w:rPr>
          <w:rFonts w:ascii="Times New Roman" w:eastAsia="Times New Roman" w:hAnsi="Times New Roman"/>
          <w:color w:val="000000"/>
          <w:sz w:val="24"/>
          <w:szCs w:val="24"/>
          <w:lang w:val="mk-MK"/>
        </w:rPr>
      </w:pPr>
      <w:r w:rsidRPr="00EB77D6">
        <w:rPr>
          <w:rFonts w:ascii="Times New Roman" w:eastAsia="Times New Roman" w:hAnsi="Times New Roman"/>
          <w:color w:val="000000"/>
          <w:sz w:val="24"/>
          <w:szCs w:val="24"/>
          <w:lang w:val="mk-MK"/>
        </w:rPr>
        <w:lastRenderedPageBreak/>
        <w:t xml:space="preserve">Имајќи ги предвид неизвесностите во макро-економското опкружување во текот на 2022 година, Стопанска Банка се воздржа од носење одлука за распределба на дивиденда на сопствениците на обичните акции. Дополнително, како и во досегашното работење, при распределбата на добивката  Банката приоритетно се грижи за обезбедување на капитал потребен за справување со сите ризици, па така во текот на 2022 на Собранието на акционери се донесе одлука за прераспределба на акумулираната добивка од 2019 година или износ од 307.500.000 денари во акумулирана добивка која нема да биде расположлива за исплата на дивиденда на акционерите во иднина, како и распределба на износ од 1.543.456 илјади денари од добивката остварена во 2021, исто така наменета за регулаторен капитал, односно вкупно 1.850.956 илјади денари (цца 30 милиони евра), со цел да обезбеди високо ниво на адекватност на капитал од 16.00% и да го поддржи Деловниот план на Банката во наредниот период. </w:t>
      </w:r>
    </w:p>
    <w:p w14:paraId="7BAE69FA" w14:textId="77777777" w:rsidR="001C5B17" w:rsidRPr="00EB77D6" w:rsidRDefault="001C5B17" w:rsidP="007F0042">
      <w:pPr>
        <w:jc w:val="both"/>
        <w:rPr>
          <w:rFonts w:ascii="Times New Roman" w:eastAsia="Times New Roman" w:hAnsi="Times New Roman"/>
          <w:color w:val="000000"/>
          <w:sz w:val="24"/>
          <w:szCs w:val="24"/>
          <w:lang w:val="mk-MK"/>
        </w:rPr>
      </w:pPr>
      <w:r w:rsidRPr="00EB77D6">
        <w:rPr>
          <w:rFonts w:ascii="Times New Roman" w:eastAsia="Times New Roman" w:hAnsi="Times New Roman"/>
          <w:color w:val="000000"/>
          <w:sz w:val="24"/>
          <w:szCs w:val="24"/>
          <w:lang w:val="mk-MK"/>
        </w:rPr>
        <w:t xml:space="preserve">Во однос на сопствениците на приоритетни акции, а врз основа на релевантните Одлуки за издавање на акции, Собранието на акционери одобри распределба на дивиденда во вкупен износ од </w:t>
      </w:r>
      <w:r w:rsidRPr="00EB77D6">
        <w:rPr>
          <w:rFonts w:ascii="Times New Roman" w:eastAsia="Times New Roman" w:hAnsi="Times New Roman"/>
          <w:color w:val="000000"/>
          <w:sz w:val="24"/>
          <w:szCs w:val="24"/>
        </w:rPr>
        <w:t xml:space="preserve">1,137,220 </w:t>
      </w:r>
      <w:r w:rsidRPr="00EB77D6">
        <w:rPr>
          <w:rFonts w:ascii="Times New Roman" w:eastAsia="Times New Roman" w:hAnsi="Times New Roman"/>
          <w:color w:val="000000"/>
          <w:sz w:val="24"/>
          <w:szCs w:val="24"/>
          <w:lang w:val="mk-MK"/>
        </w:rPr>
        <w:t>денари или дивиденда во бруто износ од 5 денари по акција.</w:t>
      </w:r>
    </w:p>
    <w:p w14:paraId="6D2494E7" w14:textId="77777777" w:rsidR="001C5B17" w:rsidRPr="00EB77D6" w:rsidRDefault="001C5B17" w:rsidP="007F0042">
      <w:pPr>
        <w:spacing w:before="240"/>
        <w:jc w:val="both"/>
        <w:rPr>
          <w:rFonts w:ascii="Times New Roman" w:hAnsi="Times New Roman"/>
          <w:iCs/>
          <w:sz w:val="24"/>
          <w:szCs w:val="24"/>
          <w:shd w:val="clear" w:color="auto" w:fill="FFFFFF"/>
          <w:lang w:val="mk-MK"/>
        </w:rPr>
      </w:pPr>
      <w:r w:rsidRPr="00EB77D6">
        <w:rPr>
          <w:rFonts w:ascii="Times New Roman" w:hAnsi="Times New Roman"/>
          <w:iCs/>
          <w:sz w:val="24"/>
          <w:szCs w:val="24"/>
          <w:shd w:val="clear" w:color="auto" w:fill="FFFFFF"/>
          <w:lang w:val="mk-MK"/>
        </w:rPr>
        <w:t xml:space="preserve">Ваквиот пристап на Банката кон дивидендната политика е високо прудентен, пристапувајќи внимателно кон наредниот период, следејќи ги и насоките и препораките дадени од Народна банка во однос на распределбата на дивидендата, со што се заштитува и целиот банкарски систем од посериозни последици од кризата. </w:t>
      </w:r>
    </w:p>
    <w:p w14:paraId="2F715024" w14:textId="77777777" w:rsidR="001C5B17" w:rsidRPr="00EB77D6" w:rsidRDefault="001C5B17" w:rsidP="001C5B17">
      <w:pPr>
        <w:autoSpaceDE w:val="0"/>
        <w:autoSpaceDN w:val="0"/>
        <w:adjustRightInd w:val="0"/>
        <w:spacing w:before="480" w:after="0"/>
        <w:ind w:left="720"/>
        <w:jc w:val="both"/>
        <w:rPr>
          <w:rFonts w:ascii="Times New Roman" w:eastAsia="Times New Roman" w:hAnsi="Times New Roman"/>
          <w:b/>
          <w:bCs/>
          <w:color w:val="000000"/>
          <w:sz w:val="24"/>
          <w:szCs w:val="24"/>
          <w:lang w:eastAsia="en-GB"/>
        </w:rPr>
      </w:pPr>
      <w:r w:rsidRPr="00EB77D6">
        <w:rPr>
          <w:rFonts w:ascii="Times New Roman" w:eastAsia="Times New Roman" w:hAnsi="Times New Roman"/>
          <w:b/>
          <w:bCs/>
          <w:color w:val="000000"/>
          <w:sz w:val="24"/>
          <w:szCs w:val="24"/>
          <w:lang w:eastAsia="en-GB"/>
        </w:rPr>
        <w:t xml:space="preserve">5. </w:t>
      </w:r>
      <w:r w:rsidRPr="00EB77D6">
        <w:rPr>
          <w:rFonts w:ascii="Times New Roman" w:eastAsia="Times New Roman" w:hAnsi="Times New Roman"/>
          <w:b/>
          <w:bCs/>
          <w:color w:val="000000"/>
          <w:sz w:val="24"/>
          <w:szCs w:val="24"/>
          <w:lang w:val="mk-MK" w:eastAsia="en-GB"/>
        </w:rPr>
        <w:t>Кодекс на корпоративно управување</w:t>
      </w:r>
      <w:r w:rsidRPr="00EB77D6">
        <w:rPr>
          <w:rFonts w:ascii="Times New Roman" w:eastAsia="Times New Roman" w:hAnsi="Times New Roman"/>
          <w:b/>
          <w:bCs/>
          <w:color w:val="000000"/>
          <w:sz w:val="24"/>
          <w:szCs w:val="24"/>
          <w:lang w:eastAsia="en-GB"/>
        </w:rPr>
        <w:t xml:space="preserve"> </w:t>
      </w:r>
    </w:p>
    <w:p w14:paraId="291C300C" w14:textId="77777777" w:rsidR="001C5B17" w:rsidRPr="00EB77D6" w:rsidRDefault="001C5B17" w:rsidP="001C5B17">
      <w:pPr>
        <w:autoSpaceDE w:val="0"/>
        <w:autoSpaceDN w:val="0"/>
        <w:adjustRightInd w:val="0"/>
        <w:spacing w:after="0" w:line="240" w:lineRule="auto"/>
        <w:ind w:firstLine="720"/>
        <w:jc w:val="both"/>
        <w:rPr>
          <w:rFonts w:ascii="Times New Roman" w:eastAsia="Times New Roman" w:hAnsi="Times New Roman"/>
          <w:color w:val="000000"/>
          <w:sz w:val="24"/>
          <w:szCs w:val="24"/>
          <w:lang w:eastAsia="en-GB"/>
        </w:rPr>
      </w:pPr>
    </w:p>
    <w:p w14:paraId="396C1453" w14:textId="77777777" w:rsidR="001C5B17" w:rsidRPr="00EB77D6" w:rsidRDefault="001C5B17" w:rsidP="007F0042">
      <w:pPr>
        <w:autoSpaceDE w:val="0"/>
        <w:autoSpaceDN w:val="0"/>
        <w:adjustRightInd w:val="0"/>
        <w:spacing w:after="0" w:line="240" w:lineRule="auto"/>
        <w:jc w:val="both"/>
        <w:rPr>
          <w:rFonts w:ascii="Times New Roman" w:eastAsia="Times New Roman" w:hAnsi="Times New Roman"/>
          <w:color w:val="000000"/>
          <w:sz w:val="24"/>
          <w:szCs w:val="24"/>
          <w:lang w:eastAsia="en-GB"/>
        </w:rPr>
      </w:pPr>
      <w:r w:rsidRPr="00EB77D6">
        <w:rPr>
          <w:rFonts w:ascii="Times New Roman" w:eastAsia="Times New Roman" w:hAnsi="Times New Roman"/>
          <w:color w:val="000000"/>
          <w:sz w:val="24"/>
          <w:szCs w:val="24"/>
          <w:lang w:val="mk-MK" w:eastAsia="en-GB"/>
        </w:rPr>
        <w:t>СБ</w:t>
      </w:r>
      <w:r w:rsidRPr="00EB77D6">
        <w:rPr>
          <w:rFonts w:ascii="Times New Roman" w:eastAsia="Times New Roman" w:hAnsi="Times New Roman"/>
          <w:color w:val="000000"/>
          <w:sz w:val="24"/>
          <w:szCs w:val="24"/>
          <w:lang w:eastAsia="en-GB"/>
        </w:rPr>
        <w:t xml:space="preserve"> е целосно посветена на обезбедување рамка за корпоративно управување во согласност со </w:t>
      </w:r>
      <w:r w:rsidRPr="00EB77D6">
        <w:rPr>
          <w:rFonts w:ascii="Times New Roman" w:eastAsia="Times New Roman" w:hAnsi="Times New Roman"/>
          <w:color w:val="000000"/>
          <w:sz w:val="24"/>
          <w:szCs w:val="24"/>
          <w:lang w:val="mk-MK" w:eastAsia="en-GB"/>
        </w:rPr>
        <w:t xml:space="preserve">законските </w:t>
      </w:r>
      <w:r w:rsidRPr="00EB77D6">
        <w:rPr>
          <w:rFonts w:ascii="Times New Roman" w:eastAsia="Times New Roman" w:hAnsi="Times New Roman"/>
          <w:color w:val="000000"/>
          <w:sz w:val="24"/>
          <w:szCs w:val="24"/>
          <w:lang w:eastAsia="en-GB"/>
        </w:rPr>
        <w:t>одредби и меѓународните стандарди.</w:t>
      </w:r>
    </w:p>
    <w:p w14:paraId="02549770" w14:textId="77777777" w:rsidR="001C5B17" w:rsidRPr="00EB77D6" w:rsidRDefault="001C5B17" w:rsidP="001C5B17">
      <w:pPr>
        <w:autoSpaceDE w:val="0"/>
        <w:autoSpaceDN w:val="0"/>
        <w:adjustRightInd w:val="0"/>
        <w:spacing w:after="0" w:line="240" w:lineRule="auto"/>
        <w:ind w:firstLine="720"/>
        <w:jc w:val="both"/>
        <w:rPr>
          <w:rFonts w:ascii="Times New Roman" w:eastAsia="Times New Roman" w:hAnsi="Times New Roman"/>
          <w:color w:val="000000"/>
          <w:sz w:val="24"/>
          <w:szCs w:val="24"/>
          <w:lang w:eastAsia="en-GB"/>
        </w:rPr>
      </w:pPr>
    </w:p>
    <w:p w14:paraId="02424AA8" w14:textId="77777777" w:rsidR="001C5B17" w:rsidRPr="00EB77D6" w:rsidRDefault="001C5B17" w:rsidP="007F0042">
      <w:pPr>
        <w:autoSpaceDE w:val="0"/>
        <w:autoSpaceDN w:val="0"/>
        <w:adjustRightInd w:val="0"/>
        <w:spacing w:after="0" w:line="240" w:lineRule="auto"/>
        <w:jc w:val="both"/>
        <w:rPr>
          <w:rFonts w:ascii="Times New Roman" w:eastAsia="Times New Roman" w:hAnsi="Times New Roman"/>
          <w:color w:val="000000"/>
          <w:sz w:val="24"/>
          <w:szCs w:val="24"/>
          <w:lang w:eastAsia="en-GB"/>
        </w:rPr>
      </w:pPr>
      <w:r w:rsidRPr="00EB77D6">
        <w:rPr>
          <w:rFonts w:ascii="Times New Roman" w:eastAsia="Times New Roman" w:hAnsi="Times New Roman"/>
          <w:color w:val="000000"/>
          <w:sz w:val="24"/>
          <w:szCs w:val="24"/>
          <w:lang w:val="mk-MK" w:eastAsia="en-GB"/>
        </w:rPr>
        <w:t>Следствено</w:t>
      </w:r>
      <w:r w:rsidRPr="00EB77D6">
        <w:rPr>
          <w:rFonts w:ascii="Times New Roman" w:eastAsia="Times New Roman" w:hAnsi="Times New Roman"/>
          <w:color w:val="000000"/>
          <w:sz w:val="24"/>
          <w:szCs w:val="24"/>
          <w:lang w:eastAsia="en-GB"/>
        </w:rPr>
        <w:t xml:space="preserve">, Кодексот за корпоративно управување на СБ е подготвен во согласност со </w:t>
      </w:r>
      <w:r w:rsidRPr="00EB77D6">
        <w:rPr>
          <w:rFonts w:ascii="Times New Roman" w:eastAsia="Times New Roman" w:hAnsi="Times New Roman"/>
          <w:color w:val="000000"/>
          <w:sz w:val="24"/>
          <w:szCs w:val="24"/>
          <w:lang w:val="mk-MK" w:eastAsia="en-GB"/>
        </w:rPr>
        <w:t>важечките закони</w:t>
      </w:r>
      <w:r w:rsidRPr="00EB77D6">
        <w:rPr>
          <w:rFonts w:ascii="Times New Roman" w:eastAsia="Times New Roman" w:hAnsi="Times New Roman"/>
          <w:color w:val="000000"/>
          <w:sz w:val="24"/>
          <w:szCs w:val="24"/>
          <w:lang w:eastAsia="en-GB"/>
        </w:rPr>
        <w:t xml:space="preserve"> како и стандардите за корпоративно управување на Групацијата НБГ и е усвоен од</w:t>
      </w:r>
      <w:r w:rsidRPr="00EB77D6">
        <w:rPr>
          <w:rFonts w:ascii="Times New Roman" w:eastAsia="Times New Roman" w:hAnsi="Times New Roman"/>
          <w:color w:val="000000"/>
          <w:sz w:val="24"/>
          <w:szCs w:val="24"/>
          <w:lang w:val="mk-MK" w:eastAsia="en-GB"/>
        </w:rPr>
        <w:t xml:space="preserve"> страна на</w:t>
      </w:r>
      <w:r w:rsidRPr="00EB77D6">
        <w:rPr>
          <w:rFonts w:ascii="Times New Roman" w:eastAsia="Times New Roman" w:hAnsi="Times New Roman"/>
          <w:color w:val="000000"/>
          <w:sz w:val="24"/>
          <w:szCs w:val="24"/>
          <w:lang w:eastAsia="en-GB"/>
        </w:rPr>
        <w:t xml:space="preserve"> Надзорниот одбор. Структурата на управување, акционерските права, должности</w:t>
      </w:r>
      <w:r w:rsidRPr="00EB77D6">
        <w:rPr>
          <w:rFonts w:ascii="Times New Roman" w:eastAsia="Times New Roman" w:hAnsi="Times New Roman"/>
          <w:color w:val="000000"/>
          <w:sz w:val="24"/>
          <w:szCs w:val="24"/>
          <w:lang w:val="mk-MK" w:eastAsia="en-GB"/>
        </w:rPr>
        <w:t>те</w:t>
      </w:r>
      <w:r w:rsidRPr="00EB77D6">
        <w:rPr>
          <w:rFonts w:ascii="Times New Roman" w:eastAsia="Times New Roman" w:hAnsi="Times New Roman"/>
          <w:color w:val="000000"/>
          <w:sz w:val="24"/>
          <w:szCs w:val="24"/>
          <w:lang w:eastAsia="en-GB"/>
        </w:rPr>
        <w:t xml:space="preserve"> и одговорности</w:t>
      </w:r>
      <w:r w:rsidRPr="00EB77D6">
        <w:rPr>
          <w:rFonts w:ascii="Times New Roman" w:eastAsia="Times New Roman" w:hAnsi="Times New Roman"/>
          <w:color w:val="000000"/>
          <w:sz w:val="24"/>
          <w:szCs w:val="24"/>
          <w:lang w:val="mk-MK" w:eastAsia="en-GB"/>
        </w:rPr>
        <w:t>те</w:t>
      </w:r>
      <w:r w:rsidRPr="00EB77D6">
        <w:rPr>
          <w:rFonts w:ascii="Times New Roman" w:eastAsia="Times New Roman" w:hAnsi="Times New Roman"/>
          <w:color w:val="000000"/>
          <w:sz w:val="24"/>
          <w:szCs w:val="24"/>
          <w:lang w:eastAsia="en-GB"/>
        </w:rPr>
        <w:t xml:space="preserve">, начинот на работење на органите на Банката и слично, утврдени во Кодексот за корпоративно управување, ги спроведуваат, почитуваат и унапредуваат </w:t>
      </w:r>
      <w:r w:rsidRPr="00EB77D6">
        <w:rPr>
          <w:rFonts w:ascii="Times New Roman" w:eastAsia="Times New Roman" w:hAnsi="Times New Roman"/>
          <w:color w:val="000000"/>
          <w:sz w:val="24"/>
          <w:szCs w:val="24"/>
          <w:lang w:val="mk-MK" w:eastAsia="en-GB"/>
        </w:rPr>
        <w:t xml:space="preserve">сите </w:t>
      </w:r>
      <w:r w:rsidRPr="00EB77D6">
        <w:rPr>
          <w:rFonts w:ascii="Times New Roman" w:eastAsia="Times New Roman" w:hAnsi="Times New Roman"/>
          <w:color w:val="000000"/>
          <w:sz w:val="24"/>
          <w:szCs w:val="24"/>
          <w:lang w:eastAsia="en-GB"/>
        </w:rPr>
        <w:t>членови на органите на Банката.</w:t>
      </w:r>
    </w:p>
    <w:p w14:paraId="4436AD88" w14:textId="77777777" w:rsidR="001C5B17" w:rsidRPr="00EB77D6" w:rsidRDefault="001C5B17" w:rsidP="001C5B17">
      <w:pPr>
        <w:autoSpaceDE w:val="0"/>
        <w:autoSpaceDN w:val="0"/>
        <w:adjustRightInd w:val="0"/>
        <w:spacing w:after="0" w:line="240" w:lineRule="auto"/>
        <w:ind w:firstLine="720"/>
        <w:jc w:val="both"/>
        <w:rPr>
          <w:rFonts w:ascii="Times New Roman" w:eastAsia="Times New Roman" w:hAnsi="Times New Roman"/>
          <w:color w:val="000000"/>
          <w:sz w:val="24"/>
          <w:szCs w:val="24"/>
          <w:lang w:eastAsia="en-GB"/>
        </w:rPr>
      </w:pPr>
    </w:p>
    <w:p w14:paraId="00AC021D" w14:textId="77777777" w:rsidR="001C5B17" w:rsidRPr="00EB77D6" w:rsidRDefault="001C5B17" w:rsidP="007F0042">
      <w:pPr>
        <w:autoSpaceDE w:val="0"/>
        <w:autoSpaceDN w:val="0"/>
        <w:adjustRightInd w:val="0"/>
        <w:spacing w:after="0" w:line="240" w:lineRule="auto"/>
        <w:jc w:val="both"/>
        <w:rPr>
          <w:rFonts w:ascii="Times New Roman" w:eastAsia="Times New Roman" w:hAnsi="Times New Roman"/>
          <w:color w:val="000000"/>
          <w:sz w:val="24"/>
          <w:szCs w:val="24"/>
          <w:lang w:val="mk-MK" w:eastAsia="en-GB"/>
        </w:rPr>
      </w:pPr>
      <w:r w:rsidRPr="00EB77D6">
        <w:rPr>
          <w:rFonts w:ascii="Times New Roman" w:eastAsia="Times New Roman" w:hAnsi="Times New Roman"/>
          <w:color w:val="000000"/>
          <w:sz w:val="24"/>
          <w:szCs w:val="24"/>
          <w:lang w:eastAsia="en-GB"/>
        </w:rPr>
        <w:t xml:space="preserve">Понатаму, како котирано </w:t>
      </w:r>
      <w:r w:rsidRPr="00EB77D6">
        <w:rPr>
          <w:rFonts w:ascii="Times New Roman" w:eastAsia="Times New Roman" w:hAnsi="Times New Roman"/>
          <w:color w:val="000000"/>
          <w:sz w:val="24"/>
          <w:szCs w:val="24"/>
          <w:lang w:val="mk-MK" w:eastAsia="en-GB"/>
        </w:rPr>
        <w:t xml:space="preserve">акционерско </w:t>
      </w:r>
      <w:r w:rsidRPr="00EB77D6">
        <w:rPr>
          <w:rFonts w:ascii="Times New Roman" w:eastAsia="Times New Roman" w:hAnsi="Times New Roman"/>
          <w:color w:val="000000"/>
          <w:sz w:val="24"/>
          <w:szCs w:val="24"/>
          <w:lang w:eastAsia="en-GB"/>
        </w:rPr>
        <w:t xml:space="preserve">друштво на Македонска берза, Стопанска банка го </w:t>
      </w:r>
      <w:r w:rsidRPr="00EB77D6">
        <w:rPr>
          <w:rFonts w:ascii="Times New Roman" w:eastAsia="Times New Roman" w:hAnsi="Times New Roman"/>
          <w:color w:val="000000"/>
          <w:sz w:val="24"/>
          <w:szCs w:val="24"/>
          <w:lang w:val="mk-MK" w:eastAsia="en-GB"/>
        </w:rPr>
        <w:t>применува</w:t>
      </w:r>
      <w:r w:rsidRPr="00EB77D6">
        <w:rPr>
          <w:rFonts w:ascii="Times New Roman" w:eastAsia="Times New Roman" w:hAnsi="Times New Roman"/>
          <w:color w:val="000000"/>
          <w:sz w:val="24"/>
          <w:szCs w:val="24"/>
          <w:lang w:eastAsia="en-GB"/>
        </w:rPr>
        <w:t xml:space="preserve"> Кодексот за корпоративно управување за котираните друштва кој беше донесен во октомври 2021 година. За повеќе детали за имплементацијата на овој Кодекс, погледнете ги Прашалниците за самооценување објавени на веб-страница</w:t>
      </w:r>
      <w:r w:rsidRPr="00EB77D6">
        <w:rPr>
          <w:rFonts w:ascii="Times New Roman" w:eastAsia="Times New Roman" w:hAnsi="Times New Roman"/>
          <w:color w:val="000000"/>
          <w:sz w:val="24"/>
          <w:szCs w:val="24"/>
          <w:lang w:val="mk-MK" w:eastAsia="en-GB"/>
        </w:rPr>
        <w:t>та</w:t>
      </w:r>
      <w:r w:rsidRPr="00EB77D6">
        <w:rPr>
          <w:rFonts w:ascii="Times New Roman" w:eastAsia="Times New Roman" w:hAnsi="Times New Roman"/>
          <w:color w:val="000000"/>
          <w:sz w:val="24"/>
          <w:szCs w:val="24"/>
          <w:lang w:eastAsia="en-GB"/>
        </w:rPr>
        <w:t xml:space="preserve"> </w:t>
      </w:r>
      <w:r w:rsidRPr="00EB77D6">
        <w:rPr>
          <w:rFonts w:ascii="Times New Roman" w:eastAsia="Times New Roman" w:hAnsi="Times New Roman"/>
          <w:color w:val="000000"/>
          <w:sz w:val="24"/>
          <w:szCs w:val="24"/>
          <w:lang w:val="mk-MK" w:eastAsia="en-GB"/>
        </w:rPr>
        <w:t xml:space="preserve">на СБ. </w:t>
      </w:r>
    </w:p>
    <w:p w14:paraId="61D9B7D9" w14:textId="77777777" w:rsidR="001C5B17" w:rsidRPr="00EB77D6" w:rsidRDefault="001C5B17" w:rsidP="001C5B17">
      <w:pPr>
        <w:autoSpaceDE w:val="0"/>
        <w:autoSpaceDN w:val="0"/>
        <w:adjustRightInd w:val="0"/>
        <w:spacing w:after="0" w:line="240" w:lineRule="auto"/>
        <w:ind w:firstLine="720"/>
        <w:jc w:val="both"/>
        <w:rPr>
          <w:rFonts w:ascii="Times New Roman" w:eastAsia="Times New Roman" w:hAnsi="Times New Roman"/>
          <w:color w:val="000000"/>
          <w:sz w:val="24"/>
          <w:szCs w:val="24"/>
          <w:lang w:eastAsia="en-GB"/>
        </w:rPr>
      </w:pPr>
    </w:p>
    <w:p w14:paraId="786EEB34" w14:textId="77777777" w:rsidR="001C5B17" w:rsidRPr="00EB77D6" w:rsidRDefault="001C5B17" w:rsidP="007F0042">
      <w:pPr>
        <w:autoSpaceDE w:val="0"/>
        <w:autoSpaceDN w:val="0"/>
        <w:adjustRightInd w:val="0"/>
        <w:spacing w:after="0" w:line="240" w:lineRule="auto"/>
        <w:jc w:val="both"/>
        <w:rPr>
          <w:rFonts w:ascii="Times New Roman" w:eastAsia="Times New Roman" w:hAnsi="Times New Roman"/>
          <w:color w:val="000000"/>
          <w:sz w:val="24"/>
          <w:szCs w:val="24"/>
          <w:lang w:eastAsia="en-GB"/>
        </w:rPr>
      </w:pPr>
      <w:r w:rsidRPr="00EB77D6">
        <w:rPr>
          <w:rFonts w:ascii="Times New Roman" w:eastAsia="Times New Roman" w:hAnsi="Times New Roman"/>
          <w:color w:val="000000"/>
          <w:sz w:val="24"/>
          <w:szCs w:val="24"/>
          <w:lang w:eastAsia="en-GB"/>
        </w:rPr>
        <w:t xml:space="preserve">Како составен дел на овој Извештај, а во однос на член 384-а од Законот за трговските друштва и член 42-а од Правилата за котација на Македонската берза, </w:t>
      </w:r>
      <w:r w:rsidRPr="00EB77D6">
        <w:rPr>
          <w:rFonts w:ascii="Times New Roman" w:eastAsia="Times New Roman" w:hAnsi="Times New Roman"/>
          <w:color w:val="000000"/>
          <w:sz w:val="24"/>
          <w:szCs w:val="24"/>
          <w:lang w:val="mk-MK" w:eastAsia="en-GB"/>
        </w:rPr>
        <w:t>Управниот одбор</w:t>
      </w:r>
      <w:r w:rsidRPr="00EB77D6">
        <w:rPr>
          <w:rFonts w:ascii="Times New Roman" w:eastAsia="Times New Roman" w:hAnsi="Times New Roman"/>
          <w:color w:val="000000"/>
          <w:sz w:val="24"/>
          <w:szCs w:val="24"/>
          <w:lang w:eastAsia="en-GB"/>
        </w:rPr>
        <w:t xml:space="preserve"> </w:t>
      </w:r>
      <w:r w:rsidRPr="00EB77D6">
        <w:rPr>
          <w:rFonts w:ascii="Times New Roman" w:eastAsia="Times New Roman" w:hAnsi="Times New Roman"/>
          <w:color w:val="000000"/>
          <w:sz w:val="24"/>
          <w:szCs w:val="24"/>
          <w:lang w:val="mk-MK" w:eastAsia="en-GB"/>
        </w:rPr>
        <w:t xml:space="preserve">потпишува </w:t>
      </w:r>
      <w:r w:rsidRPr="00EB77D6">
        <w:rPr>
          <w:rFonts w:ascii="Times New Roman" w:eastAsia="Times New Roman" w:hAnsi="Times New Roman"/>
          <w:color w:val="000000"/>
          <w:sz w:val="24"/>
          <w:szCs w:val="24"/>
          <w:lang w:eastAsia="en-GB"/>
        </w:rPr>
        <w:t>Изјави за спроведување на Кодексот за корпоративно управување на СБ и Изјава за спроведување на Кодексот за корпоративно управување за котирани</w:t>
      </w:r>
      <w:r w:rsidRPr="00EB77D6">
        <w:rPr>
          <w:rFonts w:ascii="Times New Roman" w:eastAsia="Times New Roman" w:hAnsi="Times New Roman"/>
          <w:color w:val="000000"/>
          <w:sz w:val="24"/>
          <w:szCs w:val="24"/>
          <w:lang w:val="mk-MK" w:eastAsia="en-GB"/>
        </w:rPr>
        <w:t>те друштва</w:t>
      </w:r>
      <w:r w:rsidRPr="00EB77D6">
        <w:rPr>
          <w:rFonts w:ascii="Times New Roman" w:eastAsia="Times New Roman" w:hAnsi="Times New Roman"/>
          <w:color w:val="000000"/>
          <w:sz w:val="24"/>
          <w:szCs w:val="24"/>
          <w:lang w:eastAsia="en-GB"/>
        </w:rPr>
        <w:t xml:space="preserve"> </w:t>
      </w:r>
      <w:r w:rsidRPr="00EB77D6">
        <w:rPr>
          <w:rFonts w:ascii="Times New Roman" w:eastAsia="Times New Roman" w:hAnsi="Times New Roman"/>
          <w:color w:val="000000"/>
          <w:sz w:val="24"/>
          <w:szCs w:val="24"/>
          <w:lang w:eastAsia="en-GB"/>
        </w:rPr>
        <w:lastRenderedPageBreak/>
        <w:t>на Македонската берза. Двете изјави се составен дел на овој Извештај (видете го Додаток 1 подолу).</w:t>
      </w:r>
    </w:p>
    <w:p w14:paraId="52421A5B" w14:textId="77777777" w:rsidR="001C5B17" w:rsidRPr="00EB77D6" w:rsidRDefault="001C5B17" w:rsidP="001C5B17">
      <w:pPr>
        <w:autoSpaceDE w:val="0"/>
        <w:autoSpaceDN w:val="0"/>
        <w:adjustRightInd w:val="0"/>
        <w:spacing w:after="0" w:line="240" w:lineRule="auto"/>
        <w:ind w:firstLine="720"/>
        <w:jc w:val="both"/>
        <w:rPr>
          <w:rFonts w:ascii="Times New Roman" w:eastAsia="Times New Roman" w:hAnsi="Times New Roman"/>
          <w:color w:val="000000"/>
          <w:sz w:val="24"/>
          <w:szCs w:val="24"/>
          <w:lang w:eastAsia="en-GB"/>
        </w:rPr>
      </w:pPr>
    </w:p>
    <w:p w14:paraId="4CFA07A0" w14:textId="77777777" w:rsidR="001C5B17" w:rsidRPr="00EB77D6" w:rsidRDefault="001C5B17" w:rsidP="001C5B17">
      <w:pPr>
        <w:autoSpaceDE w:val="0"/>
        <w:autoSpaceDN w:val="0"/>
        <w:adjustRightInd w:val="0"/>
        <w:spacing w:after="0" w:line="240" w:lineRule="auto"/>
        <w:ind w:firstLine="720"/>
        <w:jc w:val="both"/>
        <w:rPr>
          <w:rFonts w:ascii="Times New Roman" w:eastAsia="Times New Roman" w:hAnsi="Times New Roman"/>
          <w:color w:val="000000"/>
          <w:sz w:val="24"/>
          <w:szCs w:val="24"/>
          <w:lang w:eastAsia="en-GB"/>
        </w:rPr>
      </w:pPr>
      <w:r w:rsidRPr="00EB77D6">
        <w:rPr>
          <w:rFonts w:ascii="Times New Roman" w:eastAsia="Times New Roman" w:hAnsi="Times New Roman"/>
          <w:b/>
          <w:color w:val="000000"/>
          <w:sz w:val="24"/>
          <w:szCs w:val="24"/>
          <w:lang w:eastAsia="en-GB"/>
        </w:rPr>
        <w:t>6</w:t>
      </w:r>
      <w:r w:rsidRPr="00EB77D6">
        <w:rPr>
          <w:rFonts w:ascii="Times New Roman" w:eastAsia="Times New Roman" w:hAnsi="Times New Roman"/>
          <w:color w:val="000000"/>
          <w:sz w:val="24"/>
          <w:szCs w:val="24"/>
          <w:lang w:eastAsia="en-GB"/>
        </w:rPr>
        <w:t xml:space="preserve">. </w:t>
      </w:r>
      <w:r w:rsidRPr="00EB77D6">
        <w:rPr>
          <w:rFonts w:ascii="Times New Roman" w:hAnsi="Times New Roman"/>
          <w:b/>
          <w:bCs/>
          <w:color w:val="000000"/>
          <w:sz w:val="24"/>
          <w:szCs w:val="24"/>
          <w:lang w:val="mk-MK" w:eastAsia="en-GB"/>
        </w:rPr>
        <w:t>Политика за конфликт на интереси</w:t>
      </w:r>
      <w:r w:rsidRPr="00EB77D6">
        <w:rPr>
          <w:rFonts w:ascii="Times New Roman" w:hAnsi="Times New Roman"/>
          <w:b/>
          <w:bCs/>
          <w:color w:val="000000"/>
          <w:sz w:val="24"/>
          <w:szCs w:val="24"/>
          <w:lang w:eastAsia="en-GB"/>
        </w:rPr>
        <w:t xml:space="preserve"> </w:t>
      </w:r>
    </w:p>
    <w:p w14:paraId="2F03548D" w14:textId="77777777" w:rsidR="001C5B17" w:rsidRPr="00EB77D6" w:rsidRDefault="001C5B17" w:rsidP="001C5B17">
      <w:pPr>
        <w:autoSpaceDE w:val="0"/>
        <w:autoSpaceDN w:val="0"/>
        <w:adjustRightInd w:val="0"/>
        <w:spacing w:after="0" w:line="240" w:lineRule="auto"/>
        <w:ind w:firstLine="720"/>
        <w:jc w:val="both"/>
        <w:rPr>
          <w:rFonts w:ascii="Times New Roman" w:eastAsia="Times New Roman" w:hAnsi="Times New Roman"/>
          <w:color w:val="000000"/>
          <w:sz w:val="24"/>
          <w:szCs w:val="24"/>
          <w:lang w:eastAsia="en-GB"/>
        </w:rPr>
      </w:pPr>
    </w:p>
    <w:p w14:paraId="2DCF6D61" w14:textId="77777777" w:rsidR="001C5B17" w:rsidRPr="00EB77D6" w:rsidRDefault="001C5B17" w:rsidP="007F0042">
      <w:pPr>
        <w:autoSpaceDE w:val="0"/>
        <w:autoSpaceDN w:val="0"/>
        <w:adjustRightInd w:val="0"/>
        <w:spacing w:after="0"/>
        <w:jc w:val="both"/>
        <w:rPr>
          <w:rFonts w:ascii="Times New Roman" w:eastAsia="Times New Roman" w:hAnsi="Times New Roman"/>
          <w:color w:val="000000"/>
          <w:sz w:val="24"/>
          <w:szCs w:val="24"/>
          <w:lang w:eastAsia="en-GB"/>
        </w:rPr>
      </w:pPr>
      <w:r w:rsidRPr="00EB77D6">
        <w:rPr>
          <w:rFonts w:ascii="Times New Roman" w:eastAsia="Times New Roman" w:hAnsi="Times New Roman"/>
          <w:color w:val="000000"/>
          <w:sz w:val="24"/>
          <w:szCs w:val="24"/>
          <w:lang w:val="mk-MK" w:eastAsia="en-GB"/>
        </w:rPr>
        <w:t>Политиката за разрешување конфликти се утврдува во согласност со Законот за банки и Статутот на СБ и истата предвидува лицата со посебни права и обврски да дадат писмена изјава за постоењето, доколку има, на конфликт на нивните лични интереси со интересите на СБ, на секои шест месеци</w:t>
      </w:r>
      <w:r w:rsidRPr="00EB77D6">
        <w:rPr>
          <w:rFonts w:ascii="Times New Roman" w:eastAsia="Times New Roman" w:hAnsi="Times New Roman"/>
          <w:color w:val="000000"/>
          <w:sz w:val="24"/>
          <w:szCs w:val="24"/>
          <w:lang w:eastAsia="en-GB"/>
        </w:rPr>
        <w:t xml:space="preserve">. </w:t>
      </w:r>
      <w:r w:rsidRPr="00EB77D6">
        <w:rPr>
          <w:rFonts w:ascii="Times New Roman" w:eastAsia="Times New Roman" w:hAnsi="Times New Roman"/>
          <w:color w:val="000000"/>
          <w:sz w:val="24"/>
          <w:szCs w:val="24"/>
          <w:lang w:val="mk-MK" w:eastAsia="en-GB"/>
        </w:rPr>
        <w:t>Личните интереси исто така вклучуваат и интереси со поврзани лица со тие лица, според одредбите во Законот за банки. Конфликт помеѓу личните и интересите на Банката постои во услови кога финансиските или од друг вид дејност или фамилијарните интереси на личноста се доведуваат во прашање при донесувањето одлуки, склучувањето договори, или извршувањето други деловни активности</w:t>
      </w:r>
      <w:r w:rsidRPr="00EB77D6">
        <w:rPr>
          <w:rFonts w:ascii="Times New Roman" w:eastAsia="Times New Roman" w:hAnsi="Times New Roman"/>
          <w:color w:val="000000"/>
          <w:sz w:val="24"/>
          <w:szCs w:val="24"/>
          <w:lang w:eastAsia="en-GB"/>
        </w:rPr>
        <w:t xml:space="preserve">. </w:t>
      </w:r>
      <w:r w:rsidRPr="00EB77D6">
        <w:rPr>
          <w:rFonts w:ascii="Times New Roman" w:eastAsia="Times New Roman" w:hAnsi="Times New Roman"/>
          <w:color w:val="000000"/>
          <w:sz w:val="24"/>
          <w:szCs w:val="24"/>
          <w:lang w:val="mk-MK" w:eastAsia="en-GB"/>
        </w:rPr>
        <w:t>Финансиските, деловните и фамилијарните интереси претпоставуваат генерирање монетарни или друг вид бенефити, директно или индиректно, од страна на тие лица. Истите не присуствуваат на дискусиите при усвојувањето на одлуките, склучувањето на договорите, или извршувањето други деловни активности доколку нивната објективност е доведена во прашање поради постоење на конфликт помеѓу нивните лични интереси и интересите на СБ. Изјава за постоење на конфликт на интереси исто така се дава пред состанок за дискутирање или одобрување одлуки, склучување договори, или извршување друга деловна активност. Писмената изјава се доставува до Надзорниот одбор и Управниот одбор на СБ, со наведување на причините поради кои постои конфликт на интереси помеѓу личните и интересите на СБ.</w:t>
      </w:r>
      <w:r w:rsidRPr="00EB77D6">
        <w:rPr>
          <w:rFonts w:ascii="Times New Roman" w:eastAsia="Times New Roman" w:hAnsi="Times New Roman"/>
          <w:color w:val="000000"/>
          <w:sz w:val="24"/>
          <w:szCs w:val="24"/>
          <w:lang w:eastAsia="en-GB"/>
        </w:rPr>
        <w:t xml:space="preserve"> </w:t>
      </w:r>
    </w:p>
    <w:p w14:paraId="09A3F902" w14:textId="77777777" w:rsidR="001C5B17" w:rsidRPr="00EB77D6" w:rsidRDefault="001C5B17" w:rsidP="001C5B17">
      <w:pPr>
        <w:autoSpaceDE w:val="0"/>
        <w:autoSpaceDN w:val="0"/>
        <w:adjustRightInd w:val="0"/>
        <w:spacing w:after="0"/>
        <w:ind w:firstLine="720"/>
        <w:jc w:val="both"/>
        <w:rPr>
          <w:rFonts w:ascii="Times New Roman" w:eastAsia="Times New Roman" w:hAnsi="Times New Roman"/>
          <w:color w:val="000000"/>
          <w:sz w:val="24"/>
          <w:szCs w:val="24"/>
          <w:lang w:eastAsia="en-GB"/>
        </w:rPr>
      </w:pPr>
    </w:p>
    <w:p w14:paraId="7294823D" w14:textId="3AA42133" w:rsidR="001C5B17" w:rsidRPr="00EB77D6" w:rsidRDefault="001C5B17" w:rsidP="001C5B17">
      <w:pPr>
        <w:tabs>
          <w:tab w:val="left" w:pos="720"/>
        </w:tabs>
        <w:autoSpaceDE w:val="0"/>
        <w:autoSpaceDN w:val="0"/>
        <w:adjustRightInd w:val="0"/>
        <w:jc w:val="both"/>
        <w:rPr>
          <w:rFonts w:ascii="Times New Roman" w:hAnsi="Times New Roman"/>
          <w:color w:val="000000"/>
          <w:sz w:val="24"/>
          <w:szCs w:val="24"/>
          <w:lang w:eastAsia="en-GB"/>
        </w:rPr>
      </w:pPr>
      <w:r w:rsidRPr="00EB77D6">
        <w:rPr>
          <w:rFonts w:ascii="Times New Roman" w:hAnsi="Times New Roman"/>
          <w:color w:val="000000"/>
          <w:sz w:val="24"/>
          <w:szCs w:val="24"/>
          <w:lang w:val="mk-MK" w:eastAsia="en-GB"/>
        </w:rPr>
        <w:t>Во текот на</w:t>
      </w:r>
      <w:r w:rsidRPr="00EB77D6">
        <w:rPr>
          <w:rFonts w:ascii="Times New Roman" w:hAnsi="Times New Roman"/>
          <w:color w:val="000000"/>
          <w:sz w:val="24"/>
          <w:szCs w:val="24"/>
          <w:lang w:eastAsia="en-GB"/>
        </w:rPr>
        <w:t xml:space="preserve"> 2022 </w:t>
      </w:r>
      <w:r w:rsidRPr="00EB77D6">
        <w:rPr>
          <w:rFonts w:ascii="Times New Roman" w:hAnsi="Times New Roman"/>
          <w:color w:val="000000"/>
          <w:sz w:val="24"/>
          <w:szCs w:val="24"/>
          <w:lang w:val="mk-MK" w:eastAsia="en-GB"/>
        </w:rPr>
        <w:t>година</w:t>
      </w:r>
      <w:r w:rsidRPr="00EB77D6">
        <w:rPr>
          <w:rFonts w:ascii="Times New Roman" w:hAnsi="Times New Roman"/>
          <w:color w:val="000000"/>
          <w:sz w:val="24"/>
          <w:szCs w:val="24"/>
          <w:lang w:eastAsia="en-GB"/>
        </w:rPr>
        <w:t xml:space="preserve"> </w:t>
      </w:r>
      <w:r w:rsidRPr="00EB77D6">
        <w:rPr>
          <w:rFonts w:ascii="Times New Roman" w:hAnsi="Times New Roman"/>
          <w:color w:val="000000"/>
          <w:sz w:val="24"/>
          <w:szCs w:val="24"/>
          <w:lang w:val="mk-MK" w:eastAsia="en-GB"/>
        </w:rPr>
        <w:t>нема пријавено судир на интереси</w:t>
      </w:r>
      <w:r w:rsidRPr="00EB77D6">
        <w:rPr>
          <w:rFonts w:ascii="Times New Roman" w:hAnsi="Times New Roman"/>
          <w:color w:val="000000"/>
          <w:sz w:val="24"/>
          <w:szCs w:val="24"/>
          <w:lang w:eastAsia="en-GB"/>
        </w:rPr>
        <w:t xml:space="preserve"> </w:t>
      </w:r>
      <w:r w:rsidRPr="00EB77D6">
        <w:rPr>
          <w:rFonts w:ascii="Times New Roman" w:hAnsi="Times New Roman"/>
          <w:color w:val="000000"/>
          <w:sz w:val="24"/>
          <w:szCs w:val="24"/>
          <w:lang w:val="mk-MK" w:eastAsia="en-GB"/>
        </w:rPr>
        <w:t>од членовите на Надзорниот одбор</w:t>
      </w:r>
      <w:r w:rsidRPr="00EB77D6">
        <w:rPr>
          <w:rFonts w:ascii="Times New Roman" w:hAnsi="Times New Roman"/>
          <w:color w:val="000000"/>
          <w:sz w:val="24"/>
          <w:szCs w:val="24"/>
          <w:lang w:eastAsia="en-GB"/>
        </w:rPr>
        <w:t xml:space="preserve">, </w:t>
      </w:r>
      <w:r w:rsidRPr="00EB77D6">
        <w:rPr>
          <w:rFonts w:ascii="Times New Roman" w:hAnsi="Times New Roman"/>
          <w:color w:val="000000"/>
          <w:sz w:val="24"/>
          <w:szCs w:val="24"/>
          <w:lang w:val="mk-MK" w:eastAsia="en-GB"/>
        </w:rPr>
        <w:t>Управниот одбор</w:t>
      </w:r>
      <w:r w:rsidRPr="00EB77D6">
        <w:rPr>
          <w:rFonts w:ascii="Times New Roman" w:hAnsi="Times New Roman"/>
          <w:color w:val="000000"/>
          <w:sz w:val="24"/>
          <w:szCs w:val="24"/>
          <w:lang w:eastAsia="en-GB"/>
        </w:rPr>
        <w:t xml:space="preserve"> </w:t>
      </w:r>
      <w:r w:rsidRPr="00EB77D6">
        <w:rPr>
          <w:rFonts w:ascii="Times New Roman" w:hAnsi="Times New Roman"/>
          <w:color w:val="000000"/>
          <w:sz w:val="24"/>
          <w:szCs w:val="24"/>
          <w:lang w:val="mk-MK" w:eastAsia="en-GB"/>
        </w:rPr>
        <w:t>или од кој било</w:t>
      </w:r>
      <w:r w:rsidRPr="00EB77D6">
        <w:rPr>
          <w:rFonts w:ascii="Times New Roman" w:hAnsi="Times New Roman"/>
          <w:color w:val="000000"/>
          <w:sz w:val="24"/>
          <w:szCs w:val="24"/>
          <w:lang w:eastAsia="en-GB"/>
        </w:rPr>
        <w:t xml:space="preserve"> </w:t>
      </w:r>
      <w:r w:rsidRPr="00EB77D6">
        <w:rPr>
          <w:rFonts w:ascii="Times New Roman" w:hAnsi="Times New Roman"/>
          <w:color w:val="000000"/>
          <w:sz w:val="24"/>
          <w:szCs w:val="24"/>
          <w:lang w:val="mk-MK" w:eastAsia="en-GB"/>
        </w:rPr>
        <w:t>друг член</w:t>
      </w:r>
      <w:r w:rsidRPr="00EB77D6">
        <w:rPr>
          <w:rFonts w:ascii="Times New Roman" w:hAnsi="Times New Roman"/>
          <w:color w:val="000000"/>
          <w:sz w:val="24"/>
          <w:szCs w:val="24"/>
          <w:lang w:eastAsia="en-GB"/>
        </w:rPr>
        <w:t xml:space="preserve"> </w:t>
      </w:r>
      <w:r w:rsidRPr="00EB77D6">
        <w:rPr>
          <w:rFonts w:ascii="Times New Roman" w:hAnsi="Times New Roman"/>
          <w:color w:val="000000"/>
          <w:sz w:val="24"/>
          <w:szCs w:val="24"/>
          <w:lang w:val="mk-MK" w:eastAsia="en-GB"/>
        </w:rPr>
        <w:t>на органите на</w:t>
      </w:r>
      <w:r w:rsidRPr="00EB77D6">
        <w:rPr>
          <w:rFonts w:ascii="Times New Roman" w:hAnsi="Times New Roman"/>
          <w:color w:val="000000"/>
          <w:sz w:val="24"/>
          <w:szCs w:val="24"/>
          <w:lang w:eastAsia="en-GB"/>
        </w:rPr>
        <w:t xml:space="preserve"> СБ.  </w:t>
      </w:r>
    </w:p>
    <w:p w14:paraId="4655470F" w14:textId="77777777" w:rsidR="001C5B17" w:rsidRPr="00EB77D6" w:rsidRDefault="001C5B17" w:rsidP="001C5B17">
      <w:pPr>
        <w:autoSpaceDE w:val="0"/>
        <w:autoSpaceDN w:val="0"/>
        <w:adjustRightInd w:val="0"/>
        <w:spacing w:after="0" w:line="240" w:lineRule="auto"/>
        <w:ind w:firstLine="720"/>
        <w:jc w:val="both"/>
        <w:rPr>
          <w:rFonts w:ascii="Times New Roman" w:eastAsia="Times New Roman" w:hAnsi="Times New Roman"/>
          <w:color w:val="000000"/>
          <w:sz w:val="24"/>
          <w:szCs w:val="24"/>
          <w:lang w:eastAsia="en-GB"/>
        </w:rPr>
      </w:pPr>
    </w:p>
    <w:p w14:paraId="5093EFAD" w14:textId="77777777" w:rsidR="001C5B17" w:rsidRPr="00EB77D6" w:rsidRDefault="001C5B17" w:rsidP="001C5B17">
      <w:pPr>
        <w:pStyle w:val="ListParagraph"/>
        <w:autoSpaceDE w:val="0"/>
        <w:autoSpaceDN w:val="0"/>
        <w:adjustRightInd w:val="0"/>
        <w:ind w:left="900"/>
        <w:jc w:val="both"/>
        <w:rPr>
          <w:b/>
          <w:color w:val="000000"/>
          <w:lang w:eastAsia="en-GB"/>
        </w:rPr>
      </w:pPr>
      <w:r w:rsidRPr="00EB77D6">
        <w:rPr>
          <w:b/>
          <w:color w:val="000000"/>
          <w:lang w:val="mk-MK" w:eastAsia="en-GB"/>
        </w:rPr>
        <w:t>7. Надворешни услуги</w:t>
      </w:r>
    </w:p>
    <w:p w14:paraId="565EA8E5" w14:textId="77777777" w:rsidR="001C5B17" w:rsidRPr="00EB77D6" w:rsidRDefault="001C5B17" w:rsidP="001C5B17">
      <w:pPr>
        <w:pStyle w:val="ListParagraph"/>
        <w:autoSpaceDE w:val="0"/>
        <w:autoSpaceDN w:val="0"/>
        <w:adjustRightInd w:val="0"/>
        <w:ind w:left="900"/>
        <w:jc w:val="both"/>
        <w:rPr>
          <w:b/>
          <w:color w:val="000000"/>
          <w:lang w:eastAsia="en-GB"/>
        </w:rPr>
      </w:pPr>
    </w:p>
    <w:p w14:paraId="08824C5C" w14:textId="77777777" w:rsidR="001C5B17" w:rsidRPr="00EB77D6" w:rsidRDefault="001C5B17" w:rsidP="007F0042">
      <w:pPr>
        <w:autoSpaceDE w:val="0"/>
        <w:autoSpaceDN w:val="0"/>
        <w:adjustRightInd w:val="0"/>
        <w:jc w:val="both"/>
        <w:rPr>
          <w:rFonts w:ascii="Times New Roman" w:hAnsi="Times New Roman"/>
          <w:color w:val="000000"/>
          <w:sz w:val="24"/>
          <w:szCs w:val="24"/>
          <w:lang w:eastAsia="en-GB"/>
        </w:rPr>
      </w:pPr>
      <w:r w:rsidRPr="00EB77D6">
        <w:rPr>
          <w:rFonts w:ascii="Times New Roman" w:hAnsi="Times New Roman"/>
          <w:color w:val="000000"/>
          <w:sz w:val="24"/>
          <w:szCs w:val="24"/>
          <w:lang w:val="mk-MK" w:eastAsia="en-GB"/>
        </w:rPr>
        <w:t>Надзорниот одбор на Стопанска банка</w:t>
      </w:r>
      <w:r w:rsidRPr="00EB77D6">
        <w:rPr>
          <w:rFonts w:ascii="Times New Roman" w:hAnsi="Times New Roman"/>
          <w:color w:val="000000"/>
          <w:sz w:val="24"/>
          <w:szCs w:val="24"/>
          <w:lang w:eastAsia="en-GB"/>
        </w:rPr>
        <w:t xml:space="preserve"> </w:t>
      </w:r>
      <w:r w:rsidRPr="00EB77D6">
        <w:rPr>
          <w:rFonts w:ascii="Times New Roman" w:hAnsi="Times New Roman"/>
          <w:color w:val="000000"/>
          <w:sz w:val="24"/>
          <w:szCs w:val="24"/>
          <w:lang w:val="mk-MK" w:eastAsia="en-GB"/>
        </w:rPr>
        <w:t>ја усвојува Политиката за надворешни услуги</w:t>
      </w:r>
      <w:r w:rsidRPr="00EB77D6">
        <w:rPr>
          <w:rFonts w:ascii="Times New Roman" w:hAnsi="Times New Roman"/>
          <w:color w:val="000000"/>
          <w:sz w:val="24"/>
          <w:szCs w:val="24"/>
          <w:lang w:eastAsia="en-GB"/>
        </w:rPr>
        <w:t xml:space="preserve"> </w:t>
      </w:r>
      <w:r w:rsidRPr="00EB77D6">
        <w:rPr>
          <w:rFonts w:ascii="Times New Roman" w:hAnsi="Times New Roman"/>
          <w:color w:val="000000"/>
          <w:sz w:val="24"/>
          <w:szCs w:val="24"/>
          <w:lang w:val="mk-MK" w:eastAsia="en-GB"/>
        </w:rPr>
        <w:t>што е усогласена со стандардите</w:t>
      </w:r>
      <w:r w:rsidRPr="00EB77D6">
        <w:rPr>
          <w:rFonts w:ascii="Times New Roman" w:hAnsi="Times New Roman"/>
          <w:color w:val="000000"/>
          <w:sz w:val="24"/>
          <w:szCs w:val="24"/>
          <w:lang w:eastAsia="en-GB"/>
        </w:rPr>
        <w:t xml:space="preserve"> </w:t>
      </w:r>
      <w:r w:rsidRPr="00EB77D6">
        <w:rPr>
          <w:rFonts w:ascii="Times New Roman" w:hAnsi="Times New Roman"/>
          <w:color w:val="000000"/>
          <w:sz w:val="24"/>
          <w:szCs w:val="24"/>
          <w:lang w:val="mk-MK" w:eastAsia="en-GB"/>
        </w:rPr>
        <w:t>на</w:t>
      </w:r>
      <w:r w:rsidRPr="00EB77D6">
        <w:rPr>
          <w:rFonts w:ascii="Times New Roman" w:hAnsi="Times New Roman"/>
          <w:color w:val="000000"/>
          <w:sz w:val="24"/>
          <w:szCs w:val="24"/>
          <w:lang w:eastAsia="en-GB"/>
        </w:rPr>
        <w:t xml:space="preserve"> НБГ</w:t>
      </w:r>
      <w:r w:rsidRPr="00EB77D6">
        <w:rPr>
          <w:rFonts w:ascii="Times New Roman" w:hAnsi="Times New Roman"/>
          <w:color w:val="000000"/>
          <w:sz w:val="24"/>
          <w:szCs w:val="24"/>
          <w:lang w:val="mk-MK" w:eastAsia="en-GB"/>
        </w:rPr>
        <w:t xml:space="preserve"> Групацијата</w:t>
      </w:r>
      <w:r w:rsidRPr="00EB77D6">
        <w:rPr>
          <w:rFonts w:ascii="Times New Roman" w:hAnsi="Times New Roman"/>
          <w:color w:val="000000"/>
          <w:sz w:val="24"/>
          <w:szCs w:val="24"/>
          <w:lang w:eastAsia="en-GB"/>
        </w:rPr>
        <w:t xml:space="preserve"> и </w:t>
      </w:r>
      <w:r w:rsidRPr="00EB77D6">
        <w:rPr>
          <w:rFonts w:ascii="Times New Roman" w:hAnsi="Times New Roman"/>
          <w:color w:val="000000"/>
          <w:sz w:val="24"/>
          <w:szCs w:val="24"/>
          <w:lang w:val="mk-MK" w:eastAsia="en-GB"/>
        </w:rPr>
        <w:t>националното законодавство</w:t>
      </w:r>
      <w:r w:rsidRPr="00EB77D6">
        <w:rPr>
          <w:rFonts w:ascii="Times New Roman" w:hAnsi="Times New Roman"/>
          <w:color w:val="000000"/>
          <w:sz w:val="24"/>
          <w:szCs w:val="24"/>
          <w:lang w:eastAsia="en-GB"/>
        </w:rPr>
        <w:t xml:space="preserve">, </w:t>
      </w:r>
      <w:r w:rsidRPr="00EB77D6">
        <w:rPr>
          <w:rFonts w:ascii="Times New Roman" w:hAnsi="Times New Roman"/>
          <w:color w:val="000000"/>
          <w:sz w:val="24"/>
          <w:szCs w:val="24"/>
          <w:lang w:val="mk-MK" w:eastAsia="en-GB"/>
        </w:rPr>
        <w:t>вклучувајќи ги</w:t>
      </w:r>
      <w:r w:rsidRPr="00EB77D6">
        <w:rPr>
          <w:rFonts w:ascii="Times New Roman" w:hAnsi="Times New Roman"/>
          <w:color w:val="000000"/>
          <w:sz w:val="24"/>
          <w:szCs w:val="24"/>
          <w:lang w:eastAsia="en-GB"/>
        </w:rPr>
        <w:t xml:space="preserve"> </w:t>
      </w:r>
      <w:r w:rsidRPr="00EB77D6">
        <w:rPr>
          <w:rFonts w:ascii="Times New Roman" w:hAnsi="Times New Roman"/>
          <w:color w:val="000000"/>
          <w:sz w:val="24"/>
          <w:szCs w:val="24"/>
          <w:lang w:val="mk-MK" w:eastAsia="en-GB"/>
        </w:rPr>
        <w:t>и</w:t>
      </w:r>
      <w:r w:rsidRPr="00EB77D6">
        <w:rPr>
          <w:rFonts w:ascii="Times New Roman" w:hAnsi="Times New Roman"/>
          <w:color w:val="000000"/>
          <w:sz w:val="24"/>
          <w:szCs w:val="24"/>
          <w:lang w:eastAsia="en-GB"/>
        </w:rPr>
        <w:t xml:space="preserve"> </w:t>
      </w:r>
      <w:r w:rsidRPr="00EB77D6">
        <w:rPr>
          <w:rFonts w:ascii="Times New Roman" w:hAnsi="Times New Roman"/>
          <w:color w:val="000000"/>
          <w:sz w:val="24"/>
          <w:szCs w:val="24"/>
          <w:lang w:val="mk-MK" w:eastAsia="en-GB"/>
        </w:rPr>
        <w:t>релавантните</w:t>
      </w:r>
      <w:r w:rsidRPr="00EB77D6">
        <w:rPr>
          <w:rFonts w:ascii="Times New Roman" w:hAnsi="Times New Roman"/>
          <w:color w:val="000000"/>
          <w:sz w:val="24"/>
          <w:szCs w:val="24"/>
          <w:lang w:eastAsia="en-GB"/>
        </w:rPr>
        <w:t xml:space="preserve"> </w:t>
      </w:r>
      <w:r w:rsidRPr="00EB77D6">
        <w:rPr>
          <w:rFonts w:ascii="Times New Roman" w:hAnsi="Times New Roman"/>
          <w:color w:val="000000"/>
          <w:sz w:val="24"/>
          <w:szCs w:val="24"/>
          <w:lang w:val="mk-MK" w:eastAsia="en-GB"/>
        </w:rPr>
        <w:t>подзаконски акти</w:t>
      </w:r>
      <w:r w:rsidRPr="00EB77D6">
        <w:rPr>
          <w:rFonts w:ascii="Times New Roman" w:hAnsi="Times New Roman"/>
          <w:color w:val="000000"/>
          <w:sz w:val="24"/>
          <w:szCs w:val="24"/>
          <w:lang w:eastAsia="en-GB"/>
        </w:rPr>
        <w:t xml:space="preserve"> </w:t>
      </w:r>
      <w:r w:rsidRPr="00EB77D6">
        <w:rPr>
          <w:rFonts w:ascii="Times New Roman" w:hAnsi="Times New Roman"/>
          <w:color w:val="000000"/>
          <w:sz w:val="24"/>
          <w:szCs w:val="24"/>
          <w:lang w:val="mk-MK" w:eastAsia="en-GB"/>
        </w:rPr>
        <w:t>на</w:t>
      </w:r>
      <w:r w:rsidRPr="00EB77D6">
        <w:rPr>
          <w:rFonts w:ascii="Times New Roman" w:hAnsi="Times New Roman"/>
          <w:color w:val="000000"/>
          <w:sz w:val="24"/>
          <w:szCs w:val="24"/>
          <w:lang w:eastAsia="en-GB"/>
        </w:rPr>
        <w:t xml:space="preserve"> </w:t>
      </w:r>
      <w:r w:rsidRPr="00EB77D6">
        <w:rPr>
          <w:rFonts w:ascii="Times New Roman" w:hAnsi="Times New Roman"/>
          <w:color w:val="000000"/>
          <w:sz w:val="24"/>
          <w:szCs w:val="24"/>
          <w:lang w:val="mk-MK" w:eastAsia="en-GB"/>
        </w:rPr>
        <w:t>Народната банка на Република</w:t>
      </w:r>
      <w:r w:rsidRPr="00EB77D6">
        <w:rPr>
          <w:rFonts w:ascii="Times New Roman" w:hAnsi="Times New Roman"/>
          <w:color w:val="000000"/>
          <w:sz w:val="24"/>
          <w:szCs w:val="24"/>
          <w:lang w:eastAsia="en-GB"/>
        </w:rPr>
        <w:t xml:space="preserve"> </w:t>
      </w:r>
      <w:r w:rsidRPr="00EB77D6">
        <w:rPr>
          <w:rFonts w:ascii="Times New Roman" w:hAnsi="Times New Roman"/>
          <w:color w:val="000000"/>
          <w:sz w:val="24"/>
          <w:szCs w:val="24"/>
          <w:lang w:val="mk-MK" w:eastAsia="en-GB"/>
        </w:rPr>
        <w:t>Северна Македонија</w:t>
      </w:r>
      <w:r w:rsidRPr="00EB77D6">
        <w:rPr>
          <w:rFonts w:ascii="Times New Roman" w:hAnsi="Times New Roman"/>
          <w:color w:val="000000"/>
          <w:sz w:val="24"/>
          <w:szCs w:val="24"/>
          <w:lang w:eastAsia="en-GB"/>
        </w:rPr>
        <w:t xml:space="preserve">. </w:t>
      </w:r>
    </w:p>
    <w:p w14:paraId="09B81FDF" w14:textId="77777777" w:rsidR="001C5B17" w:rsidRPr="00EB77D6" w:rsidRDefault="001C5B17" w:rsidP="007F0042">
      <w:pPr>
        <w:autoSpaceDE w:val="0"/>
        <w:autoSpaceDN w:val="0"/>
        <w:adjustRightInd w:val="0"/>
        <w:jc w:val="both"/>
        <w:rPr>
          <w:rFonts w:ascii="Times New Roman" w:hAnsi="Times New Roman"/>
          <w:color w:val="000000"/>
          <w:sz w:val="24"/>
          <w:szCs w:val="24"/>
          <w:lang w:eastAsia="en-GB"/>
        </w:rPr>
      </w:pPr>
      <w:r w:rsidRPr="00EB77D6">
        <w:rPr>
          <w:rFonts w:ascii="Times New Roman" w:hAnsi="Times New Roman"/>
          <w:color w:val="000000"/>
          <w:sz w:val="24"/>
          <w:szCs w:val="24"/>
          <w:lang w:val="mk-MK" w:eastAsia="en-GB"/>
        </w:rPr>
        <w:t>Во согласност со Политиката за надворешни услуги</w:t>
      </w:r>
      <w:r w:rsidRPr="00EB77D6">
        <w:rPr>
          <w:rFonts w:ascii="Times New Roman" w:hAnsi="Times New Roman"/>
          <w:color w:val="000000"/>
          <w:sz w:val="24"/>
          <w:szCs w:val="24"/>
          <w:lang w:eastAsia="en-GB"/>
        </w:rPr>
        <w:t xml:space="preserve">, </w:t>
      </w:r>
      <w:r w:rsidRPr="00EB77D6">
        <w:rPr>
          <w:rFonts w:ascii="Times New Roman" w:hAnsi="Times New Roman"/>
          <w:color w:val="000000"/>
          <w:sz w:val="24"/>
          <w:szCs w:val="24"/>
          <w:lang w:val="mk-MK" w:eastAsia="en-GB"/>
        </w:rPr>
        <w:t>Одборот за управување со ризици</w:t>
      </w:r>
      <w:r w:rsidRPr="00EB77D6">
        <w:rPr>
          <w:rFonts w:ascii="Times New Roman" w:hAnsi="Times New Roman"/>
          <w:color w:val="000000"/>
          <w:sz w:val="24"/>
          <w:szCs w:val="24"/>
          <w:lang w:eastAsia="en-GB"/>
        </w:rPr>
        <w:t xml:space="preserve"> </w:t>
      </w:r>
      <w:r w:rsidRPr="00EB77D6">
        <w:rPr>
          <w:rFonts w:ascii="Times New Roman" w:hAnsi="Times New Roman"/>
          <w:color w:val="000000"/>
          <w:sz w:val="24"/>
          <w:szCs w:val="24"/>
          <w:lang w:val="mk-MK" w:eastAsia="en-GB"/>
        </w:rPr>
        <w:t>го разгледа списокот</w:t>
      </w:r>
      <w:r w:rsidRPr="00EB77D6">
        <w:rPr>
          <w:rFonts w:ascii="Times New Roman" w:hAnsi="Times New Roman"/>
          <w:color w:val="000000"/>
          <w:sz w:val="24"/>
          <w:szCs w:val="24"/>
          <w:lang w:eastAsia="en-GB"/>
        </w:rPr>
        <w:t xml:space="preserve"> </w:t>
      </w:r>
      <w:r w:rsidRPr="00EB77D6">
        <w:rPr>
          <w:rFonts w:ascii="Times New Roman" w:hAnsi="Times New Roman"/>
          <w:color w:val="000000"/>
          <w:sz w:val="24"/>
          <w:szCs w:val="24"/>
          <w:lang w:val="mk-MK" w:eastAsia="en-GB"/>
        </w:rPr>
        <w:t>на надворешни услуги</w:t>
      </w:r>
      <w:r w:rsidRPr="00EB77D6">
        <w:rPr>
          <w:rFonts w:ascii="Times New Roman" w:hAnsi="Times New Roman"/>
          <w:color w:val="000000"/>
          <w:sz w:val="24"/>
          <w:szCs w:val="24"/>
          <w:lang w:eastAsia="en-GB"/>
        </w:rPr>
        <w:t xml:space="preserve"> и </w:t>
      </w:r>
      <w:r w:rsidRPr="00EB77D6">
        <w:rPr>
          <w:rFonts w:ascii="Times New Roman" w:hAnsi="Times New Roman"/>
          <w:color w:val="000000"/>
          <w:sz w:val="24"/>
          <w:szCs w:val="24"/>
          <w:lang w:val="mk-MK" w:eastAsia="en-GB"/>
        </w:rPr>
        <w:t>ги</w:t>
      </w:r>
      <w:r w:rsidRPr="00EB77D6">
        <w:rPr>
          <w:rFonts w:ascii="Times New Roman" w:hAnsi="Times New Roman"/>
          <w:color w:val="000000"/>
          <w:sz w:val="24"/>
          <w:szCs w:val="24"/>
          <w:lang w:eastAsia="en-GB"/>
        </w:rPr>
        <w:t xml:space="preserve"> </w:t>
      </w:r>
      <w:r w:rsidRPr="00EB77D6">
        <w:rPr>
          <w:rFonts w:ascii="Times New Roman" w:hAnsi="Times New Roman"/>
          <w:color w:val="000000"/>
          <w:sz w:val="24"/>
          <w:szCs w:val="24"/>
          <w:lang w:val="mk-MK" w:eastAsia="en-GB"/>
        </w:rPr>
        <w:t>утврди критичните</w:t>
      </w:r>
      <w:r w:rsidRPr="00EB77D6">
        <w:rPr>
          <w:rFonts w:ascii="Times New Roman" w:hAnsi="Times New Roman"/>
          <w:color w:val="000000"/>
          <w:sz w:val="24"/>
          <w:szCs w:val="24"/>
          <w:lang w:eastAsia="en-GB"/>
        </w:rPr>
        <w:t xml:space="preserve"> / </w:t>
      </w:r>
      <w:r w:rsidRPr="00EB77D6">
        <w:rPr>
          <w:rFonts w:ascii="Times New Roman" w:hAnsi="Times New Roman"/>
          <w:color w:val="000000"/>
          <w:sz w:val="24"/>
          <w:szCs w:val="24"/>
          <w:lang w:val="mk-MK" w:eastAsia="en-GB"/>
        </w:rPr>
        <w:t>важните</w:t>
      </w:r>
      <w:r w:rsidRPr="00EB77D6">
        <w:rPr>
          <w:rFonts w:ascii="Times New Roman" w:hAnsi="Times New Roman"/>
          <w:color w:val="000000"/>
          <w:sz w:val="24"/>
          <w:szCs w:val="24"/>
          <w:lang w:eastAsia="en-GB"/>
        </w:rPr>
        <w:t xml:space="preserve"> </w:t>
      </w:r>
      <w:r w:rsidRPr="00EB77D6">
        <w:rPr>
          <w:rFonts w:ascii="Times New Roman" w:hAnsi="Times New Roman"/>
          <w:color w:val="000000"/>
          <w:sz w:val="24"/>
          <w:szCs w:val="24"/>
          <w:lang w:val="mk-MK" w:eastAsia="en-GB"/>
        </w:rPr>
        <w:t>функции кои се</w:t>
      </w:r>
      <w:r w:rsidRPr="00EB77D6">
        <w:rPr>
          <w:rFonts w:ascii="Times New Roman" w:hAnsi="Times New Roman"/>
          <w:color w:val="000000"/>
          <w:sz w:val="24"/>
          <w:szCs w:val="24"/>
          <w:lang w:eastAsia="en-GB"/>
        </w:rPr>
        <w:t xml:space="preserve"> </w:t>
      </w:r>
      <w:r w:rsidRPr="00EB77D6">
        <w:rPr>
          <w:rFonts w:ascii="Times New Roman" w:hAnsi="Times New Roman"/>
          <w:color w:val="000000"/>
          <w:sz w:val="24"/>
          <w:szCs w:val="24"/>
          <w:lang w:val="mk-MK" w:eastAsia="en-GB"/>
        </w:rPr>
        <w:t>од надворешен субјект и</w:t>
      </w:r>
      <w:r w:rsidRPr="00EB77D6">
        <w:rPr>
          <w:rFonts w:ascii="Times New Roman" w:hAnsi="Times New Roman"/>
          <w:color w:val="000000"/>
          <w:sz w:val="24"/>
          <w:szCs w:val="24"/>
          <w:lang w:eastAsia="en-GB"/>
        </w:rPr>
        <w:t xml:space="preserve"> </w:t>
      </w:r>
      <w:r w:rsidRPr="00EB77D6">
        <w:rPr>
          <w:rFonts w:ascii="Times New Roman" w:hAnsi="Times New Roman"/>
          <w:color w:val="000000"/>
          <w:sz w:val="24"/>
          <w:szCs w:val="24"/>
          <w:lang w:val="mk-MK" w:eastAsia="en-GB"/>
        </w:rPr>
        <w:t>за кои се презема</w:t>
      </w:r>
      <w:r w:rsidRPr="00EB77D6">
        <w:rPr>
          <w:rFonts w:ascii="Times New Roman" w:hAnsi="Times New Roman"/>
          <w:color w:val="000000"/>
          <w:sz w:val="24"/>
          <w:szCs w:val="24"/>
          <w:lang w:eastAsia="en-GB"/>
        </w:rPr>
        <w:t xml:space="preserve"> </w:t>
      </w:r>
      <w:r w:rsidRPr="00EB77D6">
        <w:rPr>
          <w:rFonts w:ascii="Times New Roman" w:hAnsi="Times New Roman"/>
          <w:color w:val="000000"/>
          <w:sz w:val="24"/>
          <w:szCs w:val="24"/>
          <w:lang w:val="mk-MK" w:eastAsia="en-GB"/>
        </w:rPr>
        <w:t>посебна грижа</w:t>
      </w:r>
      <w:r w:rsidRPr="00EB77D6">
        <w:rPr>
          <w:rFonts w:ascii="Times New Roman" w:hAnsi="Times New Roman"/>
          <w:color w:val="000000"/>
          <w:sz w:val="24"/>
          <w:szCs w:val="24"/>
          <w:lang w:eastAsia="en-GB"/>
        </w:rPr>
        <w:t xml:space="preserve">. </w:t>
      </w:r>
      <w:r w:rsidRPr="00EB77D6">
        <w:rPr>
          <w:rFonts w:ascii="Times New Roman" w:hAnsi="Times New Roman"/>
          <w:color w:val="000000"/>
          <w:sz w:val="24"/>
          <w:szCs w:val="24"/>
          <w:lang w:val="mk-MK" w:eastAsia="en-GB"/>
        </w:rPr>
        <w:t>Поточно</w:t>
      </w:r>
      <w:r w:rsidRPr="00EB77D6">
        <w:rPr>
          <w:rFonts w:ascii="Times New Roman" w:hAnsi="Times New Roman"/>
          <w:color w:val="000000"/>
          <w:sz w:val="24"/>
          <w:szCs w:val="24"/>
          <w:lang w:eastAsia="en-GB"/>
        </w:rPr>
        <w:t xml:space="preserve">, </w:t>
      </w:r>
      <w:r w:rsidRPr="00EB77D6">
        <w:rPr>
          <w:rFonts w:ascii="Times New Roman" w:hAnsi="Times New Roman"/>
          <w:color w:val="000000"/>
          <w:sz w:val="24"/>
          <w:szCs w:val="24"/>
          <w:lang w:val="mk-MK" w:eastAsia="en-GB"/>
        </w:rPr>
        <w:t>следниве услуги</w:t>
      </w:r>
      <w:r w:rsidRPr="00EB77D6">
        <w:rPr>
          <w:rFonts w:ascii="Times New Roman" w:hAnsi="Times New Roman"/>
          <w:color w:val="000000"/>
          <w:sz w:val="24"/>
          <w:szCs w:val="24"/>
          <w:lang w:eastAsia="en-GB"/>
        </w:rPr>
        <w:t xml:space="preserve"> </w:t>
      </w:r>
      <w:r w:rsidRPr="00EB77D6">
        <w:rPr>
          <w:rFonts w:ascii="Times New Roman" w:hAnsi="Times New Roman"/>
          <w:color w:val="000000"/>
          <w:sz w:val="24"/>
          <w:szCs w:val="24"/>
          <w:lang w:val="mk-MK" w:eastAsia="en-GB"/>
        </w:rPr>
        <w:t>се утврдени</w:t>
      </w:r>
      <w:r w:rsidRPr="00EB77D6">
        <w:rPr>
          <w:rFonts w:ascii="Times New Roman" w:hAnsi="Times New Roman"/>
          <w:color w:val="000000"/>
          <w:sz w:val="24"/>
          <w:szCs w:val="24"/>
          <w:lang w:eastAsia="en-GB"/>
        </w:rPr>
        <w:t xml:space="preserve"> </w:t>
      </w:r>
      <w:r w:rsidRPr="00EB77D6">
        <w:rPr>
          <w:rFonts w:ascii="Times New Roman" w:hAnsi="Times New Roman"/>
          <w:color w:val="000000"/>
          <w:sz w:val="24"/>
          <w:szCs w:val="24"/>
          <w:lang w:val="mk-MK" w:eastAsia="en-GB"/>
        </w:rPr>
        <w:t>како</w:t>
      </w:r>
      <w:r w:rsidRPr="00EB77D6">
        <w:rPr>
          <w:rFonts w:ascii="Times New Roman" w:hAnsi="Times New Roman"/>
          <w:color w:val="000000"/>
          <w:sz w:val="24"/>
          <w:szCs w:val="24"/>
          <w:lang w:eastAsia="en-GB"/>
        </w:rPr>
        <w:t xml:space="preserve"> </w:t>
      </w:r>
      <w:r w:rsidRPr="00EB77D6">
        <w:rPr>
          <w:rFonts w:ascii="Times New Roman" w:hAnsi="Times New Roman"/>
          <w:color w:val="000000"/>
          <w:sz w:val="24"/>
          <w:szCs w:val="24"/>
          <w:lang w:val="mk-MK" w:eastAsia="en-GB"/>
        </w:rPr>
        <w:t>критични</w:t>
      </w:r>
      <w:r w:rsidRPr="00EB77D6">
        <w:rPr>
          <w:rFonts w:ascii="Times New Roman" w:hAnsi="Times New Roman"/>
          <w:color w:val="000000"/>
          <w:sz w:val="24"/>
          <w:szCs w:val="24"/>
          <w:lang w:eastAsia="en-GB"/>
        </w:rPr>
        <w:t xml:space="preserve"> / </w:t>
      </w:r>
      <w:r w:rsidRPr="00EB77D6">
        <w:rPr>
          <w:rFonts w:ascii="Times New Roman" w:hAnsi="Times New Roman"/>
          <w:color w:val="000000"/>
          <w:sz w:val="24"/>
          <w:szCs w:val="24"/>
          <w:lang w:val="mk-MK" w:eastAsia="en-GB"/>
        </w:rPr>
        <w:t>важни</w:t>
      </w:r>
      <w:r w:rsidRPr="00EB77D6">
        <w:rPr>
          <w:rFonts w:ascii="Times New Roman" w:hAnsi="Times New Roman"/>
          <w:color w:val="000000"/>
          <w:sz w:val="24"/>
          <w:szCs w:val="24"/>
          <w:lang w:eastAsia="en-GB"/>
        </w:rPr>
        <w:t xml:space="preserve"> </w:t>
      </w:r>
      <w:r w:rsidRPr="00EB77D6">
        <w:rPr>
          <w:rFonts w:ascii="Times New Roman" w:hAnsi="Times New Roman"/>
          <w:color w:val="000000"/>
          <w:sz w:val="24"/>
          <w:szCs w:val="24"/>
          <w:lang w:val="mk-MK" w:eastAsia="en-GB"/>
        </w:rPr>
        <w:t>функции</w:t>
      </w:r>
      <w:r w:rsidRPr="00EB77D6">
        <w:rPr>
          <w:rFonts w:ascii="Times New Roman" w:hAnsi="Times New Roman"/>
          <w:color w:val="000000"/>
          <w:sz w:val="24"/>
          <w:szCs w:val="24"/>
          <w:lang w:eastAsia="en-GB"/>
        </w:rPr>
        <w:t>:</w:t>
      </w:r>
    </w:p>
    <w:p w14:paraId="77AB5532" w14:textId="77777777" w:rsidR="001C5B17" w:rsidRPr="00EB77D6" w:rsidRDefault="001C5B17" w:rsidP="001C5B17">
      <w:pPr>
        <w:pStyle w:val="ListParagraph"/>
        <w:numPr>
          <w:ilvl w:val="0"/>
          <w:numId w:val="27"/>
        </w:numPr>
        <w:autoSpaceDE w:val="0"/>
        <w:autoSpaceDN w:val="0"/>
        <w:adjustRightInd w:val="0"/>
        <w:spacing w:line="276" w:lineRule="auto"/>
        <w:jc w:val="both"/>
        <w:rPr>
          <w:color w:val="000000"/>
          <w:lang w:eastAsia="en-GB"/>
        </w:rPr>
      </w:pPr>
      <w:r w:rsidRPr="00EB77D6">
        <w:rPr>
          <w:color w:val="000000"/>
          <w:lang w:eastAsia="en-GB"/>
        </w:rPr>
        <w:t xml:space="preserve">ИТ </w:t>
      </w:r>
      <w:r w:rsidRPr="00EB77D6">
        <w:rPr>
          <w:color w:val="000000"/>
          <w:lang w:val="mk-MK" w:eastAsia="en-GB"/>
        </w:rPr>
        <w:t>услуги</w:t>
      </w:r>
      <w:r w:rsidRPr="00EB77D6">
        <w:rPr>
          <w:color w:val="000000"/>
          <w:lang w:eastAsia="en-GB"/>
        </w:rPr>
        <w:t xml:space="preserve"> (</w:t>
      </w:r>
      <w:r w:rsidRPr="00EB77D6">
        <w:rPr>
          <w:color w:val="000000"/>
          <w:lang w:val="mk-MK" w:eastAsia="en-GB"/>
        </w:rPr>
        <w:t>Хостинг</w:t>
      </w:r>
      <w:r w:rsidRPr="00EB77D6">
        <w:rPr>
          <w:color w:val="000000"/>
          <w:lang w:eastAsia="en-GB"/>
        </w:rPr>
        <w:t xml:space="preserve">, </w:t>
      </w:r>
      <w:r w:rsidRPr="00EB77D6">
        <w:rPr>
          <w:color w:val="000000"/>
          <w:lang w:val="mk-MK" w:eastAsia="en-GB"/>
        </w:rPr>
        <w:t>одржување и оперативна поддршка</w:t>
      </w:r>
      <w:r w:rsidRPr="00EB77D6">
        <w:rPr>
          <w:color w:val="000000"/>
          <w:lang w:eastAsia="en-GB"/>
        </w:rPr>
        <w:t xml:space="preserve"> </w:t>
      </w:r>
      <w:r w:rsidRPr="00EB77D6">
        <w:rPr>
          <w:color w:val="000000"/>
          <w:lang w:val="mk-MK" w:eastAsia="en-GB"/>
        </w:rPr>
        <w:t>на основниот систем</w:t>
      </w:r>
      <w:r w:rsidRPr="00EB77D6">
        <w:rPr>
          <w:color w:val="000000"/>
          <w:lang w:eastAsia="en-GB"/>
        </w:rPr>
        <w:t xml:space="preserve"> T24, SAP, SWIFT, </w:t>
      </w:r>
      <w:r w:rsidRPr="00EB77D6">
        <w:rPr>
          <w:color w:val="000000"/>
          <w:lang w:val="mk-MK" w:eastAsia="en-GB"/>
        </w:rPr>
        <w:t>системи за управување</w:t>
      </w:r>
      <w:r w:rsidRPr="00EB77D6">
        <w:rPr>
          <w:color w:val="000000"/>
          <w:lang w:eastAsia="en-GB"/>
        </w:rPr>
        <w:t xml:space="preserve"> </w:t>
      </w:r>
      <w:r w:rsidRPr="00EB77D6">
        <w:rPr>
          <w:color w:val="000000"/>
          <w:lang w:val="mk-MK" w:eastAsia="en-GB"/>
        </w:rPr>
        <w:t>со картички</w:t>
      </w:r>
      <w:r w:rsidRPr="00EB77D6">
        <w:rPr>
          <w:color w:val="000000"/>
          <w:lang w:eastAsia="en-GB"/>
        </w:rPr>
        <w:t xml:space="preserve"> и </w:t>
      </w:r>
      <w:r w:rsidRPr="00EB77D6">
        <w:rPr>
          <w:color w:val="000000"/>
          <w:lang w:val="mk-MK" w:eastAsia="en-GB"/>
        </w:rPr>
        <w:t>други системи на</w:t>
      </w:r>
      <w:r w:rsidRPr="00EB77D6">
        <w:rPr>
          <w:color w:val="000000"/>
          <w:lang w:eastAsia="en-GB"/>
        </w:rPr>
        <w:t xml:space="preserve"> СБ, </w:t>
      </w:r>
      <w:r w:rsidRPr="00EB77D6">
        <w:rPr>
          <w:color w:val="000000"/>
          <w:lang w:val="mk-MK" w:eastAsia="en-GB"/>
        </w:rPr>
        <w:t>развој на софтвер</w:t>
      </w:r>
      <w:r w:rsidRPr="00EB77D6">
        <w:rPr>
          <w:color w:val="000000"/>
          <w:lang w:eastAsia="en-GB"/>
        </w:rPr>
        <w:t xml:space="preserve"> </w:t>
      </w:r>
      <w:r w:rsidRPr="00EB77D6">
        <w:rPr>
          <w:color w:val="000000"/>
          <w:lang w:val="mk-MK" w:eastAsia="en-GB"/>
        </w:rPr>
        <w:t>во</w:t>
      </w:r>
      <w:r w:rsidRPr="00EB77D6">
        <w:rPr>
          <w:color w:val="000000"/>
          <w:lang w:eastAsia="en-GB"/>
        </w:rPr>
        <w:t xml:space="preserve"> SAP и </w:t>
      </w:r>
      <w:r w:rsidRPr="00EB77D6">
        <w:rPr>
          <w:color w:val="000000"/>
          <w:lang w:val="mk-MK" w:eastAsia="en-GB"/>
        </w:rPr>
        <w:t>развој на софтвер во</w:t>
      </w:r>
      <w:r w:rsidRPr="00EB77D6">
        <w:rPr>
          <w:color w:val="000000"/>
          <w:lang w:eastAsia="en-GB"/>
        </w:rPr>
        <w:t xml:space="preserve"> T24); </w:t>
      </w:r>
    </w:p>
    <w:p w14:paraId="02F05F4C" w14:textId="77777777" w:rsidR="001C5B17" w:rsidRPr="00EB77D6" w:rsidRDefault="001C5B17" w:rsidP="001C5B17">
      <w:pPr>
        <w:pStyle w:val="ListParagraph"/>
        <w:numPr>
          <w:ilvl w:val="0"/>
          <w:numId w:val="27"/>
        </w:numPr>
        <w:autoSpaceDE w:val="0"/>
        <w:autoSpaceDN w:val="0"/>
        <w:adjustRightInd w:val="0"/>
        <w:spacing w:line="276" w:lineRule="auto"/>
        <w:jc w:val="both"/>
        <w:rPr>
          <w:color w:val="000000"/>
          <w:lang w:eastAsia="en-GB"/>
        </w:rPr>
      </w:pPr>
      <w:r w:rsidRPr="00EB77D6">
        <w:rPr>
          <w:color w:val="000000"/>
          <w:lang w:val="mk-MK" w:eastAsia="en-GB"/>
        </w:rPr>
        <w:lastRenderedPageBreak/>
        <w:t>Транспорт на пари</w:t>
      </w:r>
      <w:r w:rsidRPr="00EB77D6">
        <w:rPr>
          <w:color w:val="000000"/>
          <w:lang w:eastAsia="en-GB"/>
        </w:rPr>
        <w:t xml:space="preserve">; </w:t>
      </w:r>
    </w:p>
    <w:p w14:paraId="5A848B19" w14:textId="77777777" w:rsidR="001C5B17" w:rsidRPr="00EB77D6" w:rsidRDefault="001C5B17" w:rsidP="001C5B17">
      <w:pPr>
        <w:pStyle w:val="ListParagraph"/>
        <w:numPr>
          <w:ilvl w:val="0"/>
          <w:numId w:val="27"/>
        </w:numPr>
        <w:autoSpaceDE w:val="0"/>
        <w:autoSpaceDN w:val="0"/>
        <w:adjustRightInd w:val="0"/>
        <w:spacing w:line="276" w:lineRule="auto"/>
        <w:jc w:val="both"/>
        <w:rPr>
          <w:color w:val="000000"/>
          <w:lang w:eastAsia="en-GB"/>
        </w:rPr>
      </w:pPr>
      <w:r w:rsidRPr="00EB77D6">
        <w:rPr>
          <w:color w:val="000000"/>
          <w:lang w:val="mk-MK" w:eastAsia="en-GB"/>
        </w:rPr>
        <w:t>Картични услуги</w:t>
      </w:r>
      <w:r w:rsidRPr="00EB77D6">
        <w:rPr>
          <w:color w:val="000000"/>
          <w:lang w:eastAsia="en-GB"/>
        </w:rPr>
        <w:t xml:space="preserve"> (</w:t>
      </w:r>
      <w:r w:rsidRPr="00EB77D6">
        <w:rPr>
          <w:color w:val="000000"/>
          <w:lang w:val="mk-MK" w:eastAsia="en-GB"/>
        </w:rPr>
        <w:t>центар за обработка на картички</w:t>
      </w:r>
      <w:r w:rsidRPr="00EB77D6">
        <w:rPr>
          <w:color w:val="000000"/>
          <w:lang w:eastAsia="en-GB"/>
        </w:rPr>
        <w:t xml:space="preserve">, </w:t>
      </w:r>
      <w:r w:rsidRPr="00EB77D6">
        <w:rPr>
          <w:color w:val="000000"/>
          <w:lang w:val="mk-MK" w:eastAsia="en-GB"/>
        </w:rPr>
        <w:t>процесор за</w:t>
      </w:r>
      <w:r w:rsidRPr="00EB77D6">
        <w:rPr>
          <w:color w:val="000000"/>
          <w:lang w:eastAsia="en-GB"/>
        </w:rPr>
        <w:t xml:space="preserve"> е-</w:t>
      </w:r>
      <w:r w:rsidRPr="00EB77D6">
        <w:rPr>
          <w:color w:val="000000"/>
          <w:lang w:val="mk-MK" w:eastAsia="en-GB"/>
        </w:rPr>
        <w:t>трговија</w:t>
      </w:r>
      <w:r w:rsidRPr="00EB77D6">
        <w:rPr>
          <w:color w:val="000000"/>
          <w:lang w:eastAsia="en-GB"/>
        </w:rPr>
        <w:t xml:space="preserve">, </w:t>
      </w:r>
      <w:r w:rsidRPr="00EB77D6">
        <w:rPr>
          <w:color w:val="000000"/>
          <w:lang w:val="mk-MK" w:eastAsia="en-GB"/>
        </w:rPr>
        <w:t>персонализирање на картички</w:t>
      </w:r>
      <w:r w:rsidRPr="00EB77D6">
        <w:rPr>
          <w:color w:val="000000"/>
          <w:lang w:eastAsia="en-GB"/>
        </w:rPr>
        <w:t xml:space="preserve">, back-up </w:t>
      </w:r>
      <w:r w:rsidRPr="00EB77D6">
        <w:rPr>
          <w:color w:val="000000"/>
          <w:lang w:val="mk-MK" w:eastAsia="en-GB"/>
        </w:rPr>
        <w:t>пристап</w:t>
      </w:r>
      <w:r w:rsidRPr="00EB77D6">
        <w:rPr>
          <w:color w:val="000000"/>
          <w:lang w:eastAsia="en-GB"/>
        </w:rPr>
        <w:t xml:space="preserve">, </w:t>
      </w:r>
      <w:r w:rsidRPr="00EB77D6">
        <w:rPr>
          <w:color w:val="000000"/>
          <w:lang w:val="mk-MK" w:eastAsia="en-GB"/>
        </w:rPr>
        <w:t>итн</w:t>
      </w:r>
      <w:r w:rsidRPr="00EB77D6">
        <w:rPr>
          <w:color w:val="000000"/>
          <w:lang w:eastAsia="en-GB"/>
        </w:rPr>
        <w:t xml:space="preserve">.); </w:t>
      </w:r>
    </w:p>
    <w:p w14:paraId="29D92989" w14:textId="77777777" w:rsidR="001C5B17" w:rsidRPr="00EB77D6" w:rsidRDefault="001C5B17" w:rsidP="001C5B17">
      <w:pPr>
        <w:pStyle w:val="ListParagraph"/>
        <w:numPr>
          <w:ilvl w:val="0"/>
          <w:numId w:val="27"/>
        </w:numPr>
        <w:autoSpaceDE w:val="0"/>
        <w:autoSpaceDN w:val="0"/>
        <w:adjustRightInd w:val="0"/>
        <w:spacing w:line="276" w:lineRule="auto"/>
        <w:jc w:val="both"/>
        <w:rPr>
          <w:color w:val="000000"/>
          <w:lang w:eastAsia="en-GB"/>
        </w:rPr>
      </w:pPr>
      <w:r w:rsidRPr="00EB77D6">
        <w:rPr>
          <w:color w:val="000000"/>
          <w:lang w:val="mk-MK" w:eastAsia="en-GB"/>
        </w:rPr>
        <w:t>Активности за рана наплата на побарувања од население</w:t>
      </w:r>
      <w:r w:rsidRPr="00EB77D6">
        <w:rPr>
          <w:color w:val="000000"/>
          <w:lang w:eastAsia="en-GB"/>
        </w:rPr>
        <w:t xml:space="preserve">; </w:t>
      </w:r>
      <w:r w:rsidRPr="00EB77D6">
        <w:rPr>
          <w:color w:val="000000"/>
          <w:lang w:val="mk-MK" w:eastAsia="en-GB"/>
        </w:rPr>
        <w:t>и</w:t>
      </w:r>
      <w:r w:rsidRPr="00EB77D6">
        <w:rPr>
          <w:color w:val="000000"/>
          <w:lang w:eastAsia="en-GB"/>
        </w:rPr>
        <w:t xml:space="preserve"> </w:t>
      </w:r>
    </w:p>
    <w:p w14:paraId="0B1B2305" w14:textId="77777777" w:rsidR="001C5B17" w:rsidRPr="00EB77D6" w:rsidRDefault="001C5B17" w:rsidP="001C5B17">
      <w:pPr>
        <w:pStyle w:val="ListParagraph"/>
        <w:numPr>
          <w:ilvl w:val="0"/>
          <w:numId w:val="27"/>
        </w:numPr>
        <w:autoSpaceDE w:val="0"/>
        <w:autoSpaceDN w:val="0"/>
        <w:adjustRightInd w:val="0"/>
        <w:spacing w:line="276" w:lineRule="auto"/>
        <w:jc w:val="both"/>
        <w:rPr>
          <w:color w:val="000000"/>
          <w:lang w:eastAsia="en-GB"/>
        </w:rPr>
      </w:pPr>
      <w:r w:rsidRPr="00EB77D6">
        <w:rPr>
          <w:color w:val="000000"/>
          <w:lang w:val="mk-MK" w:eastAsia="en-GB"/>
        </w:rPr>
        <w:t>Спроведување на правни постапки</w:t>
      </w:r>
      <w:r w:rsidRPr="00EB77D6">
        <w:rPr>
          <w:color w:val="000000"/>
          <w:lang w:eastAsia="en-GB"/>
        </w:rPr>
        <w:t xml:space="preserve"> </w:t>
      </w:r>
      <w:r w:rsidRPr="00EB77D6">
        <w:rPr>
          <w:color w:val="000000"/>
          <w:lang w:val="mk-MK" w:eastAsia="en-GB"/>
        </w:rPr>
        <w:t>за наплата на долговите</w:t>
      </w:r>
      <w:r w:rsidRPr="00EB77D6">
        <w:rPr>
          <w:color w:val="000000"/>
          <w:lang w:eastAsia="en-GB"/>
        </w:rPr>
        <w:t xml:space="preserve"> </w:t>
      </w:r>
      <w:r w:rsidRPr="00EB77D6">
        <w:rPr>
          <w:color w:val="000000"/>
          <w:lang w:val="mk-MK" w:eastAsia="en-GB"/>
        </w:rPr>
        <w:t>пред надлежните органи</w:t>
      </w:r>
      <w:r w:rsidRPr="00EB77D6">
        <w:rPr>
          <w:color w:val="000000"/>
          <w:lang w:eastAsia="en-GB"/>
        </w:rPr>
        <w:t xml:space="preserve">. </w:t>
      </w:r>
    </w:p>
    <w:p w14:paraId="2B1B3DC6" w14:textId="77777777" w:rsidR="001C5B17" w:rsidRPr="00EB77D6" w:rsidRDefault="001C5B17" w:rsidP="001C5B17">
      <w:pPr>
        <w:pStyle w:val="ListParagraph"/>
        <w:autoSpaceDE w:val="0"/>
        <w:autoSpaceDN w:val="0"/>
        <w:adjustRightInd w:val="0"/>
        <w:spacing w:line="276" w:lineRule="auto"/>
        <w:jc w:val="both"/>
        <w:rPr>
          <w:color w:val="000000"/>
          <w:lang w:eastAsia="en-GB"/>
        </w:rPr>
      </w:pPr>
    </w:p>
    <w:p w14:paraId="4F1DAF4B" w14:textId="77777777" w:rsidR="001C5B17" w:rsidRPr="00EB77D6" w:rsidRDefault="001C5B17" w:rsidP="001C5B17">
      <w:pPr>
        <w:pStyle w:val="ListParagraph"/>
        <w:autoSpaceDE w:val="0"/>
        <w:autoSpaceDN w:val="0"/>
        <w:adjustRightInd w:val="0"/>
        <w:spacing w:line="276" w:lineRule="auto"/>
        <w:ind w:left="900"/>
        <w:jc w:val="both"/>
        <w:rPr>
          <w:b/>
          <w:color w:val="000000"/>
          <w:lang w:val="mk-MK" w:eastAsia="en-GB"/>
        </w:rPr>
      </w:pPr>
      <w:r w:rsidRPr="00EB77D6">
        <w:rPr>
          <w:b/>
          <w:bCs/>
          <w:lang w:val="mk-MK"/>
        </w:rPr>
        <w:t>8. Политика за наградување за 2022 година</w:t>
      </w:r>
    </w:p>
    <w:p w14:paraId="40DAAC55" w14:textId="77777777" w:rsidR="001C5B17" w:rsidRPr="00EB77D6" w:rsidRDefault="001C5B17" w:rsidP="001C5B17">
      <w:pPr>
        <w:pStyle w:val="Heading2"/>
        <w:spacing w:line="276" w:lineRule="auto"/>
        <w:jc w:val="both"/>
        <w:rPr>
          <w:b w:val="0"/>
          <w:bCs w:val="0"/>
          <w:szCs w:val="24"/>
        </w:rPr>
      </w:pPr>
    </w:p>
    <w:p w14:paraId="20121BC9" w14:textId="77777777" w:rsidR="001C5B17" w:rsidRPr="00EB77D6" w:rsidRDefault="001C5B17" w:rsidP="007F0042">
      <w:pPr>
        <w:pStyle w:val="Heading2"/>
        <w:spacing w:line="276" w:lineRule="auto"/>
        <w:jc w:val="both"/>
        <w:rPr>
          <w:b w:val="0"/>
          <w:szCs w:val="24"/>
          <w:lang w:val="en-GB"/>
        </w:rPr>
      </w:pPr>
      <w:bookmarkStart w:id="78" w:name="_Toc39126951"/>
      <w:r w:rsidRPr="00EB77D6">
        <w:rPr>
          <w:b w:val="0"/>
          <w:bCs w:val="0"/>
          <w:szCs w:val="24"/>
          <w:lang w:val="mk-MK"/>
        </w:rPr>
        <w:t>На 33-та седница на Собранието на акционери, одржана на 19 јули 2013 година, Стопанска банка усвои Политика за наградување, која е во линија со оперативната политика и бизнис стратегијата на Банката, нејзините вредности, цели и долгорочни интереси. Истата инкорпорира мерки за избегнување или минимизирање на конфликтите на интереси или било какво негативно влијание врз солидното, прудентно и добро управување со ризиците кои ги презема Банката и за превенција на прекумерно преземање на ризици, и придонесува кон заштита на капиталната позиција на Банката.</w:t>
      </w:r>
      <w:bookmarkEnd w:id="78"/>
      <w:r w:rsidRPr="00EB77D6">
        <w:rPr>
          <w:b w:val="0"/>
          <w:szCs w:val="24"/>
          <w:lang w:val="en-GB"/>
        </w:rPr>
        <w:t xml:space="preserve"> </w:t>
      </w:r>
    </w:p>
    <w:p w14:paraId="71C0BEDD" w14:textId="77777777" w:rsidR="001C5B17" w:rsidRPr="00EB77D6" w:rsidRDefault="001C5B17" w:rsidP="007F0042">
      <w:pPr>
        <w:jc w:val="both"/>
        <w:rPr>
          <w:rFonts w:ascii="Times New Roman" w:hAnsi="Times New Roman"/>
          <w:sz w:val="24"/>
          <w:szCs w:val="24"/>
          <w:lang w:val="en-GB"/>
        </w:rPr>
      </w:pPr>
      <w:r w:rsidRPr="00EB77D6">
        <w:rPr>
          <w:rFonts w:ascii="Times New Roman" w:hAnsi="Times New Roman"/>
          <w:sz w:val="24"/>
          <w:szCs w:val="24"/>
          <w:lang w:val="en-GB"/>
        </w:rPr>
        <w:t xml:space="preserve">Фиксниот </w:t>
      </w:r>
      <w:r w:rsidRPr="00EB77D6">
        <w:rPr>
          <w:rFonts w:ascii="Times New Roman" w:hAnsi="Times New Roman"/>
          <w:sz w:val="24"/>
          <w:szCs w:val="24"/>
          <w:lang w:val="mk-MK"/>
        </w:rPr>
        <w:t>надоместок</w:t>
      </w:r>
      <w:r w:rsidRPr="00EB77D6">
        <w:rPr>
          <w:rFonts w:ascii="Times New Roman" w:hAnsi="Times New Roman"/>
          <w:sz w:val="24"/>
          <w:szCs w:val="24"/>
          <w:lang w:val="en-GB"/>
        </w:rPr>
        <w:t xml:space="preserve"> се состои од конкурентна основна бруто-плата исплатена </w:t>
      </w:r>
      <w:r w:rsidRPr="00EB77D6">
        <w:rPr>
          <w:rFonts w:ascii="Times New Roman" w:hAnsi="Times New Roman"/>
          <w:sz w:val="24"/>
          <w:szCs w:val="24"/>
          <w:lang w:val="mk-MK"/>
        </w:rPr>
        <w:t xml:space="preserve">на </w:t>
      </w:r>
      <w:r w:rsidRPr="00EB77D6">
        <w:rPr>
          <w:rFonts w:ascii="Times New Roman" w:hAnsi="Times New Roman"/>
          <w:sz w:val="24"/>
          <w:szCs w:val="24"/>
          <w:lang w:val="en-GB"/>
        </w:rPr>
        <w:t>месечно</w:t>
      </w:r>
      <w:r w:rsidRPr="00EB77D6">
        <w:rPr>
          <w:rFonts w:ascii="Times New Roman" w:hAnsi="Times New Roman"/>
          <w:sz w:val="24"/>
          <w:szCs w:val="24"/>
          <w:lang w:val="mk-MK"/>
        </w:rPr>
        <w:t xml:space="preserve"> ниво</w:t>
      </w:r>
      <w:r w:rsidRPr="00EB77D6">
        <w:rPr>
          <w:rFonts w:ascii="Times New Roman" w:hAnsi="Times New Roman"/>
          <w:sz w:val="24"/>
          <w:szCs w:val="24"/>
          <w:lang w:val="en-GB"/>
        </w:rPr>
        <w:t xml:space="preserve">, што обезбедува сигурност и предвидливост на сите вработени во </w:t>
      </w:r>
      <w:r w:rsidRPr="00EB77D6">
        <w:rPr>
          <w:rFonts w:ascii="Times New Roman" w:hAnsi="Times New Roman"/>
          <w:sz w:val="24"/>
          <w:szCs w:val="24"/>
          <w:lang w:val="mk-MK"/>
        </w:rPr>
        <w:t>С</w:t>
      </w:r>
      <w:r w:rsidRPr="00EB77D6">
        <w:rPr>
          <w:rFonts w:ascii="Times New Roman" w:hAnsi="Times New Roman"/>
          <w:sz w:val="24"/>
          <w:szCs w:val="24"/>
          <w:lang w:val="en-GB"/>
        </w:rPr>
        <w:t>B. При утврдување на</w:t>
      </w:r>
      <w:r w:rsidRPr="00EB77D6">
        <w:rPr>
          <w:rFonts w:ascii="Times New Roman" w:hAnsi="Times New Roman"/>
          <w:sz w:val="24"/>
          <w:szCs w:val="24"/>
          <w:lang w:val="mk-MK"/>
        </w:rPr>
        <w:t xml:space="preserve"> висината на</w:t>
      </w:r>
      <w:r w:rsidRPr="00EB77D6">
        <w:rPr>
          <w:rFonts w:ascii="Times New Roman" w:hAnsi="Times New Roman"/>
          <w:sz w:val="24"/>
          <w:szCs w:val="24"/>
          <w:lang w:val="en-GB"/>
        </w:rPr>
        <w:t xml:space="preserve"> фиксно</w:t>
      </w:r>
      <w:r w:rsidRPr="00EB77D6">
        <w:rPr>
          <w:rFonts w:ascii="Times New Roman" w:hAnsi="Times New Roman"/>
          <w:sz w:val="24"/>
          <w:szCs w:val="24"/>
          <w:lang w:val="mk-MK"/>
        </w:rPr>
        <w:t>то</w:t>
      </w:r>
      <w:r w:rsidRPr="00EB77D6">
        <w:rPr>
          <w:rFonts w:ascii="Times New Roman" w:hAnsi="Times New Roman"/>
          <w:sz w:val="24"/>
          <w:szCs w:val="24"/>
          <w:lang w:val="en-GB"/>
        </w:rPr>
        <w:t xml:space="preserve"> наградување, Банката има одредени клучни показатели за успешност за секоја позиција што зема предвид различни финансиски и нефинансиски параметри. Тоа првенствено го одразува соодветното професионално искуство и организациската одговорност на персоналот.</w:t>
      </w:r>
      <w:r w:rsidRPr="00EB77D6">
        <w:rPr>
          <w:rFonts w:ascii="Times New Roman" w:hAnsi="Times New Roman"/>
          <w:sz w:val="24"/>
          <w:szCs w:val="24"/>
          <w:lang w:val="mk-MK"/>
        </w:rPr>
        <w:t xml:space="preserve"> Фиксниот надоместок</w:t>
      </w:r>
      <w:r w:rsidRPr="00EB77D6">
        <w:rPr>
          <w:rFonts w:ascii="Times New Roman" w:hAnsi="Times New Roman"/>
          <w:sz w:val="24"/>
          <w:szCs w:val="24"/>
          <w:lang w:val="en-GB"/>
        </w:rPr>
        <w:t xml:space="preserve"> се проценува и утврдува и во </w:t>
      </w:r>
      <w:r w:rsidRPr="00EB77D6">
        <w:rPr>
          <w:rFonts w:ascii="Times New Roman" w:hAnsi="Times New Roman"/>
          <w:sz w:val="24"/>
          <w:szCs w:val="24"/>
          <w:lang w:val="mk-MK"/>
        </w:rPr>
        <w:t>релација</w:t>
      </w:r>
      <w:r w:rsidRPr="00EB77D6">
        <w:rPr>
          <w:rFonts w:ascii="Times New Roman" w:hAnsi="Times New Roman"/>
          <w:sz w:val="24"/>
          <w:szCs w:val="24"/>
          <w:lang w:val="en-GB"/>
        </w:rPr>
        <w:t xml:space="preserve"> </w:t>
      </w:r>
      <w:r w:rsidRPr="00EB77D6">
        <w:rPr>
          <w:rFonts w:ascii="Times New Roman" w:hAnsi="Times New Roman"/>
          <w:sz w:val="24"/>
          <w:szCs w:val="24"/>
          <w:lang w:val="mk-MK"/>
        </w:rPr>
        <w:t>со</w:t>
      </w:r>
      <w:r w:rsidRPr="00EB77D6">
        <w:rPr>
          <w:rFonts w:ascii="Times New Roman" w:hAnsi="Times New Roman"/>
          <w:sz w:val="24"/>
          <w:szCs w:val="24"/>
          <w:lang w:val="en-GB"/>
        </w:rPr>
        <w:t xml:space="preserve"> банкарскиот пазар со цел да се постават </w:t>
      </w:r>
      <w:r w:rsidRPr="00EB77D6">
        <w:rPr>
          <w:rFonts w:ascii="Times New Roman" w:hAnsi="Times New Roman"/>
          <w:sz w:val="24"/>
          <w:szCs w:val="24"/>
          <w:lang w:val="mk-MK"/>
        </w:rPr>
        <w:t>платите</w:t>
      </w:r>
      <w:r w:rsidRPr="00EB77D6">
        <w:rPr>
          <w:rFonts w:ascii="Times New Roman" w:hAnsi="Times New Roman"/>
          <w:sz w:val="24"/>
          <w:szCs w:val="24"/>
          <w:lang w:val="en-GB"/>
        </w:rPr>
        <w:t xml:space="preserve"> на конкурентни нивоа.</w:t>
      </w:r>
    </w:p>
    <w:p w14:paraId="0A67241E" w14:textId="77777777" w:rsidR="001C5B17" w:rsidRPr="00EB77D6" w:rsidRDefault="001C5B17" w:rsidP="007F0042">
      <w:pPr>
        <w:jc w:val="both"/>
        <w:rPr>
          <w:rFonts w:ascii="Times New Roman" w:hAnsi="Times New Roman"/>
          <w:sz w:val="24"/>
          <w:szCs w:val="24"/>
          <w:lang w:val="en-GB"/>
        </w:rPr>
      </w:pPr>
      <w:r w:rsidRPr="00EB77D6">
        <w:rPr>
          <w:rFonts w:ascii="Times New Roman" w:hAnsi="Times New Roman"/>
          <w:sz w:val="24"/>
          <w:szCs w:val="24"/>
          <w:lang w:val="en-GB"/>
        </w:rPr>
        <w:t xml:space="preserve">Варијабилниот надоместок е помал дел од вкупниот надоместок на менаџментот и вработените во СБ (14%). Уште поважно, Банката има јасно дефинирани кредитни политики и апетит за ризик (одобрени на највисоки нивоа: Групацијата НБГ и Надзорниот одбор на Банката). Дополнително, сите кредитни ризици се преземаат на ниво </w:t>
      </w:r>
      <w:r w:rsidRPr="00EB77D6">
        <w:rPr>
          <w:rFonts w:ascii="Times New Roman" w:hAnsi="Times New Roman"/>
          <w:sz w:val="24"/>
          <w:szCs w:val="24"/>
          <w:lang w:val="mk-MK"/>
        </w:rPr>
        <w:t>на одбори</w:t>
      </w:r>
      <w:r w:rsidRPr="00EB77D6">
        <w:rPr>
          <w:rFonts w:ascii="Times New Roman" w:hAnsi="Times New Roman"/>
          <w:sz w:val="24"/>
          <w:szCs w:val="24"/>
          <w:lang w:val="en-GB"/>
        </w:rPr>
        <w:t xml:space="preserve">, т.е. </w:t>
      </w:r>
      <w:r w:rsidRPr="00EB77D6">
        <w:rPr>
          <w:rFonts w:ascii="Times New Roman" w:hAnsi="Times New Roman"/>
          <w:sz w:val="24"/>
          <w:szCs w:val="24"/>
          <w:lang w:val="mk-MK"/>
        </w:rPr>
        <w:t>не се носат кредитни одлуки од еден вработен</w:t>
      </w:r>
      <w:r w:rsidRPr="00EB77D6">
        <w:rPr>
          <w:rFonts w:ascii="Times New Roman" w:hAnsi="Times New Roman"/>
          <w:sz w:val="24"/>
          <w:szCs w:val="24"/>
          <w:lang w:val="en-GB"/>
        </w:rPr>
        <w:t xml:space="preserve">. Затоа, преземањето ризик на индивидуално ниво е минимизирано и врамено во строги политики. </w:t>
      </w:r>
      <w:r w:rsidRPr="00EB77D6">
        <w:rPr>
          <w:rFonts w:ascii="Times New Roman" w:hAnsi="Times New Roman"/>
          <w:sz w:val="24"/>
          <w:szCs w:val="24"/>
          <w:lang w:val="mk-MK"/>
        </w:rPr>
        <w:t>Дополнително</w:t>
      </w:r>
      <w:r w:rsidRPr="00EB77D6">
        <w:rPr>
          <w:rFonts w:ascii="Times New Roman" w:hAnsi="Times New Roman"/>
          <w:sz w:val="24"/>
          <w:szCs w:val="24"/>
          <w:lang w:val="en-GB"/>
        </w:rPr>
        <w:t xml:space="preserve">, кога се </w:t>
      </w:r>
      <w:r w:rsidRPr="00EB77D6">
        <w:rPr>
          <w:rFonts w:ascii="Times New Roman" w:hAnsi="Times New Roman"/>
          <w:sz w:val="24"/>
          <w:szCs w:val="24"/>
          <w:lang w:val="mk-MK"/>
        </w:rPr>
        <w:t>ис</w:t>
      </w:r>
      <w:r w:rsidRPr="00EB77D6">
        <w:rPr>
          <w:rFonts w:ascii="Times New Roman" w:hAnsi="Times New Roman"/>
          <w:sz w:val="24"/>
          <w:szCs w:val="24"/>
          <w:lang w:val="en-GB"/>
        </w:rPr>
        <w:t xml:space="preserve">плаќа варијабилен </w:t>
      </w:r>
      <w:r w:rsidRPr="00EB77D6">
        <w:rPr>
          <w:rFonts w:ascii="Times New Roman" w:hAnsi="Times New Roman"/>
          <w:sz w:val="24"/>
          <w:szCs w:val="24"/>
          <w:lang w:val="mk-MK"/>
        </w:rPr>
        <w:t>надоместок</w:t>
      </w:r>
      <w:r w:rsidRPr="00EB77D6">
        <w:rPr>
          <w:rFonts w:ascii="Times New Roman" w:hAnsi="Times New Roman"/>
          <w:sz w:val="24"/>
          <w:szCs w:val="24"/>
          <w:lang w:val="en-GB"/>
        </w:rPr>
        <w:t xml:space="preserve">, Политиката за наградување пропишува дека наградувањето не се одредува врз основа на автоматска процедура („формулаичен пристап“), туку треба да ги земе предвид перформансите на вработениот, засегнатата единица и вкупните резултати на Банката. Не е дозволено гарантирано варијабилно наградување, т.е. </w:t>
      </w:r>
      <w:r w:rsidRPr="00EB77D6">
        <w:rPr>
          <w:rFonts w:ascii="Times New Roman" w:hAnsi="Times New Roman"/>
          <w:sz w:val="24"/>
          <w:szCs w:val="24"/>
          <w:lang w:val="mk-MK"/>
        </w:rPr>
        <w:t>варијабилниот надоместок</w:t>
      </w:r>
      <w:r w:rsidRPr="00EB77D6">
        <w:rPr>
          <w:rFonts w:ascii="Times New Roman" w:hAnsi="Times New Roman"/>
          <w:sz w:val="24"/>
          <w:szCs w:val="24"/>
          <w:lang w:val="en-GB"/>
        </w:rPr>
        <w:t xml:space="preserve"> зависи од севкупниот успех на Банката и обично се одобрува само откако ќе се потврдат резултатите на крајот на годината, така што го зема предвид целокупниот успех</w:t>
      </w:r>
      <w:r w:rsidRPr="00EB77D6">
        <w:rPr>
          <w:rFonts w:ascii="Times New Roman" w:hAnsi="Times New Roman"/>
          <w:sz w:val="24"/>
          <w:szCs w:val="24"/>
          <w:lang w:val="mk-MK"/>
        </w:rPr>
        <w:t xml:space="preserve"> и стабилност</w:t>
      </w:r>
      <w:r w:rsidRPr="00EB77D6">
        <w:rPr>
          <w:rFonts w:ascii="Times New Roman" w:hAnsi="Times New Roman"/>
          <w:sz w:val="24"/>
          <w:szCs w:val="24"/>
          <w:lang w:val="en-GB"/>
        </w:rPr>
        <w:t xml:space="preserve"> на Банката пред да одобри награди за менаџментот и неговите вработени.</w:t>
      </w:r>
    </w:p>
    <w:p w14:paraId="31E141E1" w14:textId="77777777" w:rsidR="001C5B17" w:rsidRPr="00EB77D6" w:rsidRDefault="001C5B17" w:rsidP="007F0042">
      <w:pPr>
        <w:jc w:val="both"/>
        <w:rPr>
          <w:rFonts w:ascii="Times New Roman" w:hAnsi="Times New Roman"/>
          <w:sz w:val="24"/>
          <w:szCs w:val="24"/>
          <w:lang w:val="en-GB"/>
        </w:rPr>
      </w:pPr>
      <w:r w:rsidRPr="00EB77D6">
        <w:rPr>
          <w:rFonts w:ascii="Times New Roman" w:hAnsi="Times New Roman"/>
          <w:sz w:val="24"/>
          <w:szCs w:val="24"/>
          <w:lang w:val="en-GB"/>
        </w:rPr>
        <w:t xml:space="preserve">Поради цврстото придржување на Банката до Етичкиот кодекс и целосното усогласување со законодавството и внатрешната политика, секој неуспех на вработениот да се </w:t>
      </w:r>
      <w:r w:rsidRPr="00EB77D6">
        <w:rPr>
          <w:rFonts w:ascii="Times New Roman" w:hAnsi="Times New Roman"/>
          <w:sz w:val="24"/>
          <w:szCs w:val="24"/>
          <w:lang w:val="en-GB"/>
        </w:rPr>
        <w:lastRenderedPageBreak/>
        <w:t xml:space="preserve">придржува кон внатрешните акти </w:t>
      </w:r>
      <w:r w:rsidRPr="00EB77D6">
        <w:rPr>
          <w:rFonts w:ascii="Times New Roman" w:hAnsi="Times New Roman"/>
          <w:sz w:val="24"/>
          <w:szCs w:val="24"/>
          <w:lang w:val="mk-MK"/>
        </w:rPr>
        <w:t xml:space="preserve">односно етичкиот кодекс </w:t>
      </w:r>
      <w:r w:rsidRPr="00EB77D6">
        <w:rPr>
          <w:rFonts w:ascii="Times New Roman" w:hAnsi="Times New Roman"/>
          <w:sz w:val="24"/>
          <w:szCs w:val="24"/>
          <w:lang w:val="en-GB"/>
        </w:rPr>
        <w:t xml:space="preserve">на Банката не може да се надомести со </w:t>
      </w:r>
      <w:r w:rsidRPr="00EB77D6">
        <w:rPr>
          <w:rFonts w:ascii="Times New Roman" w:hAnsi="Times New Roman"/>
          <w:sz w:val="24"/>
          <w:szCs w:val="24"/>
          <w:lang w:val="mk-MK"/>
        </w:rPr>
        <w:t>добро</w:t>
      </w:r>
      <w:r w:rsidRPr="00EB77D6">
        <w:rPr>
          <w:rFonts w:ascii="Times New Roman" w:hAnsi="Times New Roman"/>
          <w:sz w:val="24"/>
          <w:szCs w:val="24"/>
          <w:lang w:val="en-GB"/>
        </w:rPr>
        <w:t xml:space="preserve"> финансиско работење.</w:t>
      </w:r>
    </w:p>
    <w:p w14:paraId="29A92A4F" w14:textId="77777777" w:rsidR="001C5B17" w:rsidRPr="00EB77D6" w:rsidRDefault="001C5B17" w:rsidP="007F0042">
      <w:pPr>
        <w:pStyle w:val="Heading2"/>
        <w:spacing w:line="276" w:lineRule="auto"/>
        <w:jc w:val="both"/>
        <w:rPr>
          <w:rFonts w:eastAsia="Calibri"/>
          <w:b w:val="0"/>
          <w:bCs w:val="0"/>
          <w:szCs w:val="24"/>
          <w:lang w:val="mk-MK"/>
        </w:rPr>
      </w:pPr>
      <w:bookmarkStart w:id="79" w:name="_Toc39126952"/>
      <w:r w:rsidRPr="00EB77D6">
        <w:rPr>
          <w:rFonts w:eastAsia="Calibri"/>
          <w:b w:val="0"/>
          <w:bCs w:val="0"/>
          <w:szCs w:val="24"/>
          <w:lang w:val="mk-MK"/>
        </w:rPr>
        <w:t>Во однос на контролните функции, Надзорниот одбор преку Политиката за наградување и клучните индикатори за работење го утврди начинот на наградување на оваа категорија на вработени, кој не зависи од активностите и работењето на единиците кои се предмет на нивна контрола.</w:t>
      </w:r>
    </w:p>
    <w:p w14:paraId="59C8DCCF" w14:textId="77777777" w:rsidR="001C5B17" w:rsidRPr="00EB77D6" w:rsidRDefault="001C5B17" w:rsidP="001C5B17">
      <w:pPr>
        <w:pStyle w:val="Heading2"/>
        <w:spacing w:line="276" w:lineRule="auto"/>
        <w:ind w:firstLine="720"/>
        <w:jc w:val="both"/>
        <w:rPr>
          <w:rFonts w:eastAsia="Calibri"/>
          <w:b w:val="0"/>
          <w:bCs w:val="0"/>
          <w:szCs w:val="24"/>
          <w:lang w:val="mk-MK"/>
        </w:rPr>
      </w:pPr>
    </w:p>
    <w:p w14:paraId="09CBCF50" w14:textId="77777777" w:rsidR="001C5B17" w:rsidRPr="00EB77D6" w:rsidRDefault="001C5B17" w:rsidP="007F0042">
      <w:pPr>
        <w:pStyle w:val="Heading2"/>
        <w:spacing w:line="276" w:lineRule="auto"/>
        <w:jc w:val="both"/>
        <w:rPr>
          <w:szCs w:val="24"/>
          <w:lang w:val="en-GB"/>
        </w:rPr>
      </w:pPr>
      <w:r w:rsidRPr="00EB77D6">
        <w:rPr>
          <w:b w:val="0"/>
          <w:szCs w:val="24"/>
          <w:lang w:val="mk-MK"/>
        </w:rPr>
        <w:t>Последниот преглед и изменување</w:t>
      </w:r>
      <w:r w:rsidRPr="00EB77D6">
        <w:rPr>
          <w:b w:val="0"/>
          <w:szCs w:val="24"/>
          <w:lang w:val="en-GB"/>
        </w:rPr>
        <w:t xml:space="preserve"> </w:t>
      </w:r>
      <w:r w:rsidRPr="00EB77D6">
        <w:rPr>
          <w:b w:val="0"/>
          <w:szCs w:val="24"/>
          <w:lang w:val="mk-MK"/>
        </w:rPr>
        <w:t>на</w:t>
      </w:r>
      <w:r w:rsidRPr="00EB77D6">
        <w:rPr>
          <w:b w:val="0"/>
          <w:szCs w:val="24"/>
          <w:lang w:val="en-GB"/>
        </w:rPr>
        <w:t xml:space="preserve"> </w:t>
      </w:r>
      <w:r w:rsidRPr="00EB77D6">
        <w:rPr>
          <w:b w:val="0"/>
          <w:szCs w:val="24"/>
          <w:lang w:val="mk-MK"/>
        </w:rPr>
        <w:t>Политиката за наградување</w:t>
      </w:r>
      <w:r w:rsidRPr="00EB77D6">
        <w:rPr>
          <w:b w:val="0"/>
          <w:szCs w:val="24"/>
          <w:lang w:val="en-GB"/>
        </w:rPr>
        <w:t xml:space="preserve"> </w:t>
      </w:r>
      <w:r w:rsidRPr="00EB77D6">
        <w:rPr>
          <w:b w:val="0"/>
          <w:szCs w:val="24"/>
          <w:lang w:val="mk-MK"/>
        </w:rPr>
        <w:t>го</w:t>
      </w:r>
      <w:r w:rsidRPr="00EB77D6">
        <w:rPr>
          <w:b w:val="0"/>
          <w:szCs w:val="24"/>
          <w:lang w:val="en-GB"/>
        </w:rPr>
        <w:t xml:space="preserve"> </w:t>
      </w:r>
      <w:r w:rsidRPr="00EB77D6">
        <w:rPr>
          <w:b w:val="0"/>
          <w:szCs w:val="24"/>
          <w:lang w:val="mk-MK"/>
        </w:rPr>
        <w:t>направи</w:t>
      </w:r>
      <w:r w:rsidRPr="00EB77D6">
        <w:rPr>
          <w:b w:val="0"/>
          <w:szCs w:val="24"/>
          <w:lang w:val="en-GB"/>
        </w:rPr>
        <w:t xml:space="preserve"> </w:t>
      </w:r>
      <w:r w:rsidRPr="00EB77D6">
        <w:rPr>
          <w:b w:val="0"/>
          <w:szCs w:val="24"/>
          <w:lang w:val="mk-MK"/>
        </w:rPr>
        <w:t>Собранието на акционери</w:t>
      </w:r>
      <w:r w:rsidRPr="00EB77D6">
        <w:rPr>
          <w:b w:val="0"/>
          <w:szCs w:val="24"/>
          <w:lang w:val="en-GB"/>
        </w:rPr>
        <w:t xml:space="preserve"> </w:t>
      </w:r>
      <w:r w:rsidRPr="00EB77D6">
        <w:rPr>
          <w:b w:val="0"/>
          <w:szCs w:val="24"/>
          <w:lang w:val="mk-MK"/>
        </w:rPr>
        <w:t>на</w:t>
      </w:r>
      <w:r w:rsidRPr="00EB77D6">
        <w:rPr>
          <w:b w:val="0"/>
          <w:szCs w:val="24"/>
          <w:lang w:val="en-GB"/>
        </w:rPr>
        <w:t xml:space="preserve"> 29.06.2021 </w:t>
      </w:r>
      <w:r w:rsidRPr="00EB77D6">
        <w:rPr>
          <w:b w:val="0"/>
          <w:szCs w:val="24"/>
          <w:lang w:val="mk-MK"/>
        </w:rPr>
        <w:t>година</w:t>
      </w:r>
      <w:r w:rsidRPr="00EB77D6">
        <w:rPr>
          <w:b w:val="0"/>
          <w:szCs w:val="24"/>
          <w:lang w:val="en-GB"/>
        </w:rPr>
        <w:t>.</w:t>
      </w:r>
      <w:bookmarkEnd w:id="79"/>
      <w:r w:rsidRPr="00EB77D6">
        <w:rPr>
          <w:b w:val="0"/>
          <w:szCs w:val="24"/>
          <w:lang w:val="en-GB"/>
        </w:rPr>
        <w:t xml:space="preserve"> </w:t>
      </w:r>
      <w:r w:rsidRPr="00EB77D6">
        <w:rPr>
          <w:b w:val="0"/>
          <w:szCs w:val="24"/>
          <w:lang w:val="en-GB"/>
        </w:rPr>
        <w:br/>
      </w:r>
      <w:r w:rsidRPr="00EB77D6">
        <w:rPr>
          <w:szCs w:val="24"/>
          <w:lang w:val="en-GB"/>
        </w:rPr>
        <w:tab/>
      </w:r>
    </w:p>
    <w:p w14:paraId="6ADCE8EE" w14:textId="77777777" w:rsidR="001C5B17" w:rsidRPr="00EB77D6" w:rsidRDefault="001C5B17" w:rsidP="007F0042">
      <w:pPr>
        <w:jc w:val="both"/>
        <w:rPr>
          <w:rFonts w:ascii="Times New Roman" w:hAnsi="Times New Roman"/>
          <w:sz w:val="24"/>
          <w:szCs w:val="24"/>
        </w:rPr>
      </w:pPr>
      <w:r w:rsidRPr="00EB77D6">
        <w:rPr>
          <w:rFonts w:ascii="Times New Roman" w:hAnsi="Times New Roman"/>
          <w:sz w:val="24"/>
          <w:szCs w:val="24"/>
          <w:lang w:val="mk-MK"/>
        </w:rPr>
        <w:t>Во согласност со Законот за трговски друштва и правилата од Одлуката за добро корпоративно управување, подолу е наведено наградувањето во Стопанска банка согласно регулаторните барања.</w:t>
      </w:r>
      <w:r w:rsidRPr="00EB77D6">
        <w:rPr>
          <w:rFonts w:ascii="Times New Roman" w:hAnsi="Times New Roman"/>
          <w:sz w:val="24"/>
          <w:szCs w:val="24"/>
        </w:rPr>
        <w:t xml:space="preserve"> </w:t>
      </w:r>
    </w:p>
    <w:p w14:paraId="37E0ED7E" w14:textId="77777777" w:rsidR="001C5B17" w:rsidRPr="00EB77D6" w:rsidRDefault="001C5B17" w:rsidP="007F0042">
      <w:pPr>
        <w:jc w:val="both"/>
        <w:rPr>
          <w:rFonts w:ascii="Times New Roman" w:hAnsi="Times New Roman"/>
          <w:sz w:val="24"/>
          <w:szCs w:val="24"/>
          <w:lang w:val="en-GB"/>
        </w:rPr>
      </w:pPr>
      <w:r w:rsidRPr="00EB77D6">
        <w:rPr>
          <w:rFonts w:ascii="Times New Roman" w:hAnsi="Times New Roman"/>
          <w:sz w:val="24"/>
          <w:szCs w:val="24"/>
          <w:lang w:val="mk-MK"/>
        </w:rPr>
        <w:t xml:space="preserve">Нема никакви суштински измени во пристапот на наградување во Банката во текот на 2022 година. </w:t>
      </w:r>
      <w:r w:rsidRPr="00EB77D6">
        <w:rPr>
          <w:rFonts w:ascii="Times New Roman" w:hAnsi="Times New Roman"/>
          <w:sz w:val="24"/>
          <w:szCs w:val="24"/>
          <w:lang w:val="en-GB"/>
        </w:rPr>
        <w:t xml:space="preserve">Во 2022 година не се плаќа надоместок во акции или други права што даваат право на стекнување на акции на </w:t>
      </w:r>
      <w:r w:rsidRPr="00EB77D6">
        <w:rPr>
          <w:rFonts w:ascii="Times New Roman" w:hAnsi="Times New Roman"/>
          <w:sz w:val="24"/>
          <w:szCs w:val="24"/>
          <w:lang w:val="mk-MK"/>
        </w:rPr>
        <w:t>С</w:t>
      </w:r>
      <w:r w:rsidRPr="00EB77D6">
        <w:rPr>
          <w:rFonts w:ascii="Times New Roman" w:hAnsi="Times New Roman"/>
          <w:sz w:val="24"/>
          <w:szCs w:val="24"/>
          <w:lang w:val="en-GB"/>
        </w:rPr>
        <w:t>B.</w:t>
      </w:r>
    </w:p>
    <w:p w14:paraId="6F2F9E8A" w14:textId="75C4EC8D" w:rsidR="007F0042" w:rsidRPr="00EB77D6" w:rsidRDefault="007F0042" w:rsidP="001C5B17">
      <w:pPr>
        <w:ind w:firstLine="720"/>
        <w:jc w:val="both"/>
        <w:rPr>
          <w:rFonts w:ascii="Times New Roman" w:hAnsi="Times New Roman"/>
          <w:sz w:val="24"/>
          <w:szCs w:val="24"/>
          <w:lang w:val="mk-MK"/>
        </w:rPr>
      </w:pPr>
    </w:p>
    <w:p w14:paraId="6E7BCBA2" w14:textId="77777777" w:rsidR="001C5B17" w:rsidRPr="00EB77D6" w:rsidRDefault="001C5B17" w:rsidP="001C5B17">
      <w:pPr>
        <w:pStyle w:val="ListParagraph"/>
        <w:numPr>
          <w:ilvl w:val="0"/>
          <w:numId w:val="24"/>
        </w:numPr>
        <w:spacing w:after="120" w:line="276" w:lineRule="auto"/>
        <w:ind w:left="1267" w:hanging="360"/>
        <w:contextualSpacing w:val="0"/>
        <w:rPr>
          <w:b/>
          <w:lang w:val="en-GB"/>
        </w:rPr>
      </w:pPr>
      <w:r w:rsidRPr="00EB77D6">
        <w:rPr>
          <w:b/>
          <w:lang w:val="mk-MK"/>
        </w:rPr>
        <w:t>Надзорен одбор</w:t>
      </w:r>
      <w:r w:rsidRPr="00EB77D6">
        <w:rPr>
          <w:b/>
          <w:lang w:val="en-GB"/>
        </w:rPr>
        <w:t xml:space="preserve"> </w:t>
      </w:r>
    </w:p>
    <w:p w14:paraId="1E3FFEB7" w14:textId="77777777" w:rsidR="001C5B17" w:rsidRPr="00EB77D6" w:rsidRDefault="001C5B17" w:rsidP="001C5B17">
      <w:pPr>
        <w:ind w:firstLine="720"/>
        <w:jc w:val="both"/>
        <w:rPr>
          <w:rFonts w:ascii="Times New Roman" w:hAnsi="Times New Roman"/>
          <w:sz w:val="24"/>
          <w:szCs w:val="24"/>
          <w:lang w:val="en-GB"/>
        </w:rPr>
      </w:pPr>
      <w:r w:rsidRPr="00EB77D6">
        <w:rPr>
          <w:rFonts w:ascii="Times New Roman" w:hAnsi="Times New Roman"/>
          <w:sz w:val="24"/>
          <w:szCs w:val="24"/>
          <w:lang w:val="mk-MK"/>
        </w:rPr>
        <w:t>Во согласност со најдобрите практики</w:t>
      </w:r>
      <w:r w:rsidRPr="00EB77D6">
        <w:rPr>
          <w:rFonts w:ascii="Times New Roman" w:hAnsi="Times New Roman"/>
          <w:sz w:val="24"/>
          <w:szCs w:val="24"/>
          <w:lang w:val="en-GB"/>
        </w:rPr>
        <w:t xml:space="preserve">, </w:t>
      </w:r>
      <w:r w:rsidRPr="00EB77D6">
        <w:rPr>
          <w:rFonts w:ascii="Times New Roman" w:hAnsi="Times New Roman"/>
          <w:sz w:val="24"/>
          <w:szCs w:val="24"/>
          <w:lang w:val="mk-MK"/>
        </w:rPr>
        <w:t>членовите на Надзорниот одбор се</w:t>
      </w:r>
      <w:r w:rsidRPr="00EB77D6">
        <w:rPr>
          <w:rFonts w:ascii="Times New Roman" w:hAnsi="Times New Roman"/>
          <w:sz w:val="24"/>
          <w:szCs w:val="24"/>
          <w:lang w:val="en-GB"/>
        </w:rPr>
        <w:t xml:space="preserve"> </w:t>
      </w:r>
      <w:r w:rsidRPr="00EB77D6">
        <w:rPr>
          <w:rFonts w:ascii="Times New Roman" w:hAnsi="Times New Roman"/>
          <w:sz w:val="24"/>
          <w:szCs w:val="24"/>
          <w:lang w:val="mk-MK"/>
        </w:rPr>
        <w:t>компензираат</w:t>
      </w:r>
      <w:r w:rsidRPr="00EB77D6">
        <w:rPr>
          <w:rFonts w:ascii="Times New Roman" w:hAnsi="Times New Roman"/>
          <w:sz w:val="24"/>
          <w:szCs w:val="24"/>
          <w:lang w:val="en-GB"/>
        </w:rPr>
        <w:t xml:space="preserve"> </w:t>
      </w:r>
      <w:r w:rsidRPr="00EB77D6">
        <w:rPr>
          <w:rFonts w:ascii="Times New Roman" w:hAnsi="Times New Roman"/>
          <w:sz w:val="24"/>
          <w:szCs w:val="24"/>
          <w:lang w:val="mk-MK"/>
        </w:rPr>
        <w:t>само со фиксен надомест</w:t>
      </w:r>
      <w:r w:rsidRPr="00EB77D6">
        <w:rPr>
          <w:rFonts w:ascii="Times New Roman" w:hAnsi="Times New Roman"/>
          <w:sz w:val="24"/>
          <w:szCs w:val="24"/>
          <w:lang w:val="en-GB"/>
        </w:rPr>
        <w:t xml:space="preserve">, </w:t>
      </w:r>
      <w:r w:rsidRPr="00EB77D6">
        <w:rPr>
          <w:rFonts w:ascii="Times New Roman" w:hAnsi="Times New Roman"/>
          <w:sz w:val="24"/>
          <w:szCs w:val="24"/>
          <w:lang w:val="mk-MK"/>
        </w:rPr>
        <w:t>одобрен од Собранието на акционери</w:t>
      </w:r>
      <w:r w:rsidRPr="00EB77D6">
        <w:rPr>
          <w:rFonts w:ascii="Times New Roman" w:hAnsi="Times New Roman"/>
          <w:sz w:val="24"/>
          <w:szCs w:val="24"/>
          <w:lang w:val="en-GB"/>
        </w:rPr>
        <w:t xml:space="preserve">, </w:t>
      </w:r>
      <w:r w:rsidRPr="00EB77D6">
        <w:rPr>
          <w:rFonts w:ascii="Times New Roman" w:hAnsi="Times New Roman"/>
          <w:sz w:val="24"/>
          <w:szCs w:val="24"/>
          <w:lang w:val="mk-MK"/>
        </w:rPr>
        <w:t>со цел да се минимизира</w:t>
      </w:r>
      <w:r w:rsidRPr="00EB77D6">
        <w:rPr>
          <w:rFonts w:ascii="Times New Roman" w:hAnsi="Times New Roman"/>
          <w:sz w:val="24"/>
          <w:szCs w:val="24"/>
          <w:lang w:val="en-GB"/>
        </w:rPr>
        <w:t xml:space="preserve"> </w:t>
      </w:r>
      <w:r w:rsidRPr="00EB77D6">
        <w:rPr>
          <w:rFonts w:ascii="Times New Roman" w:hAnsi="Times New Roman"/>
          <w:sz w:val="24"/>
          <w:szCs w:val="24"/>
          <w:lang w:val="mk-MK"/>
        </w:rPr>
        <w:t>каков</w:t>
      </w:r>
      <w:r w:rsidRPr="00EB77D6">
        <w:rPr>
          <w:rFonts w:ascii="Times New Roman" w:hAnsi="Times New Roman"/>
          <w:sz w:val="24"/>
          <w:szCs w:val="24"/>
          <w:lang w:val="en-GB"/>
        </w:rPr>
        <w:t xml:space="preserve"> </w:t>
      </w:r>
      <w:r w:rsidRPr="00EB77D6">
        <w:rPr>
          <w:rFonts w:ascii="Times New Roman" w:hAnsi="Times New Roman"/>
          <w:sz w:val="24"/>
          <w:szCs w:val="24"/>
          <w:lang w:val="mk-MK"/>
        </w:rPr>
        <w:t>било судир</w:t>
      </w:r>
      <w:r w:rsidRPr="00EB77D6">
        <w:rPr>
          <w:rFonts w:ascii="Times New Roman" w:hAnsi="Times New Roman"/>
          <w:sz w:val="24"/>
          <w:szCs w:val="24"/>
          <w:lang w:val="en-GB"/>
        </w:rPr>
        <w:t xml:space="preserve"> </w:t>
      </w:r>
      <w:r w:rsidRPr="00EB77D6">
        <w:rPr>
          <w:rFonts w:ascii="Times New Roman" w:hAnsi="Times New Roman"/>
          <w:sz w:val="24"/>
          <w:szCs w:val="24"/>
          <w:lang w:val="mk-MK"/>
        </w:rPr>
        <w:t>на интереси</w:t>
      </w:r>
      <w:r w:rsidRPr="00EB77D6">
        <w:rPr>
          <w:rFonts w:ascii="Times New Roman" w:hAnsi="Times New Roman"/>
          <w:sz w:val="24"/>
          <w:szCs w:val="24"/>
          <w:lang w:val="en-GB"/>
        </w:rPr>
        <w:t xml:space="preserve"> </w:t>
      </w:r>
      <w:r w:rsidRPr="00EB77D6">
        <w:rPr>
          <w:rFonts w:ascii="Times New Roman" w:hAnsi="Times New Roman"/>
          <w:sz w:val="24"/>
          <w:szCs w:val="24"/>
          <w:lang w:val="mk-MK"/>
        </w:rPr>
        <w:t>помеѓу контролата</w:t>
      </w:r>
      <w:r w:rsidRPr="00EB77D6">
        <w:rPr>
          <w:rFonts w:ascii="Times New Roman" w:hAnsi="Times New Roman"/>
          <w:sz w:val="24"/>
          <w:szCs w:val="24"/>
          <w:lang w:val="en-GB"/>
        </w:rPr>
        <w:t xml:space="preserve"> и </w:t>
      </w:r>
      <w:r w:rsidRPr="00EB77D6">
        <w:rPr>
          <w:rFonts w:ascii="Times New Roman" w:hAnsi="Times New Roman"/>
          <w:sz w:val="24"/>
          <w:szCs w:val="24"/>
          <w:lang w:val="mk-MK"/>
        </w:rPr>
        <w:t>управувањето</w:t>
      </w:r>
      <w:r w:rsidRPr="00EB77D6">
        <w:rPr>
          <w:rFonts w:ascii="Times New Roman" w:hAnsi="Times New Roman"/>
          <w:sz w:val="24"/>
          <w:szCs w:val="24"/>
          <w:lang w:val="en-GB"/>
        </w:rPr>
        <w:t xml:space="preserve"> </w:t>
      </w:r>
      <w:r w:rsidRPr="00EB77D6">
        <w:rPr>
          <w:rFonts w:ascii="Times New Roman" w:hAnsi="Times New Roman"/>
          <w:sz w:val="24"/>
          <w:szCs w:val="24"/>
          <w:lang w:val="mk-MK"/>
        </w:rPr>
        <w:t>со</w:t>
      </w:r>
      <w:r w:rsidRPr="00EB77D6">
        <w:rPr>
          <w:rFonts w:ascii="Times New Roman" w:hAnsi="Times New Roman"/>
          <w:sz w:val="24"/>
          <w:szCs w:val="24"/>
          <w:lang w:val="en-GB"/>
        </w:rPr>
        <w:t xml:space="preserve"> </w:t>
      </w:r>
      <w:r w:rsidRPr="00EB77D6">
        <w:rPr>
          <w:rFonts w:ascii="Times New Roman" w:hAnsi="Times New Roman"/>
          <w:sz w:val="24"/>
          <w:szCs w:val="24"/>
          <w:lang w:val="mk-MK"/>
        </w:rPr>
        <w:t>Банката</w:t>
      </w:r>
      <w:r w:rsidRPr="00EB77D6">
        <w:rPr>
          <w:rFonts w:ascii="Times New Roman" w:hAnsi="Times New Roman"/>
          <w:sz w:val="24"/>
          <w:szCs w:val="24"/>
          <w:lang w:val="en-GB"/>
        </w:rPr>
        <w:t xml:space="preserve">. </w:t>
      </w:r>
    </w:p>
    <w:p w14:paraId="181B6582" w14:textId="77777777" w:rsidR="001C5B17" w:rsidRPr="00EB77D6" w:rsidRDefault="001C5B17" w:rsidP="001C5B17">
      <w:pPr>
        <w:pStyle w:val="ListParagraph"/>
        <w:numPr>
          <w:ilvl w:val="0"/>
          <w:numId w:val="25"/>
        </w:numPr>
        <w:tabs>
          <w:tab w:val="left" w:pos="900"/>
          <w:tab w:val="left" w:pos="990"/>
        </w:tabs>
        <w:spacing w:line="276" w:lineRule="auto"/>
        <w:jc w:val="both"/>
        <w:rPr>
          <w:i/>
        </w:rPr>
      </w:pPr>
      <w:r w:rsidRPr="00EB77D6">
        <w:rPr>
          <w:i/>
          <w:lang w:val="mk-MK"/>
        </w:rPr>
        <w:t>Претставници на акционерите</w:t>
      </w:r>
    </w:p>
    <w:p w14:paraId="6E11FA73" w14:textId="77777777" w:rsidR="001C5B17" w:rsidRPr="00EB77D6" w:rsidRDefault="001C5B17" w:rsidP="001C5B17">
      <w:pPr>
        <w:pStyle w:val="ListParagraph"/>
        <w:tabs>
          <w:tab w:val="left" w:pos="900"/>
          <w:tab w:val="left" w:pos="990"/>
        </w:tabs>
        <w:spacing w:line="276" w:lineRule="auto"/>
        <w:ind w:left="1260"/>
        <w:jc w:val="both"/>
      </w:pPr>
      <w:r w:rsidRPr="00EB77D6">
        <w:tab/>
      </w:r>
    </w:p>
    <w:p w14:paraId="42C1FFE5" w14:textId="77777777" w:rsidR="001C5B17" w:rsidRPr="00EB77D6" w:rsidRDefault="001C5B17" w:rsidP="001C5B17">
      <w:pPr>
        <w:tabs>
          <w:tab w:val="left" w:pos="900"/>
          <w:tab w:val="left" w:pos="990"/>
        </w:tabs>
        <w:jc w:val="both"/>
        <w:rPr>
          <w:rFonts w:ascii="Times New Roman" w:eastAsia="Times New Roman" w:hAnsi="Times New Roman"/>
          <w:sz w:val="24"/>
          <w:szCs w:val="24"/>
          <w:lang w:val="mk-MK"/>
        </w:rPr>
      </w:pPr>
      <w:r w:rsidRPr="00EB77D6">
        <w:rPr>
          <w:rFonts w:ascii="Times New Roman" w:hAnsi="Times New Roman"/>
          <w:sz w:val="24"/>
          <w:szCs w:val="24"/>
        </w:rPr>
        <w:tab/>
      </w:r>
      <w:r w:rsidRPr="00EB77D6">
        <w:rPr>
          <w:rFonts w:ascii="Times New Roman" w:eastAsia="Times New Roman" w:hAnsi="Times New Roman"/>
          <w:sz w:val="24"/>
          <w:szCs w:val="24"/>
          <w:lang w:val="mk-MK"/>
        </w:rPr>
        <w:t xml:space="preserve">Во согласност со Одлуката на Управниот Одбор на НБГ, сите службеници од НБГ С.А. Атина кои учествуваат во Надзорниот Одбор на СБ како претставници на акционерите </w:t>
      </w:r>
      <w:r w:rsidRPr="00EB77D6">
        <w:rPr>
          <w:rFonts w:ascii="Times New Roman" w:eastAsia="Times New Roman" w:hAnsi="Times New Roman"/>
          <w:i/>
          <w:sz w:val="24"/>
          <w:szCs w:val="24"/>
          <w:lang w:val="mk-MK"/>
        </w:rPr>
        <w:t xml:space="preserve">не добиваат </w:t>
      </w:r>
      <w:r w:rsidRPr="00EB77D6">
        <w:rPr>
          <w:rFonts w:ascii="Times New Roman" w:eastAsia="Times New Roman" w:hAnsi="Times New Roman"/>
          <w:bCs/>
          <w:sz w:val="24"/>
          <w:szCs w:val="24"/>
          <w:lang w:val="mk-MK"/>
        </w:rPr>
        <w:t>“надоместок за членство”</w:t>
      </w:r>
      <w:r w:rsidRPr="00EB77D6">
        <w:rPr>
          <w:rFonts w:ascii="Times New Roman" w:hAnsi="Times New Roman"/>
          <w:sz w:val="24"/>
          <w:szCs w:val="24"/>
          <w:lang w:val="mk-MK"/>
        </w:rPr>
        <w:t xml:space="preserve">. </w:t>
      </w:r>
      <w:r w:rsidRPr="00EB77D6">
        <w:rPr>
          <w:rFonts w:ascii="Times New Roman" w:eastAsia="Times New Roman" w:hAnsi="Times New Roman"/>
          <w:sz w:val="24"/>
          <w:szCs w:val="24"/>
          <w:lang w:val="mk-MK"/>
        </w:rPr>
        <w:t>Информациите за нагрдувањето што го добиваат како вработени во НБГ С.А. Атина се сметаат за доверливи и не може да се објавуваат.</w:t>
      </w:r>
    </w:p>
    <w:p w14:paraId="2782C03F" w14:textId="77777777" w:rsidR="001C5B17" w:rsidRPr="00EB77D6" w:rsidRDefault="001C5B17" w:rsidP="001C5B17">
      <w:pPr>
        <w:tabs>
          <w:tab w:val="left" w:pos="900"/>
          <w:tab w:val="left" w:pos="990"/>
        </w:tabs>
        <w:jc w:val="both"/>
        <w:rPr>
          <w:rFonts w:ascii="Times New Roman" w:eastAsia="Times New Roman" w:hAnsi="Times New Roman"/>
          <w:sz w:val="24"/>
          <w:szCs w:val="24"/>
          <w:lang w:val="mk-MK"/>
        </w:rPr>
      </w:pPr>
      <w:r w:rsidRPr="00EB77D6">
        <w:rPr>
          <w:rFonts w:ascii="Times New Roman" w:eastAsia="Times New Roman" w:hAnsi="Times New Roman"/>
          <w:sz w:val="24"/>
          <w:szCs w:val="24"/>
          <w:lang w:val="mk-MK"/>
        </w:rPr>
        <w:tab/>
        <w:t xml:space="preserve">Г-динот Лизос, претставник на акционерите во Надзорен одбор кој веќе не е вработен во НБГ Групацијата, добива надоместок за неговата работа на ист начин како што е подолу опишано за независните членови. </w:t>
      </w:r>
    </w:p>
    <w:p w14:paraId="5E15F25F" w14:textId="77777777" w:rsidR="001C5B17" w:rsidRPr="00EB77D6" w:rsidRDefault="001C5B17" w:rsidP="001C5B17">
      <w:pPr>
        <w:pStyle w:val="ListParagraph"/>
        <w:numPr>
          <w:ilvl w:val="0"/>
          <w:numId w:val="25"/>
        </w:numPr>
        <w:spacing w:line="276" w:lineRule="auto"/>
        <w:jc w:val="both"/>
        <w:rPr>
          <w:i/>
          <w:lang w:val="en-GB"/>
        </w:rPr>
      </w:pPr>
      <w:r w:rsidRPr="00EB77D6">
        <w:rPr>
          <w:i/>
          <w:lang w:val="mk-MK"/>
        </w:rPr>
        <w:t>Независни членови</w:t>
      </w:r>
    </w:p>
    <w:p w14:paraId="0B001D47" w14:textId="77777777" w:rsidR="001C5B17" w:rsidRPr="00EB77D6" w:rsidRDefault="001C5B17" w:rsidP="001C5B17">
      <w:pPr>
        <w:pStyle w:val="ListParagraph"/>
        <w:spacing w:line="276" w:lineRule="auto"/>
        <w:ind w:left="1260"/>
        <w:jc w:val="both"/>
        <w:rPr>
          <w:lang w:val="en-GB"/>
        </w:rPr>
      </w:pPr>
    </w:p>
    <w:p w14:paraId="1E6FDC73" w14:textId="77777777" w:rsidR="001C5B17" w:rsidRPr="00EB77D6" w:rsidRDefault="001C5B17" w:rsidP="001C5B17">
      <w:pPr>
        <w:pStyle w:val="ListParagraph"/>
        <w:spacing w:line="276" w:lineRule="auto"/>
        <w:ind w:left="0" w:firstLine="720"/>
        <w:jc w:val="both"/>
        <w:rPr>
          <w:lang w:val="mk-MK"/>
        </w:rPr>
      </w:pPr>
      <w:r w:rsidRPr="00EB77D6">
        <w:rPr>
          <w:lang w:val="mk-MK"/>
        </w:rPr>
        <w:t xml:space="preserve">Независните членови имаат право на надомест во нето износ од ЕУР 400 на месечна основа за нивно учество во Надзорниот одбор и нето износ од ЕУР 100 (за претседателот) и нето износ од ЕУР 50 (за членовите) по седница за нивно учество во Одборот за </w:t>
      </w:r>
      <w:r w:rsidRPr="00EB77D6">
        <w:rPr>
          <w:lang w:val="mk-MK"/>
        </w:rPr>
        <w:lastRenderedPageBreak/>
        <w:t>наградување.</w:t>
      </w:r>
      <w:r w:rsidRPr="00EB77D6">
        <w:t xml:space="preserve"> </w:t>
      </w:r>
      <w:r w:rsidRPr="00EB77D6">
        <w:rPr>
          <w:lang w:val="mk-MK"/>
        </w:rPr>
        <w:t xml:space="preserve">Проф. Филиповски добива надоместок од ЕУР 100 нето износ на месечна основа за неговото учество во Одборот за ревизија.  </w:t>
      </w:r>
    </w:p>
    <w:p w14:paraId="4468EF55" w14:textId="77777777" w:rsidR="001C5B17" w:rsidRPr="00EB77D6" w:rsidRDefault="001C5B17" w:rsidP="001C5B17">
      <w:pPr>
        <w:pStyle w:val="ListParagraph"/>
        <w:spacing w:line="276" w:lineRule="auto"/>
        <w:ind w:left="0" w:firstLine="720"/>
        <w:jc w:val="both"/>
      </w:pPr>
    </w:p>
    <w:p w14:paraId="08B27BA1" w14:textId="77777777" w:rsidR="001C5B17" w:rsidRPr="00EB77D6" w:rsidRDefault="001C5B17" w:rsidP="001C5B17">
      <w:pPr>
        <w:pStyle w:val="ListParagraph"/>
        <w:spacing w:line="276" w:lineRule="auto"/>
        <w:ind w:left="0" w:firstLine="720"/>
        <w:jc w:val="both"/>
        <w:rPr>
          <w:lang w:val="mk-MK"/>
        </w:rPr>
      </w:pPr>
      <w:r w:rsidRPr="00EB77D6">
        <w:rPr>
          <w:lang w:val="mk-MK"/>
        </w:rPr>
        <w:t>Врз основа на плата и надоместоци од плата како вработени на Економскиот факултет во рамки на универзитетот Кирил и Методиј – Скопје</w:t>
      </w:r>
      <w:r w:rsidRPr="00EB77D6">
        <w:t>:</w:t>
      </w:r>
      <w:r w:rsidRPr="00EB77D6">
        <w:rPr>
          <w:lang w:val="mk-MK"/>
        </w:rPr>
        <w:t xml:space="preserve"> </w:t>
      </w:r>
    </w:p>
    <w:p w14:paraId="423D8A9B" w14:textId="77777777" w:rsidR="001C5B17" w:rsidRPr="00EB77D6" w:rsidRDefault="001C5B17" w:rsidP="001C5B17">
      <w:pPr>
        <w:pStyle w:val="ListParagraph"/>
        <w:numPr>
          <w:ilvl w:val="0"/>
          <w:numId w:val="27"/>
        </w:numPr>
        <w:spacing w:line="276" w:lineRule="auto"/>
        <w:jc w:val="both"/>
        <w:rPr>
          <w:lang w:val="mk-MK"/>
        </w:rPr>
      </w:pPr>
      <w:r w:rsidRPr="00EB77D6">
        <w:rPr>
          <w:lang w:val="mk-MK"/>
        </w:rPr>
        <w:t xml:space="preserve">проф. Филиповски примил бруто износ од МКД </w:t>
      </w:r>
      <w:r w:rsidRPr="00EB77D6">
        <w:rPr>
          <w:color w:val="000000"/>
        </w:rPr>
        <w:t xml:space="preserve">1.668.809 </w:t>
      </w:r>
      <w:r w:rsidRPr="00EB77D6">
        <w:rPr>
          <w:lang w:val="mk-MK"/>
        </w:rPr>
        <w:t xml:space="preserve">(годишно), додека пак </w:t>
      </w:r>
    </w:p>
    <w:p w14:paraId="4DFB4236" w14:textId="77777777" w:rsidR="001C5B17" w:rsidRPr="00EB77D6" w:rsidRDefault="001C5B17" w:rsidP="001C5B17">
      <w:pPr>
        <w:pStyle w:val="ListParagraph"/>
        <w:numPr>
          <w:ilvl w:val="0"/>
          <w:numId w:val="27"/>
        </w:numPr>
        <w:spacing w:line="276" w:lineRule="auto"/>
        <w:jc w:val="both"/>
        <w:rPr>
          <w:lang w:val="mk-MK"/>
        </w:rPr>
      </w:pPr>
      <w:r w:rsidRPr="00EB77D6">
        <w:rPr>
          <w:lang w:val="mk-MK"/>
        </w:rPr>
        <w:t xml:space="preserve">проф. Ќосев примил бруто износ од МКД </w:t>
      </w:r>
      <w:r w:rsidRPr="00EB77D6">
        <w:t>1.337.946</w:t>
      </w:r>
      <w:r w:rsidRPr="00EB77D6">
        <w:rPr>
          <w:lang w:val="mk-MK"/>
        </w:rPr>
        <w:t xml:space="preserve"> (годишно).</w:t>
      </w:r>
    </w:p>
    <w:p w14:paraId="3B27ECA8" w14:textId="77777777" w:rsidR="001C5B17" w:rsidRPr="00EB77D6" w:rsidRDefault="001C5B17" w:rsidP="001C5B17">
      <w:pPr>
        <w:pStyle w:val="ListParagraph"/>
        <w:spacing w:line="276" w:lineRule="auto"/>
        <w:ind w:left="0" w:firstLine="720"/>
        <w:jc w:val="both"/>
        <w:rPr>
          <w:color w:val="000000"/>
          <w:highlight w:val="yellow"/>
          <w:lang w:eastAsia="en-GB"/>
        </w:rPr>
      </w:pPr>
    </w:p>
    <w:p w14:paraId="05AEB71C" w14:textId="77777777" w:rsidR="001C5B17" w:rsidRPr="00EB77D6" w:rsidRDefault="001C5B17" w:rsidP="001C5B17">
      <w:pPr>
        <w:pStyle w:val="ListParagraph"/>
        <w:numPr>
          <w:ilvl w:val="0"/>
          <w:numId w:val="24"/>
        </w:numPr>
        <w:spacing w:line="276" w:lineRule="auto"/>
        <w:ind w:left="1440" w:hanging="450"/>
        <w:jc w:val="both"/>
        <w:rPr>
          <w:b/>
          <w:lang w:val="en-GB"/>
        </w:rPr>
      </w:pPr>
      <w:r w:rsidRPr="00EB77D6">
        <w:rPr>
          <w:b/>
          <w:lang w:val="mk-MK"/>
        </w:rPr>
        <w:t>Управен одбор</w:t>
      </w:r>
    </w:p>
    <w:p w14:paraId="1AB36AFE" w14:textId="0A393BD2" w:rsidR="001C5B17" w:rsidRPr="00EB77D6" w:rsidRDefault="001C5B17" w:rsidP="001C5B17">
      <w:pPr>
        <w:spacing w:before="120"/>
        <w:ind w:firstLine="720"/>
        <w:jc w:val="both"/>
        <w:rPr>
          <w:rFonts w:ascii="Times New Roman" w:hAnsi="Times New Roman"/>
          <w:sz w:val="24"/>
          <w:szCs w:val="24"/>
        </w:rPr>
      </w:pPr>
      <w:r w:rsidRPr="00EB77D6">
        <w:rPr>
          <w:rFonts w:ascii="Times New Roman" w:hAnsi="Times New Roman"/>
          <w:sz w:val="24"/>
          <w:szCs w:val="24"/>
          <w:lang w:val="mk-MK"/>
        </w:rPr>
        <w:t>Во</w:t>
      </w:r>
      <w:r w:rsidRPr="00EB77D6">
        <w:rPr>
          <w:rFonts w:ascii="Times New Roman" w:hAnsi="Times New Roman"/>
          <w:sz w:val="24"/>
          <w:szCs w:val="24"/>
        </w:rPr>
        <w:t xml:space="preserve"> 2022, </w:t>
      </w:r>
      <w:r w:rsidRPr="00EB77D6">
        <w:rPr>
          <w:rFonts w:ascii="Times New Roman" w:hAnsi="Times New Roman"/>
          <w:sz w:val="24"/>
          <w:szCs w:val="24"/>
          <w:lang w:val="mk-MK"/>
        </w:rPr>
        <w:t>вкупен бруто износ од</w:t>
      </w:r>
      <w:r w:rsidRPr="00EB77D6">
        <w:rPr>
          <w:rFonts w:ascii="Times New Roman" w:hAnsi="Times New Roman"/>
          <w:sz w:val="24"/>
          <w:szCs w:val="24"/>
        </w:rPr>
        <w:t xml:space="preserve"> </w:t>
      </w:r>
      <w:r w:rsidRPr="00EB77D6">
        <w:rPr>
          <w:rFonts w:ascii="Times New Roman" w:hAnsi="Times New Roman"/>
          <w:sz w:val="24"/>
          <w:szCs w:val="24"/>
          <w:lang w:val="mk-MK"/>
        </w:rPr>
        <w:t>МКД</w:t>
      </w:r>
      <w:r w:rsidRPr="00EB77D6">
        <w:rPr>
          <w:rFonts w:ascii="Times New Roman" w:hAnsi="Times New Roman"/>
          <w:sz w:val="24"/>
          <w:szCs w:val="24"/>
        </w:rPr>
        <w:t xml:space="preserve"> </w:t>
      </w:r>
      <w:r w:rsidR="00EB77D6" w:rsidRPr="00EB77D6">
        <w:rPr>
          <w:rFonts w:ascii="Times New Roman" w:hAnsi="Times New Roman"/>
          <w:sz w:val="24"/>
          <w:szCs w:val="24"/>
          <w:lang w:val="mk-MK"/>
        </w:rPr>
        <w:t>29.</w:t>
      </w:r>
      <w:r w:rsidR="00EB77D6" w:rsidRPr="00EB77D6">
        <w:rPr>
          <w:rFonts w:ascii="Times New Roman" w:hAnsi="Times New Roman"/>
          <w:sz w:val="24"/>
          <w:szCs w:val="24"/>
        </w:rPr>
        <w:t>742</w:t>
      </w:r>
      <w:r w:rsidR="00EB77D6" w:rsidRPr="00EB77D6">
        <w:rPr>
          <w:rFonts w:ascii="Times New Roman" w:hAnsi="Times New Roman"/>
          <w:sz w:val="24"/>
          <w:szCs w:val="24"/>
          <w:lang w:val="mk-MK"/>
        </w:rPr>
        <w:t>.</w:t>
      </w:r>
      <w:r w:rsidR="00EB77D6" w:rsidRPr="00EB77D6">
        <w:rPr>
          <w:rFonts w:ascii="Times New Roman" w:hAnsi="Times New Roman"/>
          <w:sz w:val="24"/>
          <w:szCs w:val="24"/>
        </w:rPr>
        <w:t>392</w:t>
      </w:r>
      <w:r w:rsidR="00EB77D6" w:rsidRPr="00EB77D6">
        <w:rPr>
          <w:rFonts w:ascii="Times New Roman" w:hAnsi="Times New Roman"/>
          <w:sz w:val="24"/>
          <w:szCs w:val="24"/>
          <w:lang w:val="mk-MK"/>
        </w:rPr>
        <w:t xml:space="preserve"> </w:t>
      </w:r>
      <w:r w:rsidRPr="00EB77D6">
        <w:rPr>
          <w:rFonts w:ascii="Times New Roman" w:hAnsi="Times New Roman"/>
          <w:sz w:val="24"/>
          <w:szCs w:val="24"/>
        </w:rPr>
        <w:t>(</w:t>
      </w:r>
      <w:r w:rsidRPr="00EB77D6">
        <w:rPr>
          <w:rFonts w:ascii="Times New Roman" w:hAnsi="Times New Roman"/>
          <w:sz w:val="24"/>
          <w:szCs w:val="24"/>
          <w:lang w:val="mk-MK"/>
        </w:rPr>
        <w:t>фиксен надоместок од</w:t>
      </w:r>
      <w:r w:rsidRPr="00EB77D6">
        <w:rPr>
          <w:rFonts w:ascii="Times New Roman" w:hAnsi="Times New Roman"/>
          <w:sz w:val="24"/>
          <w:szCs w:val="24"/>
        </w:rPr>
        <w:t xml:space="preserve"> </w:t>
      </w:r>
      <w:r w:rsidRPr="00EB77D6">
        <w:rPr>
          <w:rFonts w:ascii="Times New Roman" w:hAnsi="Times New Roman"/>
          <w:sz w:val="24"/>
          <w:szCs w:val="24"/>
          <w:lang w:val="mk-MK"/>
        </w:rPr>
        <w:t>МКД</w:t>
      </w:r>
      <w:r w:rsidRPr="00EB77D6">
        <w:rPr>
          <w:rFonts w:ascii="Times New Roman" w:hAnsi="Times New Roman"/>
          <w:sz w:val="24"/>
          <w:szCs w:val="24"/>
        </w:rPr>
        <w:t xml:space="preserve"> </w:t>
      </w:r>
      <w:r w:rsidR="00EB77D6" w:rsidRPr="00EB77D6">
        <w:rPr>
          <w:rFonts w:ascii="Times New Roman" w:hAnsi="Times New Roman"/>
          <w:sz w:val="24"/>
          <w:szCs w:val="24"/>
        </w:rPr>
        <w:t xml:space="preserve">24.697.401 </w:t>
      </w:r>
      <w:r w:rsidRPr="00EB77D6">
        <w:rPr>
          <w:rFonts w:ascii="Times New Roman" w:hAnsi="Times New Roman"/>
          <w:sz w:val="24"/>
          <w:szCs w:val="24"/>
          <w:lang w:val="mk-MK"/>
        </w:rPr>
        <w:t>и</w:t>
      </w:r>
      <w:r w:rsidRPr="00EB77D6">
        <w:rPr>
          <w:rFonts w:ascii="Times New Roman" w:hAnsi="Times New Roman"/>
          <w:sz w:val="24"/>
          <w:szCs w:val="24"/>
        </w:rPr>
        <w:t xml:space="preserve"> </w:t>
      </w:r>
      <w:r w:rsidRPr="00EB77D6">
        <w:rPr>
          <w:rFonts w:ascii="Times New Roman" w:hAnsi="Times New Roman"/>
          <w:sz w:val="24"/>
          <w:szCs w:val="24"/>
          <w:lang w:val="mk-MK"/>
        </w:rPr>
        <w:t>варијабилен надоместок од</w:t>
      </w:r>
      <w:r w:rsidRPr="00EB77D6">
        <w:rPr>
          <w:rFonts w:ascii="Times New Roman" w:hAnsi="Times New Roman"/>
          <w:sz w:val="24"/>
          <w:szCs w:val="24"/>
        </w:rPr>
        <w:t xml:space="preserve"> </w:t>
      </w:r>
      <w:r w:rsidRPr="00EB77D6">
        <w:rPr>
          <w:rFonts w:ascii="Times New Roman" w:hAnsi="Times New Roman"/>
          <w:sz w:val="24"/>
          <w:szCs w:val="24"/>
          <w:lang w:val="mk-MK"/>
        </w:rPr>
        <w:t>МКД</w:t>
      </w:r>
      <w:r w:rsidRPr="00EB77D6">
        <w:rPr>
          <w:rFonts w:ascii="Times New Roman" w:hAnsi="Times New Roman"/>
          <w:sz w:val="24"/>
          <w:szCs w:val="24"/>
        </w:rPr>
        <w:t xml:space="preserve"> </w:t>
      </w:r>
      <w:r w:rsidR="00EB77D6" w:rsidRPr="00EB77D6">
        <w:rPr>
          <w:rFonts w:ascii="Times New Roman" w:hAnsi="Times New Roman"/>
          <w:sz w:val="24"/>
          <w:szCs w:val="24"/>
        </w:rPr>
        <w:t>5.044.991</w:t>
      </w:r>
      <w:r w:rsidRPr="00EB77D6">
        <w:rPr>
          <w:rFonts w:ascii="Times New Roman" w:hAnsi="Times New Roman"/>
          <w:sz w:val="24"/>
          <w:szCs w:val="24"/>
        </w:rPr>
        <w:t xml:space="preserve">) </w:t>
      </w:r>
      <w:r w:rsidRPr="00EB77D6">
        <w:rPr>
          <w:rFonts w:ascii="Times New Roman" w:hAnsi="Times New Roman"/>
          <w:sz w:val="24"/>
          <w:szCs w:val="24"/>
          <w:lang w:val="mk-MK"/>
        </w:rPr>
        <w:t>е исплатен на четворица членови на Управниот Одбор</w:t>
      </w:r>
      <w:r w:rsidRPr="00EB77D6">
        <w:rPr>
          <w:rFonts w:ascii="Times New Roman" w:hAnsi="Times New Roman"/>
          <w:sz w:val="24"/>
          <w:szCs w:val="24"/>
        </w:rPr>
        <w:t>.</w:t>
      </w:r>
    </w:p>
    <w:p w14:paraId="701C4020" w14:textId="77777777" w:rsidR="001C5B17" w:rsidRPr="00EB77D6" w:rsidRDefault="001C5B17" w:rsidP="001C5B17">
      <w:pPr>
        <w:spacing w:after="0"/>
        <w:jc w:val="both"/>
        <w:rPr>
          <w:rFonts w:ascii="Times New Roman" w:hAnsi="Times New Roman"/>
          <w:i/>
          <w:sz w:val="24"/>
          <w:szCs w:val="24"/>
          <w:lang w:val="mk-MK"/>
        </w:rPr>
      </w:pPr>
      <w:r w:rsidRPr="00EB77D6">
        <w:rPr>
          <w:rFonts w:ascii="Times New Roman" w:hAnsi="Times New Roman"/>
          <w:i/>
          <w:sz w:val="24"/>
          <w:szCs w:val="24"/>
          <w:lang w:val="mk-MK"/>
        </w:rPr>
        <w:t>Надоместок на членови на Управен одбор, по член, 2022 година, бруто износ во денари</w:t>
      </w:r>
    </w:p>
    <w:p w14:paraId="06D51220" w14:textId="54537540" w:rsidR="001C5B17" w:rsidRPr="00EB77D6" w:rsidRDefault="00EB77D6" w:rsidP="001C5B17">
      <w:pPr>
        <w:spacing w:after="0"/>
        <w:jc w:val="both"/>
        <w:rPr>
          <w:rFonts w:ascii="Times New Roman" w:hAnsi="Times New Roman"/>
          <w:i/>
          <w:sz w:val="24"/>
          <w:szCs w:val="24"/>
        </w:rPr>
      </w:pPr>
      <w:r w:rsidRPr="00EB77D6">
        <w:rPr>
          <w:rFonts w:ascii="Times New Roman" w:hAnsi="Times New Roman"/>
          <w:noProof/>
          <w:sz w:val="24"/>
          <w:szCs w:val="24"/>
        </w:rPr>
        <w:drawing>
          <wp:inline distT="0" distB="0" distL="0" distR="0" wp14:anchorId="699AFC3B" wp14:editId="1725FD58">
            <wp:extent cx="4786685" cy="122729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24844" cy="1237081"/>
                    </a:xfrm>
                    <a:prstGeom prst="rect">
                      <a:avLst/>
                    </a:prstGeom>
                    <a:noFill/>
                    <a:ln>
                      <a:noFill/>
                    </a:ln>
                  </pic:spPr>
                </pic:pic>
              </a:graphicData>
            </a:graphic>
          </wp:inline>
        </w:drawing>
      </w:r>
    </w:p>
    <w:p w14:paraId="206C527A" w14:textId="77777777" w:rsidR="00EB77D6" w:rsidRPr="00EB77D6" w:rsidRDefault="00EB77D6" w:rsidP="001C5B17">
      <w:pPr>
        <w:spacing w:after="0"/>
        <w:jc w:val="both"/>
        <w:rPr>
          <w:rFonts w:ascii="Times New Roman" w:hAnsi="Times New Roman"/>
          <w:i/>
          <w:sz w:val="24"/>
          <w:szCs w:val="24"/>
        </w:rPr>
      </w:pPr>
    </w:p>
    <w:p w14:paraId="231FF904" w14:textId="77777777" w:rsidR="001C5B17" w:rsidRPr="00EB77D6" w:rsidRDefault="001C5B17" w:rsidP="001C5B17">
      <w:pPr>
        <w:pStyle w:val="ListParagraph"/>
        <w:numPr>
          <w:ilvl w:val="0"/>
          <w:numId w:val="24"/>
        </w:numPr>
        <w:spacing w:line="276" w:lineRule="auto"/>
        <w:ind w:firstLine="0"/>
        <w:jc w:val="both"/>
        <w:rPr>
          <w:b/>
          <w:lang w:val="en-GB"/>
        </w:rPr>
      </w:pPr>
      <w:r w:rsidRPr="00EB77D6">
        <w:rPr>
          <w:b/>
          <w:lang w:val="en-GB"/>
        </w:rPr>
        <w:t xml:space="preserve"> </w:t>
      </w:r>
      <w:r w:rsidRPr="00EB77D6">
        <w:rPr>
          <w:b/>
          <w:lang w:val="mk-MK"/>
        </w:rPr>
        <w:t>Вработени со материјално влијание врз ризичниот профил и профитабилноста на Банката</w:t>
      </w:r>
    </w:p>
    <w:p w14:paraId="1CA0D1AB" w14:textId="77777777" w:rsidR="001C5B17" w:rsidRPr="00EB77D6" w:rsidRDefault="001C5B17" w:rsidP="001C5B17">
      <w:pPr>
        <w:spacing w:before="120"/>
        <w:ind w:firstLine="720"/>
        <w:jc w:val="both"/>
        <w:rPr>
          <w:rFonts w:ascii="Times New Roman" w:hAnsi="Times New Roman"/>
          <w:sz w:val="24"/>
          <w:szCs w:val="24"/>
          <w:lang w:val="en-GB"/>
        </w:rPr>
      </w:pPr>
      <w:r w:rsidRPr="00EB77D6">
        <w:rPr>
          <w:rFonts w:ascii="Times New Roman" w:hAnsi="Times New Roman"/>
          <w:sz w:val="24"/>
          <w:szCs w:val="24"/>
          <w:lang w:val="mk-MK"/>
        </w:rPr>
        <w:t>Вработените кои потпаѓаат во оваа категорија се определуваат во Политиката за наградување на СБ. Оваа категорија го вклучува менаџментот кој е одговорен за материјални бизнис делови, управување со ризици и контролните функциите во Стопанска банка АД – Скопје. Вкупно 26 вработени се вклучени во оваа група.</w:t>
      </w:r>
    </w:p>
    <w:p w14:paraId="60983DF9" w14:textId="77777777" w:rsidR="001C5B17" w:rsidRPr="00EB77D6" w:rsidRDefault="001C5B17" w:rsidP="001C5B17">
      <w:pPr>
        <w:ind w:firstLine="720"/>
        <w:jc w:val="both"/>
        <w:rPr>
          <w:rFonts w:ascii="Times New Roman" w:hAnsi="Times New Roman"/>
          <w:sz w:val="24"/>
          <w:szCs w:val="24"/>
          <w:lang w:val="mk-MK"/>
        </w:rPr>
      </w:pPr>
      <w:r w:rsidRPr="00EB77D6">
        <w:rPr>
          <w:rFonts w:ascii="Times New Roman" w:hAnsi="Times New Roman"/>
          <w:sz w:val="24"/>
          <w:szCs w:val="24"/>
          <w:lang w:val="mk-MK"/>
        </w:rPr>
        <w:t>Вкупен бруто износ од МКД</w:t>
      </w:r>
      <w:r w:rsidRPr="00EB77D6">
        <w:rPr>
          <w:rFonts w:ascii="Times New Roman" w:hAnsi="Times New Roman"/>
          <w:sz w:val="24"/>
          <w:szCs w:val="24"/>
        </w:rPr>
        <w:t xml:space="preserve"> 67.630.706</w:t>
      </w:r>
      <w:r w:rsidRPr="00EB77D6">
        <w:rPr>
          <w:rFonts w:ascii="Times New Roman" w:hAnsi="Times New Roman"/>
          <w:sz w:val="24"/>
          <w:szCs w:val="24"/>
          <w:lang w:val="mk-MK"/>
        </w:rPr>
        <w:t xml:space="preserve"> </w:t>
      </w:r>
      <w:r w:rsidRPr="00EB77D6">
        <w:rPr>
          <w:rFonts w:ascii="Times New Roman" w:hAnsi="Times New Roman"/>
          <w:sz w:val="24"/>
          <w:szCs w:val="24"/>
        </w:rPr>
        <w:t>(</w:t>
      </w:r>
      <w:r w:rsidRPr="00EB77D6">
        <w:rPr>
          <w:rFonts w:ascii="Times New Roman" w:hAnsi="Times New Roman"/>
          <w:sz w:val="24"/>
          <w:szCs w:val="24"/>
          <w:lang w:val="mk-MK"/>
        </w:rPr>
        <w:t>фиксен надоместок од</w:t>
      </w:r>
      <w:r w:rsidRPr="00EB77D6">
        <w:rPr>
          <w:rFonts w:ascii="Times New Roman" w:hAnsi="Times New Roman"/>
          <w:sz w:val="24"/>
          <w:szCs w:val="24"/>
        </w:rPr>
        <w:t xml:space="preserve"> </w:t>
      </w:r>
      <w:r w:rsidRPr="00EB77D6">
        <w:rPr>
          <w:rFonts w:ascii="Times New Roman" w:hAnsi="Times New Roman"/>
          <w:sz w:val="24"/>
          <w:szCs w:val="24"/>
          <w:lang w:val="mk-MK"/>
        </w:rPr>
        <w:t>МКД</w:t>
      </w:r>
      <w:r w:rsidRPr="00EB77D6">
        <w:rPr>
          <w:rFonts w:ascii="Times New Roman" w:hAnsi="Times New Roman"/>
          <w:sz w:val="24"/>
          <w:szCs w:val="24"/>
        </w:rPr>
        <w:t xml:space="preserve"> 59.339.697 </w:t>
      </w:r>
      <w:r w:rsidRPr="00EB77D6">
        <w:rPr>
          <w:rFonts w:ascii="Times New Roman" w:hAnsi="Times New Roman"/>
          <w:sz w:val="24"/>
          <w:szCs w:val="24"/>
          <w:lang w:val="mk-MK"/>
        </w:rPr>
        <w:t>и варијабилен надоместок од МКД</w:t>
      </w:r>
      <w:r w:rsidRPr="00EB77D6">
        <w:rPr>
          <w:rFonts w:ascii="Times New Roman" w:hAnsi="Times New Roman"/>
          <w:sz w:val="24"/>
          <w:szCs w:val="24"/>
        </w:rPr>
        <w:t xml:space="preserve"> 8.291.009) </w:t>
      </w:r>
      <w:r w:rsidRPr="00EB77D6">
        <w:rPr>
          <w:rFonts w:ascii="Times New Roman" w:hAnsi="Times New Roman"/>
          <w:sz w:val="24"/>
          <w:szCs w:val="24"/>
          <w:lang w:val="mk-MK"/>
        </w:rPr>
        <w:t>е исплатен на вработените со материјално влијание врз ризичниот профил и профитабилноста на Банката.</w:t>
      </w:r>
    </w:p>
    <w:p w14:paraId="4B8E63C8" w14:textId="77777777" w:rsidR="001C5B17" w:rsidRPr="00EB77D6" w:rsidRDefault="001C5B17" w:rsidP="001C5B17">
      <w:pPr>
        <w:pStyle w:val="ListParagraph"/>
        <w:numPr>
          <w:ilvl w:val="0"/>
          <w:numId w:val="24"/>
        </w:numPr>
        <w:spacing w:line="276" w:lineRule="auto"/>
        <w:ind w:firstLine="0"/>
        <w:jc w:val="both"/>
        <w:rPr>
          <w:b/>
          <w:lang w:val="en-GB"/>
        </w:rPr>
      </w:pPr>
      <w:r w:rsidRPr="00EB77D6">
        <w:rPr>
          <w:b/>
          <w:lang w:val="en-GB"/>
        </w:rPr>
        <w:t xml:space="preserve"> </w:t>
      </w:r>
      <w:r w:rsidRPr="00EB77D6">
        <w:rPr>
          <w:b/>
          <w:lang w:val="mk-MK"/>
        </w:rPr>
        <w:t>Други лица со посебни права и одговорности</w:t>
      </w:r>
      <w:r w:rsidRPr="00EB77D6">
        <w:rPr>
          <w:b/>
          <w:lang w:val="en-GB"/>
        </w:rPr>
        <w:t xml:space="preserve"> </w:t>
      </w:r>
    </w:p>
    <w:p w14:paraId="3096BFD5" w14:textId="77777777" w:rsidR="001C5B17" w:rsidRPr="00EB77D6" w:rsidRDefault="001C5B17" w:rsidP="001C5B17">
      <w:pPr>
        <w:spacing w:before="120"/>
        <w:ind w:firstLine="720"/>
        <w:jc w:val="both"/>
        <w:rPr>
          <w:rFonts w:ascii="Times New Roman" w:hAnsi="Times New Roman"/>
          <w:sz w:val="24"/>
          <w:szCs w:val="24"/>
          <w:lang w:val="en-GB"/>
        </w:rPr>
      </w:pPr>
      <w:r w:rsidRPr="00EB77D6">
        <w:rPr>
          <w:rFonts w:ascii="Times New Roman" w:hAnsi="Times New Roman"/>
          <w:sz w:val="24"/>
          <w:szCs w:val="24"/>
          <w:lang w:val="mk-MK"/>
        </w:rPr>
        <w:t>Други лица со посебни права и одговорности се сметаат секторските директори, замениците секторски директори и директорите за специфични прашања кои не се опфатени во претходната категорија. 15 вработени се вклучени во оваа група.</w:t>
      </w:r>
    </w:p>
    <w:p w14:paraId="224A0F7E" w14:textId="77777777" w:rsidR="001C5B17" w:rsidRPr="00EB77D6" w:rsidRDefault="001C5B17" w:rsidP="001C5B17">
      <w:pPr>
        <w:ind w:firstLine="720"/>
        <w:jc w:val="both"/>
        <w:rPr>
          <w:rFonts w:ascii="Times New Roman" w:hAnsi="Times New Roman"/>
          <w:sz w:val="24"/>
          <w:szCs w:val="24"/>
        </w:rPr>
      </w:pPr>
      <w:r w:rsidRPr="00EB77D6">
        <w:rPr>
          <w:rFonts w:ascii="Times New Roman" w:hAnsi="Times New Roman"/>
          <w:sz w:val="24"/>
          <w:szCs w:val="24"/>
          <w:lang w:val="mk-MK"/>
        </w:rPr>
        <w:t>Вкупен бруто износ од МКД</w:t>
      </w:r>
      <w:r w:rsidRPr="00EB77D6">
        <w:rPr>
          <w:rFonts w:ascii="Times New Roman" w:hAnsi="Times New Roman"/>
          <w:sz w:val="24"/>
          <w:szCs w:val="24"/>
        </w:rPr>
        <w:t xml:space="preserve"> 35.119.452</w:t>
      </w:r>
      <w:r w:rsidRPr="00EB77D6">
        <w:rPr>
          <w:rFonts w:ascii="Times New Roman" w:hAnsi="Times New Roman"/>
          <w:sz w:val="24"/>
          <w:szCs w:val="24"/>
          <w:lang w:val="mk-MK"/>
        </w:rPr>
        <w:t xml:space="preserve"> </w:t>
      </w:r>
      <w:r w:rsidRPr="00EB77D6">
        <w:rPr>
          <w:rFonts w:ascii="Times New Roman" w:hAnsi="Times New Roman"/>
          <w:sz w:val="24"/>
          <w:szCs w:val="24"/>
        </w:rPr>
        <w:t>(</w:t>
      </w:r>
      <w:r w:rsidRPr="00EB77D6">
        <w:rPr>
          <w:rFonts w:ascii="Times New Roman" w:hAnsi="Times New Roman"/>
          <w:sz w:val="24"/>
          <w:szCs w:val="24"/>
          <w:lang w:val="mk-MK"/>
        </w:rPr>
        <w:t>плата од</w:t>
      </w:r>
      <w:r w:rsidRPr="00EB77D6">
        <w:rPr>
          <w:rFonts w:ascii="Times New Roman" w:hAnsi="Times New Roman"/>
          <w:sz w:val="24"/>
          <w:szCs w:val="24"/>
        </w:rPr>
        <w:t xml:space="preserve"> </w:t>
      </w:r>
      <w:r w:rsidRPr="00EB77D6">
        <w:rPr>
          <w:rFonts w:ascii="Times New Roman" w:hAnsi="Times New Roman"/>
          <w:sz w:val="24"/>
          <w:szCs w:val="24"/>
          <w:lang w:val="mk-MK"/>
        </w:rPr>
        <w:t>МКД</w:t>
      </w:r>
      <w:r w:rsidRPr="00EB77D6">
        <w:rPr>
          <w:rFonts w:ascii="Times New Roman" w:hAnsi="Times New Roman"/>
          <w:sz w:val="24"/>
          <w:szCs w:val="24"/>
        </w:rPr>
        <w:t xml:space="preserve"> 31.432.643 </w:t>
      </w:r>
      <w:r w:rsidRPr="00EB77D6">
        <w:rPr>
          <w:rFonts w:ascii="Times New Roman" w:hAnsi="Times New Roman"/>
          <w:sz w:val="24"/>
          <w:szCs w:val="24"/>
          <w:lang w:val="mk-MK"/>
        </w:rPr>
        <w:t>и надоместоци од МКД</w:t>
      </w:r>
      <w:r w:rsidRPr="00EB77D6">
        <w:rPr>
          <w:rFonts w:ascii="Times New Roman" w:hAnsi="Times New Roman"/>
          <w:sz w:val="24"/>
          <w:szCs w:val="24"/>
        </w:rPr>
        <w:t xml:space="preserve"> 3.686.809) </w:t>
      </w:r>
      <w:r w:rsidRPr="00EB77D6">
        <w:rPr>
          <w:rFonts w:ascii="Times New Roman" w:hAnsi="Times New Roman"/>
          <w:sz w:val="24"/>
          <w:szCs w:val="24"/>
          <w:lang w:val="mk-MK"/>
        </w:rPr>
        <w:t>е исплатен на другите лица со посебни права и одговорности</w:t>
      </w:r>
      <w:r w:rsidRPr="00EB77D6">
        <w:rPr>
          <w:rFonts w:ascii="Times New Roman" w:hAnsi="Times New Roman"/>
          <w:sz w:val="24"/>
          <w:szCs w:val="24"/>
        </w:rPr>
        <w:t xml:space="preserve">. </w:t>
      </w:r>
    </w:p>
    <w:p w14:paraId="0E4128B2" w14:textId="77777777" w:rsidR="001C5B17" w:rsidRPr="00EB77D6" w:rsidRDefault="001C5B17" w:rsidP="001C5B17">
      <w:pPr>
        <w:spacing w:after="0"/>
        <w:ind w:firstLine="720"/>
        <w:jc w:val="both"/>
        <w:rPr>
          <w:rFonts w:ascii="Times New Roman" w:hAnsi="Times New Roman"/>
          <w:sz w:val="24"/>
          <w:szCs w:val="24"/>
        </w:rPr>
      </w:pPr>
      <w:r w:rsidRPr="00EB77D6">
        <w:rPr>
          <w:rFonts w:ascii="Times New Roman" w:hAnsi="Times New Roman"/>
          <w:sz w:val="24"/>
          <w:szCs w:val="24"/>
        </w:rPr>
        <w:t>*</w:t>
      </w:r>
      <w:r w:rsidRPr="00EB77D6">
        <w:rPr>
          <w:rFonts w:ascii="Times New Roman" w:hAnsi="Times New Roman"/>
          <w:sz w:val="24"/>
          <w:szCs w:val="24"/>
          <w:lang w:val="mk-MK"/>
        </w:rPr>
        <w:t xml:space="preserve"> На крајот од 2022 година, вкупната кредитна изложеност кон лицата со посебни права и одговорности изнесува МКД 75,864.6 илјади што претставува</w:t>
      </w:r>
      <w:r w:rsidRPr="00EB77D6">
        <w:rPr>
          <w:rFonts w:ascii="Times New Roman" w:hAnsi="Times New Roman"/>
          <w:sz w:val="24"/>
          <w:szCs w:val="24"/>
        </w:rPr>
        <w:t xml:space="preserve"> 0.45% </w:t>
      </w:r>
      <w:r w:rsidRPr="00EB77D6">
        <w:rPr>
          <w:rFonts w:ascii="Times New Roman" w:hAnsi="Times New Roman"/>
          <w:sz w:val="24"/>
          <w:szCs w:val="24"/>
          <w:lang w:val="mk-MK"/>
        </w:rPr>
        <w:t xml:space="preserve">од </w:t>
      </w:r>
      <w:r w:rsidRPr="00EB77D6">
        <w:rPr>
          <w:rFonts w:ascii="Times New Roman" w:hAnsi="Times New Roman"/>
          <w:sz w:val="24"/>
          <w:szCs w:val="24"/>
          <w:lang w:val="mk-MK"/>
        </w:rPr>
        <w:lastRenderedPageBreak/>
        <w:t>сопствените средства на Банката</w:t>
      </w:r>
      <w:r w:rsidRPr="00EB77D6">
        <w:rPr>
          <w:rFonts w:ascii="Times New Roman" w:hAnsi="Times New Roman"/>
          <w:sz w:val="24"/>
          <w:szCs w:val="24"/>
        </w:rPr>
        <w:t xml:space="preserve"> </w:t>
      </w:r>
      <w:r w:rsidRPr="00EB77D6">
        <w:rPr>
          <w:rFonts w:ascii="Times New Roman" w:hAnsi="Times New Roman"/>
          <w:sz w:val="24"/>
          <w:szCs w:val="24"/>
          <w:lang w:val="mk-MK"/>
        </w:rPr>
        <w:t>(значително под регулаторниот лимит од 3% од сопствените средства на Банката по лице со посебни права и одговорности и лицата поврзани со него)</w:t>
      </w:r>
      <w:r w:rsidRPr="00EB77D6">
        <w:rPr>
          <w:rFonts w:ascii="Times New Roman" w:hAnsi="Times New Roman"/>
          <w:sz w:val="24"/>
          <w:szCs w:val="24"/>
        </w:rPr>
        <w:t>.</w:t>
      </w:r>
    </w:p>
    <w:p w14:paraId="74C2F8EC" w14:textId="77777777" w:rsidR="001C5B17" w:rsidRPr="00EB77D6" w:rsidRDefault="001C5B17" w:rsidP="001C5B17">
      <w:pPr>
        <w:spacing w:after="0"/>
        <w:ind w:firstLine="720"/>
        <w:jc w:val="both"/>
        <w:rPr>
          <w:rFonts w:ascii="Times New Roman" w:hAnsi="Times New Roman"/>
          <w:sz w:val="24"/>
          <w:szCs w:val="24"/>
          <w:shd w:val="clear" w:color="auto" w:fill="FFFF00"/>
        </w:rPr>
      </w:pPr>
    </w:p>
    <w:p w14:paraId="76D461C7" w14:textId="77777777" w:rsidR="001C5B17" w:rsidRPr="00EB77D6" w:rsidRDefault="001C5B17" w:rsidP="001C5B17">
      <w:pPr>
        <w:spacing w:after="0"/>
        <w:ind w:left="720"/>
        <w:jc w:val="both"/>
        <w:rPr>
          <w:rFonts w:ascii="Times New Roman" w:hAnsi="Times New Roman"/>
          <w:b/>
          <w:sz w:val="24"/>
          <w:szCs w:val="24"/>
        </w:rPr>
      </w:pPr>
      <w:r w:rsidRPr="00EB77D6">
        <w:rPr>
          <w:rFonts w:ascii="Times New Roman" w:hAnsi="Times New Roman"/>
          <w:b/>
          <w:sz w:val="24"/>
          <w:szCs w:val="24"/>
        </w:rPr>
        <w:t xml:space="preserve">9. </w:t>
      </w:r>
      <w:r w:rsidRPr="00EB77D6">
        <w:rPr>
          <w:rFonts w:ascii="Times New Roman" w:hAnsi="Times New Roman"/>
          <w:b/>
          <w:sz w:val="24"/>
          <w:szCs w:val="24"/>
          <w:lang w:val="mk-MK"/>
        </w:rPr>
        <w:t>Корпоративна општествена одговорност</w:t>
      </w:r>
    </w:p>
    <w:p w14:paraId="4CB80CCC" w14:textId="77777777" w:rsidR="001C5B17" w:rsidRPr="00EB77D6" w:rsidRDefault="001C5B17" w:rsidP="001C5B17">
      <w:pPr>
        <w:spacing w:after="0"/>
        <w:jc w:val="both"/>
        <w:rPr>
          <w:rFonts w:ascii="Times New Roman" w:hAnsi="Times New Roman"/>
          <w:b/>
          <w:sz w:val="24"/>
          <w:szCs w:val="24"/>
          <w:highlight w:val="yellow"/>
        </w:rPr>
      </w:pPr>
    </w:p>
    <w:p w14:paraId="4BCFD18A" w14:textId="77777777" w:rsidR="001C5B17" w:rsidRPr="00EB77D6" w:rsidRDefault="001C5B17" w:rsidP="001C5B17">
      <w:pPr>
        <w:jc w:val="both"/>
        <w:rPr>
          <w:rFonts w:ascii="Times New Roman" w:hAnsi="Times New Roman"/>
          <w:sz w:val="24"/>
          <w:szCs w:val="24"/>
          <w:lang w:val="mk-MK"/>
        </w:rPr>
      </w:pPr>
      <w:r w:rsidRPr="00EB77D6">
        <w:rPr>
          <w:rFonts w:ascii="Times New Roman" w:hAnsi="Times New Roman"/>
          <w:sz w:val="24"/>
          <w:szCs w:val="24"/>
        </w:rPr>
        <w:tab/>
      </w:r>
      <w:r w:rsidRPr="00EB77D6">
        <w:rPr>
          <w:rFonts w:ascii="Times New Roman" w:hAnsi="Times New Roman"/>
          <w:sz w:val="24"/>
          <w:szCs w:val="24"/>
          <w:lang w:val="mk-MK"/>
        </w:rPr>
        <w:t xml:space="preserve">Стопанска банка АД – Скопје е една од најактивните општествено одговорни компании во земјата, постојано грижејќи се за заедницата од која потекнува. Преку поддршка на одржливи проекти за промоција на културата, едукацијата, спортот и здравјето Банката е вклучена во речиси секоја сфера на живеење и делување. </w:t>
      </w:r>
    </w:p>
    <w:p w14:paraId="7EA67664" w14:textId="77777777" w:rsidR="001C5B17" w:rsidRPr="00EB77D6" w:rsidRDefault="001C5B17" w:rsidP="001C5B17">
      <w:pPr>
        <w:jc w:val="both"/>
        <w:rPr>
          <w:rFonts w:ascii="Times New Roman" w:hAnsi="Times New Roman"/>
          <w:sz w:val="24"/>
          <w:szCs w:val="24"/>
          <w:lang w:val="mk-MK"/>
        </w:rPr>
      </w:pPr>
      <w:r w:rsidRPr="00EB77D6">
        <w:rPr>
          <w:rFonts w:ascii="Times New Roman" w:hAnsi="Times New Roman"/>
          <w:sz w:val="24"/>
          <w:szCs w:val="24"/>
          <w:lang w:val="mk-MK"/>
        </w:rPr>
        <w:t xml:space="preserve">2022 година продолжи да биде под знакот на истрајноста, упорноста и потребата од заздравување на економијата, како и од воената и енергетската криза, па затоа Банката и во 2022 година продолжи да биде финансиски партнер од доверба на компаниите и на граѓаните преку понуда на финансиски решенија, производи и услуги и нивно прилагодување кон потребите и апетитите на клиентите. </w:t>
      </w:r>
    </w:p>
    <w:p w14:paraId="5318E3AC" w14:textId="77777777" w:rsidR="001C5B17" w:rsidRPr="00EB77D6" w:rsidRDefault="001C5B17" w:rsidP="001C5B17">
      <w:pPr>
        <w:jc w:val="both"/>
        <w:rPr>
          <w:rFonts w:ascii="Times New Roman" w:hAnsi="Times New Roman"/>
          <w:sz w:val="24"/>
          <w:szCs w:val="24"/>
          <w:lang w:val="mk-MK"/>
        </w:rPr>
      </w:pPr>
      <w:r w:rsidRPr="00EB77D6">
        <w:rPr>
          <w:rFonts w:ascii="Times New Roman" w:hAnsi="Times New Roman"/>
          <w:sz w:val="24"/>
          <w:szCs w:val="24"/>
          <w:lang w:val="mk-MK"/>
        </w:rPr>
        <w:t>Во текот на 2022 година Банката реализира голем број на општествено одговорни активности како:</w:t>
      </w:r>
    </w:p>
    <w:p w14:paraId="7CE3155F" w14:textId="77777777" w:rsidR="001C5B17" w:rsidRPr="00EB77D6" w:rsidRDefault="001C5B17" w:rsidP="001C5B17">
      <w:pPr>
        <w:pStyle w:val="ListParagraph"/>
        <w:numPr>
          <w:ilvl w:val="0"/>
          <w:numId w:val="40"/>
        </w:numPr>
        <w:contextualSpacing w:val="0"/>
        <w:jc w:val="both"/>
        <w:rPr>
          <w:lang w:val="mk-MK"/>
        </w:rPr>
      </w:pPr>
      <w:r w:rsidRPr="00EB77D6">
        <w:rPr>
          <w:lang w:val="mk-MK"/>
        </w:rPr>
        <w:t>Донација на медицинска опрема за Градската болница „8-ми септември“ во Скопје</w:t>
      </w:r>
    </w:p>
    <w:p w14:paraId="2EB7E030" w14:textId="77777777" w:rsidR="001C5B17" w:rsidRPr="00EB77D6" w:rsidRDefault="001C5B17" w:rsidP="001C5B17">
      <w:pPr>
        <w:pStyle w:val="ListParagraph"/>
        <w:numPr>
          <w:ilvl w:val="0"/>
          <w:numId w:val="40"/>
        </w:numPr>
        <w:contextualSpacing w:val="0"/>
        <w:jc w:val="both"/>
        <w:rPr>
          <w:lang w:val="mk-MK"/>
        </w:rPr>
      </w:pPr>
      <w:r w:rsidRPr="00EB77D6">
        <w:rPr>
          <w:lang w:val="mk-MK"/>
        </w:rPr>
        <w:t>Спонзорство на „Струмички карневал“ 2022 година</w:t>
      </w:r>
    </w:p>
    <w:p w14:paraId="5F2062E2" w14:textId="77777777" w:rsidR="001C5B17" w:rsidRPr="00EB77D6" w:rsidRDefault="001C5B17" w:rsidP="001C5B17">
      <w:pPr>
        <w:pStyle w:val="ListParagraph"/>
        <w:numPr>
          <w:ilvl w:val="0"/>
          <w:numId w:val="40"/>
        </w:numPr>
        <w:contextualSpacing w:val="0"/>
        <w:jc w:val="both"/>
        <w:rPr>
          <w:lang w:val="mk-MK"/>
        </w:rPr>
      </w:pPr>
      <w:r w:rsidRPr="00EB77D6">
        <w:rPr>
          <w:lang w:val="mk-MK"/>
        </w:rPr>
        <w:t>Спонзорство на „Охридско лето“ 2022 година</w:t>
      </w:r>
    </w:p>
    <w:p w14:paraId="787E62F2" w14:textId="77777777" w:rsidR="001C5B17" w:rsidRPr="00EB77D6" w:rsidRDefault="001C5B17" w:rsidP="001C5B17">
      <w:pPr>
        <w:pStyle w:val="ListParagraph"/>
        <w:numPr>
          <w:ilvl w:val="0"/>
          <w:numId w:val="40"/>
        </w:numPr>
        <w:contextualSpacing w:val="0"/>
        <w:jc w:val="both"/>
        <w:rPr>
          <w:lang w:val="mk-MK"/>
        </w:rPr>
      </w:pPr>
      <w:r w:rsidRPr="00EB77D6">
        <w:rPr>
          <w:lang w:val="mk-MK"/>
        </w:rPr>
        <w:t>Спонзорство на „Скопско лето“ 2022 година</w:t>
      </w:r>
    </w:p>
    <w:p w14:paraId="23A6DEDE" w14:textId="77777777" w:rsidR="001C5B17" w:rsidRPr="00EB77D6" w:rsidRDefault="001C5B17" w:rsidP="001C5B17">
      <w:pPr>
        <w:pStyle w:val="ListParagraph"/>
        <w:numPr>
          <w:ilvl w:val="0"/>
          <w:numId w:val="40"/>
        </w:numPr>
        <w:contextualSpacing w:val="0"/>
        <w:jc w:val="both"/>
        <w:rPr>
          <w:lang w:val="mk-MK"/>
        </w:rPr>
      </w:pPr>
      <w:r w:rsidRPr="00EB77D6">
        <w:rPr>
          <w:lang w:val="mk-MK"/>
        </w:rPr>
        <w:t>Спонзорство на „Галичка свадба“ 2022 година</w:t>
      </w:r>
    </w:p>
    <w:p w14:paraId="53C0B55A" w14:textId="77777777" w:rsidR="001C5B17" w:rsidRPr="00EB77D6" w:rsidRDefault="001C5B17" w:rsidP="001C5B17">
      <w:pPr>
        <w:pStyle w:val="ListParagraph"/>
        <w:numPr>
          <w:ilvl w:val="0"/>
          <w:numId w:val="40"/>
        </w:numPr>
        <w:contextualSpacing w:val="0"/>
        <w:jc w:val="both"/>
        <w:rPr>
          <w:lang w:val="mk-MK"/>
        </w:rPr>
      </w:pPr>
      <w:r w:rsidRPr="00EB77D6">
        <w:rPr>
          <w:lang w:val="mk-MK"/>
        </w:rPr>
        <w:t>Главен спонзор на Скопскиот триатлон 2022</w:t>
      </w:r>
    </w:p>
    <w:p w14:paraId="22FA1B35" w14:textId="77777777" w:rsidR="001C5B17" w:rsidRPr="00EB77D6" w:rsidRDefault="001C5B17" w:rsidP="001C5B17">
      <w:pPr>
        <w:pStyle w:val="ListParagraph"/>
        <w:numPr>
          <w:ilvl w:val="0"/>
          <w:numId w:val="40"/>
        </w:numPr>
        <w:contextualSpacing w:val="0"/>
        <w:jc w:val="both"/>
        <w:rPr>
          <w:lang w:val="mk-MK"/>
        </w:rPr>
      </w:pPr>
      <w:r w:rsidRPr="00EB77D6">
        <w:rPr>
          <w:lang w:val="mk-MK"/>
        </w:rPr>
        <w:t>Спонзорство за Економски факултет Скопје при универзитетот Св. Кирил и Методиј - Скопје</w:t>
      </w:r>
    </w:p>
    <w:p w14:paraId="6FF28E1A" w14:textId="77777777" w:rsidR="001C5B17" w:rsidRPr="00EB77D6" w:rsidRDefault="001C5B17" w:rsidP="001C5B17">
      <w:pPr>
        <w:pStyle w:val="ListParagraph"/>
        <w:numPr>
          <w:ilvl w:val="0"/>
          <w:numId w:val="40"/>
        </w:numPr>
        <w:contextualSpacing w:val="0"/>
        <w:jc w:val="both"/>
        <w:rPr>
          <w:lang w:val="mk-MK"/>
        </w:rPr>
      </w:pPr>
      <w:r w:rsidRPr="00EB77D6">
        <w:rPr>
          <w:lang w:val="mk-MK"/>
        </w:rPr>
        <w:t xml:space="preserve">Спонзорство на Стопанска комора на Северна Македонија </w:t>
      </w:r>
    </w:p>
    <w:p w14:paraId="47427115" w14:textId="77777777" w:rsidR="001C5B17" w:rsidRPr="00EB77D6" w:rsidRDefault="001C5B17" w:rsidP="001C5B17">
      <w:pPr>
        <w:pStyle w:val="ListParagraph"/>
        <w:numPr>
          <w:ilvl w:val="0"/>
          <w:numId w:val="40"/>
        </w:numPr>
        <w:contextualSpacing w:val="0"/>
        <w:jc w:val="both"/>
        <w:rPr>
          <w:lang w:val="mk-MK"/>
        </w:rPr>
      </w:pPr>
      <w:r w:rsidRPr="00EB77D6">
        <w:rPr>
          <w:lang w:val="mk-MK"/>
        </w:rPr>
        <w:t>Спонзорство на Северозападна стопанска комора на Северна Македонија</w:t>
      </w:r>
    </w:p>
    <w:p w14:paraId="5AF9135C" w14:textId="77777777" w:rsidR="001C5B17" w:rsidRPr="00EB77D6" w:rsidRDefault="001C5B17" w:rsidP="001C5B17">
      <w:pPr>
        <w:pStyle w:val="ListParagraph"/>
        <w:numPr>
          <w:ilvl w:val="0"/>
          <w:numId w:val="40"/>
        </w:numPr>
        <w:contextualSpacing w:val="0"/>
        <w:jc w:val="both"/>
        <w:rPr>
          <w:lang w:val="mk-MK"/>
        </w:rPr>
      </w:pPr>
      <w:r w:rsidRPr="00EB77D6">
        <w:rPr>
          <w:lang w:val="mk-MK"/>
        </w:rPr>
        <w:t>Спонзорство на Скопје Економик и Финансиски Форум</w:t>
      </w:r>
    </w:p>
    <w:p w14:paraId="20689D5F" w14:textId="77777777" w:rsidR="001C5B17" w:rsidRPr="00EB77D6" w:rsidRDefault="001C5B17" w:rsidP="001C5B17">
      <w:pPr>
        <w:pStyle w:val="ListParagraph"/>
        <w:numPr>
          <w:ilvl w:val="0"/>
          <w:numId w:val="40"/>
        </w:numPr>
        <w:contextualSpacing w:val="0"/>
        <w:jc w:val="both"/>
        <w:rPr>
          <w:lang w:val="mk-MK"/>
        </w:rPr>
      </w:pPr>
      <w:r w:rsidRPr="00EB77D6">
        <w:rPr>
          <w:lang w:val="mk-MK"/>
        </w:rPr>
        <w:t>Спонзорство на Балкан Економик Форум</w:t>
      </w:r>
    </w:p>
    <w:p w14:paraId="6869FD08" w14:textId="77777777" w:rsidR="001C5B17" w:rsidRPr="00EB77D6" w:rsidRDefault="001C5B17" w:rsidP="001C5B17">
      <w:pPr>
        <w:pStyle w:val="ListParagraph"/>
        <w:numPr>
          <w:ilvl w:val="0"/>
          <w:numId w:val="40"/>
        </w:numPr>
        <w:contextualSpacing w:val="0"/>
        <w:jc w:val="both"/>
        <w:rPr>
          <w:lang w:val="mk-MK"/>
        </w:rPr>
      </w:pPr>
      <w:r w:rsidRPr="00EB77D6">
        <w:rPr>
          <w:lang w:val="mk-MK"/>
        </w:rPr>
        <w:t>Годишно спонзорство на Македонски Олимписки Комитет</w:t>
      </w:r>
    </w:p>
    <w:p w14:paraId="451D0C99" w14:textId="77777777" w:rsidR="001C5B17" w:rsidRPr="00EB77D6" w:rsidRDefault="001C5B17" w:rsidP="001C5B17">
      <w:pPr>
        <w:pStyle w:val="ListParagraph"/>
        <w:numPr>
          <w:ilvl w:val="0"/>
          <w:numId w:val="40"/>
        </w:numPr>
        <w:contextualSpacing w:val="0"/>
        <w:jc w:val="both"/>
        <w:rPr>
          <w:lang w:val="mk-MK"/>
        </w:rPr>
      </w:pPr>
      <w:r w:rsidRPr="00EB77D6">
        <w:rPr>
          <w:lang w:val="mk-MK"/>
        </w:rPr>
        <w:t>Вредни спортски донации преку ваучерите издадени од Агенција за спорт и млади.</w:t>
      </w:r>
    </w:p>
    <w:p w14:paraId="06792A9E" w14:textId="77777777" w:rsidR="001C5B17" w:rsidRPr="00EB77D6" w:rsidRDefault="001C5B17" w:rsidP="001C5B17">
      <w:pPr>
        <w:pStyle w:val="ListParagraph"/>
        <w:numPr>
          <w:ilvl w:val="0"/>
          <w:numId w:val="40"/>
        </w:numPr>
        <w:contextualSpacing w:val="0"/>
        <w:jc w:val="both"/>
        <w:rPr>
          <w:lang w:val="mk-MK"/>
        </w:rPr>
      </w:pPr>
      <w:r w:rsidRPr="00EB77D6">
        <w:rPr>
          <w:lang w:val="mk-MK"/>
        </w:rPr>
        <w:t>Организирани активности за садење на цветни аранжмани на урбани површини во Скопје по повод Денот на штедење и празникот на жената – 8ми Март</w:t>
      </w:r>
    </w:p>
    <w:p w14:paraId="7164AB7D" w14:textId="77777777" w:rsidR="001C5B17" w:rsidRPr="00EB77D6" w:rsidRDefault="001C5B17" w:rsidP="001C5B17">
      <w:pPr>
        <w:pStyle w:val="ListParagraph"/>
        <w:numPr>
          <w:ilvl w:val="0"/>
          <w:numId w:val="40"/>
        </w:numPr>
        <w:contextualSpacing w:val="0"/>
        <w:jc w:val="both"/>
        <w:rPr>
          <w:lang w:val="mk-MK"/>
        </w:rPr>
      </w:pPr>
      <w:r w:rsidRPr="00EB77D6">
        <w:rPr>
          <w:lang w:val="mk-MK"/>
        </w:rPr>
        <w:t>Спонзорство за издавање на книги на еминентни професори и професионалци</w:t>
      </w:r>
    </w:p>
    <w:p w14:paraId="3E13CE2D" w14:textId="77777777" w:rsidR="001C5B17" w:rsidRPr="00EB77D6" w:rsidRDefault="001C5B17" w:rsidP="001C5B17">
      <w:pPr>
        <w:pStyle w:val="ListParagraph"/>
        <w:numPr>
          <w:ilvl w:val="0"/>
          <w:numId w:val="40"/>
        </w:numPr>
        <w:contextualSpacing w:val="0"/>
        <w:jc w:val="both"/>
        <w:rPr>
          <w:lang w:val="mk-MK"/>
        </w:rPr>
      </w:pPr>
      <w:r w:rsidRPr="00EB77D6">
        <w:rPr>
          <w:lang w:val="mk-MK"/>
        </w:rPr>
        <w:t>Донација од масовниот настан „Вози право, вози здраво“ на паркинг места за велосипеди во 15 средни училишта</w:t>
      </w:r>
    </w:p>
    <w:p w14:paraId="18D96041" w14:textId="77777777" w:rsidR="001C5B17" w:rsidRPr="00EB77D6" w:rsidRDefault="001C5B17" w:rsidP="001C5B17">
      <w:pPr>
        <w:pStyle w:val="ListParagraph"/>
        <w:numPr>
          <w:ilvl w:val="0"/>
          <w:numId w:val="40"/>
        </w:numPr>
        <w:contextualSpacing w:val="0"/>
        <w:jc w:val="both"/>
        <w:rPr>
          <w:lang w:val="mk-MK"/>
        </w:rPr>
      </w:pPr>
      <w:r w:rsidRPr="00EB77D6">
        <w:rPr>
          <w:lang w:val="mk-MK"/>
        </w:rPr>
        <w:t>Проектот кој секоја година го повторуваме со 70 нови засадени зимзелени дрва - набавка на големи садници природни елки за филијалите и нивно засадување во природа по новогодишните празници.</w:t>
      </w:r>
    </w:p>
    <w:p w14:paraId="664E5129" w14:textId="77777777" w:rsidR="001C5B17" w:rsidRPr="00EB77D6" w:rsidRDefault="001C5B17" w:rsidP="001C5B17">
      <w:pPr>
        <w:pStyle w:val="ListParagraph"/>
        <w:numPr>
          <w:ilvl w:val="0"/>
          <w:numId w:val="40"/>
        </w:numPr>
        <w:contextualSpacing w:val="0"/>
        <w:jc w:val="both"/>
        <w:rPr>
          <w:lang w:val="mk-MK"/>
        </w:rPr>
      </w:pPr>
      <w:r w:rsidRPr="00EB77D6">
        <w:rPr>
          <w:lang w:val="mk-MK"/>
        </w:rPr>
        <w:t xml:space="preserve">Започнување на голем зелен проект „Зелен ѕид“ со засадување на 350 повеќегодишни дрвја покрај Кејот на Вардар во должина од 14км. Проектот “Зелен </w:t>
      </w:r>
      <w:r w:rsidRPr="00EB77D6">
        <w:rPr>
          <w:lang w:val="mk-MK"/>
        </w:rPr>
        <w:lastRenderedPageBreak/>
        <w:t>ѕид“ продолжува и во следните две години и се планира да има вкупно засадени околу 2000 повеќегодишни дрвја: даб, јапонски цреши, јавор, црвен јавор и други.</w:t>
      </w:r>
    </w:p>
    <w:p w14:paraId="658C90E5" w14:textId="77777777" w:rsidR="001C5B17" w:rsidRPr="00EB77D6" w:rsidRDefault="001C5B17" w:rsidP="001C5B17">
      <w:pPr>
        <w:jc w:val="both"/>
        <w:rPr>
          <w:rFonts w:ascii="Times New Roman" w:hAnsi="Times New Roman"/>
          <w:sz w:val="24"/>
          <w:szCs w:val="24"/>
        </w:rPr>
      </w:pPr>
    </w:p>
    <w:p w14:paraId="5C9F9CD2" w14:textId="77777777" w:rsidR="001C5B17" w:rsidRPr="00EB77D6" w:rsidRDefault="001C5B17" w:rsidP="001C5B17">
      <w:pPr>
        <w:jc w:val="both"/>
        <w:rPr>
          <w:rFonts w:ascii="Times New Roman" w:hAnsi="Times New Roman"/>
          <w:sz w:val="24"/>
          <w:szCs w:val="24"/>
          <w:lang w:val="mk-MK"/>
        </w:rPr>
      </w:pPr>
      <w:r w:rsidRPr="00EB77D6">
        <w:rPr>
          <w:rFonts w:ascii="Times New Roman" w:hAnsi="Times New Roman"/>
          <w:sz w:val="24"/>
          <w:szCs w:val="24"/>
          <w:lang w:val="mk-MK"/>
        </w:rPr>
        <w:t xml:space="preserve">Како заклучок, </w:t>
      </w:r>
      <w:r w:rsidRPr="00EB77D6">
        <w:rPr>
          <w:rFonts w:ascii="Times New Roman" w:hAnsi="Times New Roman"/>
          <w:sz w:val="24"/>
          <w:szCs w:val="24"/>
        </w:rPr>
        <w:t>стратегијата за ООП на Банката во 202</w:t>
      </w:r>
      <w:r w:rsidRPr="00EB77D6">
        <w:rPr>
          <w:rFonts w:ascii="Times New Roman" w:hAnsi="Times New Roman"/>
          <w:sz w:val="24"/>
          <w:szCs w:val="24"/>
          <w:lang w:val="mk-MK"/>
        </w:rPr>
        <w:t>2</w:t>
      </w:r>
      <w:r w:rsidRPr="00EB77D6">
        <w:rPr>
          <w:rFonts w:ascii="Times New Roman" w:hAnsi="Times New Roman"/>
          <w:sz w:val="24"/>
          <w:szCs w:val="24"/>
        </w:rPr>
        <w:t xml:space="preserve"> година </w:t>
      </w:r>
      <w:r w:rsidRPr="00EB77D6">
        <w:rPr>
          <w:rFonts w:ascii="Times New Roman" w:hAnsi="Times New Roman"/>
          <w:sz w:val="24"/>
          <w:szCs w:val="24"/>
          <w:lang w:val="mk-MK"/>
        </w:rPr>
        <w:t xml:space="preserve">е да продолжи да има значајна улога во заедницата од каде што потекнува и функционира и постојано да ја проширува поддршката на проектите од различни сегменти и дејности, со фокус на селектирани области кои традиционално ги поддржува Банката. Сите овие активности </w:t>
      </w:r>
      <w:r w:rsidRPr="00EB77D6">
        <w:rPr>
          <w:rFonts w:ascii="Times New Roman" w:hAnsi="Times New Roman"/>
          <w:sz w:val="24"/>
          <w:szCs w:val="24"/>
        </w:rPr>
        <w:t>значително</w:t>
      </w:r>
      <w:r w:rsidRPr="00EB77D6">
        <w:rPr>
          <w:rFonts w:ascii="Times New Roman" w:hAnsi="Times New Roman"/>
          <w:sz w:val="24"/>
          <w:szCs w:val="24"/>
          <w:lang w:val="mk-MK"/>
        </w:rPr>
        <w:t xml:space="preserve"> </w:t>
      </w:r>
      <w:r w:rsidRPr="00EB77D6">
        <w:rPr>
          <w:rFonts w:ascii="Times New Roman" w:hAnsi="Times New Roman"/>
          <w:sz w:val="24"/>
          <w:szCs w:val="24"/>
        </w:rPr>
        <w:t xml:space="preserve">додаваат на </w:t>
      </w:r>
      <w:r w:rsidRPr="00EB77D6">
        <w:rPr>
          <w:rFonts w:ascii="Times New Roman" w:hAnsi="Times New Roman"/>
          <w:sz w:val="24"/>
          <w:szCs w:val="24"/>
          <w:lang w:val="mk-MK"/>
        </w:rPr>
        <w:t>брендот</w:t>
      </w:r>
      <w:r w:rsidRPr="00EB77D6">
        <w:rPr>
          <w:rFonts w:ascii="Times New Roman" w:hAnsi="Times New Roman"/>
          <w:sz w:val="24"/>
          <w:szCs w:val="24"/>
        </w:rPr>
        <w:t xml:space="preserve"> и на </w:t>
      </w:r>
      <w:r w:rsidRPr="00EB77D6">
        <w:rPr>
          <w:rFonts w:ascii="Times New Roman" w:hAnsi="Times New Roman"/>
          <w:sz w:val="24"/>
          <w:szCs w:val="24"/>
          <w:lang w:val="mk-MK"/>
        </w:rPr>
        <w:t>репутацијата</w:t>
      </w:r>
      <w:r w:rsidRPr="00EB77D6">
        <w:rPr>
          <w:rFonts w:ascii="Times New Roman" w:hAnsi="Times New Roman"/>
          <w:sz w:val="24"/>
          <w:szCs w:val="24"/>
        </w:rPr>
        <w:t xml:space="preserve"> на компанијата</w:t>
      </w:r>
      <w:r w:rsidRPr="00EB77D6">
        <w:rPr>
          <w:rFonts w:ascii="Times New Roman" w:hAnsi="Times New Roman"/>
          <w:sz w:val="24"/>
          <w:szCs w:val="24"/>
          <w:lang w:val="mk-MK"/>
        </w:rPr>
        <w:t xml:space="preserve"> како општествено одговорна институција</w:t>
      </w:r>
      <w:r w:rsidRPr="00EB77D6">
        <w:rPr>
          <w:rFonts w:ascii="Times New Roman" w:hAnsi="Times New Roman"/>
          <w:sz w:val="24"/>
          <w:szCs w:val="24"/>
        </w:rPr>
        <w:t>.</w:t>
      </w:r>
      <w:r w:rsidRPr="00EB77D6">
        <w:rPr>
          <w:rFonts w:ascii="Times New Roman" w:hAnsi="Times New Roman"/>
          <w:sz w:val="24"/>
          <w:szCs w:val="24"/>
          <w:lang w:val="mk-MK"/>
        </w:rPr>
        <w:t xml:space="preserve"> </w:t>
      </w:r>
    </w:p>
    <w:p w14:paraId="72501940" w14:textId="77777777" w:rsidR="001C5B17" w:rsidRPr="00EB77D6" w:rsidRDefault="001C5B17" w:rsidP="001C5B17">
      <w:pPr>
        <w:jc w:val="both"/>
        <w:rPr>
          <w:rFonts w:ascii="Times New Roman" w:hAnsi="Times New Roman"/>
          <w:color w:val="EC008C"/>
          <w:sz w:val="24"/>
          <w:szCs w:val="24"/>
          <w:lang w:val="mk-MK"/>
        </w:rPr>
      </w:pPr>
      <w:r w:rsidRPr="00EB77D6">
        <w:rPr>
          <w:rFonts w:ascii="Times New Roman" w:hAnsi="Times New Roman"/>
          <w:sz w:val="24"/>
          <w:szCs w:val="24"/>
          <w:lang w:val="mk-MK"/>
        </w:rPr>
        <w:t>Банката ќе продолжи и во следните години да ги препознава и поддржува проектите кои се од</w:t>
      </w:r>
      <w:r w:rsidRPr="00EB77D6">
        <w:rPr>
          <w:rFonts w:ascii="Times New Roman" w:hAnsi="Times New Roman"/>
          <w:sz w:val="24"/>
          <w:szCs w:val="24"/>
        </w:rPr>
        <w:t xml:space="preserve"> </w:t>
      </w:r>
      <w:r w:rsidRPr="00EB77D6">
        <w:rPr>
          <w:rFonts w:ascii="Times New Roman" w:hAnsi="Times New Roman"/>
          <w:sz w:val="24"/>
          <w:szCs w:val="24"/>
          <w:lang w:val="mk-MK"/>
        </w:rPr>
        <w:t xml:space="preserve">интерес на пошироката популација. </w:t>
      </w:r>
    </w:p>
    <w:p w14:paraId="05E59AD9" w14:textId="77777777" w:rsidR="001C5B17" w:rsidRPr="00EB77D6" w:rsidRDefault="001C5B17" w:rsidP="001C5B17">
      <w:pPr>
        <w:jc w:val="both"/>
        <w:rPr>
          <w:rFonts w:ascii="Times New Roman" w:hAnsi="Times New Roman"/>
          <w:b/>
          <w:sz w:val="24"/>
          <w:szCs w:val="24"/>
          <w:lang w:val="mk-MK"/>
        </w:rPr>
      </w:pPr>
      <w:r w:rsidRPr="00EB77D6">
        <w:rPr>
          <w:rFonts w:ascii="Times New Roman" w:hAnsi="Times New Roman"/>
          <w:b/>
          <w:sz w:val="24"/>
          <w:szCs w:val="24"/>
          <w:lang w:val="mk-MK"/>
        </w:rPr>
        <w:t xml:space="preserve">9.а. Родова еднаквост и инклузивност  </w:t>
      </w:r>
    </w:p>
    <w:p w14:paraId="54722E34" w14:textId="77777777" w:rsidR="001C5B17" w:rsidRPr="00EB77D6" w:rsidRDefault="001C5B17" w:rsidP="001C5B17">
      <w:pPr>
        <w:jc w:val="both"/>
        <w:rPr>
          <w:rFonts w:ascii="Times New Roman" w:hAnsi="Times New Roman"/>
          <w:sz w:val="24"/>
          <w:szCs w:val="24"/>
          <w:lang w:val="mk-MK"/>
        </w:rPr>
      </w:pPr>
      <w:r w:rsidRPr="00EB77D6">
        <w:rPr>
          <w:rFonts w:ascii="Times New Roman" w:hAnsi="Times New Roman"/>
          <w:sz w:val="24"/>
          <w:szCs w:val="24"/>
          <w:lang w:val="mk-MK"/>
        </w:rPr>
        <w:t xml:space="preserve">Моделот на управување и работење на Стопанска банка АД – Скопје се заснова пред се на разновидност на таленти кои ги имааат потребните вештини, искуство и корпоративна култура да одговорат на предизвиците на банкарското работење и потребите на клиентите и сите засегнати страни на Банката. </w:t>
      </w:r>
    </w:p>
    <w:p w14:paraId="3B6363A6" w14:textId="77777777" w:rsidR="001C5B17" w:rsidRPr="00EB77D6" w:rsidRDefault="001C5B17" w:rsidP="001C5B17">
      <w:pPr>
        <w:jc w:val="both"/>
        <w:rPr>
          <w:rFonts w:ascii="Times New Roman" w:hAnsi="Times New Roman"/>
          <w:sz w:val="24"/>
          <w:szCs w:val="24"/>
          <w:lang w:val="mk-MK"/>
        </w:rPr>
      </w:pPr>
      <w:r w:rsidRPr="00EB77D6">
        <w:rPr>
          <w:rFonts w:ascii="Times New Roman" w:hAnsi="Times New Roman"/>
          <w:sz w:val="24"/>
          <w:szCs w:val="24"/>
          <w:lang w:val="mk-MK"/>
        </w:rPr>
        <w:t xml:space="preserve">Преку различни програми и активности, Банката континуирано поттикнува инклузивна работна средина каде што секој вработен добива еднаква шанса за напредок и реализација на сопствениот потенцијал, без дискриминација по било кој основ. Ваквите принципи постојано Банката наоѓа начини како да ги инкорпорира и унапреди во сите процеси, вклучително и во регрутирањето, обучувањето, развојот и задржувањето на вработените. </w:t>
      </w:r>
    </w:p>
    <w:p w14:paraId="6EF29A37" w14:textId="77777777" w:rsidR="001C5B17" w:rsidRPr="00EB77D6" w:rsidRDefault="001C5B17" w:rsidP="001C5B17">
      <w:pPr>
        <w:jc w:val="both"/>
        <w:rPr>
          <w:rFonts w:ascii="Times New Roman" w:hAnsi="Times New Roman"/>
          <w:sz w:val="24"/>
          <w:szCs w:val="24"/>
          <w:lang w:val="mk-MK"/>
        </w:rPr>
      </w:pPr>
      <w:r w:rsidRPr="00EB77D6">
        <w:rPr>
          <w:rFonts w:ascii="Times New Roman" w:hAnsi="Times New Roman"/>
          <w:sz w:val="24"/>
          <w:szCs w:val="24"/>
          <w:lang w:val="mk-MK"/>
        </w:rPr>
        <w:t xml:space="preserve">Во оваа насока, од аспект на родова еднаквост и инклузивност, Банката има добро балансирана родова структура на </w:t>
      </w:r>
      <w:r w:rsidRPr="00EB77D6">
        <w:rPr>
          <w:rFonts w:ascii="Times New Roman" w:hAnsi="Times New Roman"/>
          <w:b/>
          <w:sz w:val="24"/>
          <w:szCs w:val="24"/>
          <w:lang w:val="mk-MK"/>
        </w:rPr>
        <w:t>сите нивоа</w:t>
      </w:r>
      <w:r w:rsidRPr="00EB77D6">
        <w:rPr>
          <w:rFonts w:ascii="Times New Roman" w:hAnsi="Times New Roman"/>
          <w:sz w:val="24"/>
          <w:szCs w:val="24"/>
          <w:lang w:val="mk-MK"/>
        </w:rPr>
        <w:t xml:space="preserve">. Било каков „дисбаланс“ на одредено ниво, вклучително и во телата на Банката, се должи на конкретните околности (постоечки кадар, достапни кандидати за нови работни места, потребите на Банката, итн.), регулаторните барања и посветеноста кон унапредување на најдобрите таленти во дадениот период без разлика на родова или друг вид припадност. </w:t>
      </w:r>
    </w:p>
    <w:p w14:paraId="6C1311AF" w14:textId="77777777" w:rsidR="001C5B17" w:rsidRPr="00EB77D6" w:rsidRDefault="001C5B17" w:rsidP="001C5B17">
      <w:pPr>
        <w:jc w:val="both"/>
        <w:rPr>
          <w:rFonts w:ascii="Times New Roman" w:hAnsi="Times New Roman"/>
          <w:sz w:val="24"/>
          <w:szCs w:val="24"/>
        </w:rPr>
      </w:pPr>
      <w:r w:rsidRPr="00EB77D6">
        <w:rPr>
          <w:rFonts w:ascii="Times New Roman" w:hAnsi="Times New Roman"/>
          <w:sz w:val="24"/>
          <w:szCs w:val="24"/>
          <w:lang w:val="mk-MK"/>
        </w:rPr>
        <w:t>Следствено, на ниво на цела Банка, односно од вкупниот број на вработени во Стопанска банка АД – Скопје заклучно со 31.12.2022 година</w:t>
      </w:r>
      <w:r w:rsidRPr="00EB77D6">
        <w:rPr>
          <w:rFonts w:ascii="Times New Roman" w:hAnsi="Times New Roman"/>
          <w:sz w:val="24"/>
          <w:szCs w:val="24"/>
        </w:rPr>
        <w:t xml:space="preserve">: </w:t>
      </w:r>
    </w:p>
    <w:p w14:paraId="329A6162" w14:textId="77777777" w:rsidR="001C5B17" w:rsidRPr="00EB77D6" w:rsidRDefault="001C5B17" w:rsidP="001C5B17">
      <w:pPr>
        <w:pStyle w:val="ListParagraph"/>
        <w:numPr>
          <w:ilvl w:val="0"/>
          <w:numId w:val="27"/>
        </w:numPr>
        <w:jc w:val="both"/>
      </w:pPr>
      <w:r w:rsidRPr="00EB77D6">
        <w:rPr>
          <w:lang w:val="mk-MK"/>
        </w:rPr>
        <w:t>Од вкупно 942 вработени, 306 лица се мажи, односно 32</w:t>
      </w:r>
      <w:r w:rsidRPr="00EB77D6">
        <w:t>%</w:t>
      </w:r>
      <w:r w:rsidRPr="00EB77D6">
        <w:rPr>
          <w:lang w:val="mk-MK"/>
        </w:rPr>
        <w:t xml:space="preserve">, а 636 се жени, односно 68%. </w:t>
      </w:r>
    </w:p>
    <w:p w14:paraId="6796BB59" w14:textId="77777777" w:rsidR="001C5B17" w:rsidRPr="00EB77D6" w:rsidRDefault="001C5B17" w:rsidP="001C5B17">
      <w:pPr>
        <w:jc w:val="both"/>
        <w:rPr>
          <w:rFonts w:ascii="Times New Roman" w:hAnsi="Times New Roman"/>
          <w:sz w:val="24"/>
          <w:szCs w:val="24"/>
        </w:rPr>
      </w:pPr>
    </w:p>
    <w:p w14:paraId="1C9E41DE" w14:textId="77777777" w:rsidR="001C5B17" w:rsidRPr="00EB77D6" w:rsidRDefault="001C5B17" w:rsidP="001C5B17">
      <w:pPr>
        <w:jc w:val="center"/>
        <w:rPr>
          <w:rFonts w:ascii="Times New Roman" w:hAnsi="Times New Roman"/>
          <w:sz w:val="24"/>
          <w:szCs w:val="24"/>
        </w:rPr>
      </w:pPr>
      <w:r w:rsidRPr="00EB77D6">
        <w:rPr>
          <w:rFonts w:ascii="Times New Roman" w:hAnsi="Times New Roman"/>
          <w:noProof/>
          <w:sz w:val="24"/>
          <w:szCs w:val="24"/>
        </w:rPr>
        <w:lastRenderedPageBreak/>
        <w:drawing>
          <wp:inline distT="0" distB="0" distL="0" distR="0" wp14:anchorId="04546FD9" wp14:editId="36539C05">
            <wp:extent cx="3773103" cy="226804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95799" cy="2281686"/>
                    </a:xfrm>
                    <a:prstGeom prst="rect">
                      <a:avLst/>
                    </a:prstGeom>
                    <a:noFill/>
                  </pic:spPr>
                </pic:pic>
              </a:graphicData>
            </a:graphic>
          </wp:inline>
        </w:drawing>
      </w:r>
      <w:r w:rsidRPr="00EB77D6">
        <w:rPr>
          <w:rFonts w:ascii="Times New Roman" w:hAnsi="Times New Roman"/>
          <w:sz w:val="24"/>
          <w:szCs w:val="24"/>
          <w:lang w:val="mk-MK"/>
        </w:rPr>
        <w:t xml:space="preserve"> </w:t>
      </w:r>
    </w:p>
    <w:p w14:paraId="7E5190C6" w14:textId="77777777" w:rsidR="001C5B17" w:rsidRPr="00EB77D6" w:rsidRDefault="001C5B17" w:rsidP="001C5B17">
      <w:pPr>
        <w:jc w:val="both"/>
        <w:rPr>
          <w:rFonts w:ascii="Times New Roman" w:hAnsi="Times New Roman"/>
          <w:sz w:val="24"/>
          <w:szCs w:val="24"/>
        </w:rPr>
      </w:pPr>
      <w:r w:rsidRPr="00EB77D6">
        <w:rPr>
          <w:rFonts w:ascii="Times New Roman" w:hAnsi="Times New Roman"/>
          <w:sz w:val="24"/>
          <w:szCs w:val="24"/>
          <w:lang w:val="mk-MK"/>
        </w:rPr>
        <w:t xml:space="preserve">Иста родова структура има Банката и во однос на лицата со посебни права и одговорности (т.н. </w:t>
      </w:r>
      <w:r w:rsidRPr="00EB77D6">
        <w:rPr>
          <w:rFonts w:ascii="Times New Roman" w:hAnsi="Times New Roman"/>
          <w:sz w:val="24"/>
          <w:szCs w:val="24"/>
        </w:rPr>
        <w:t>senior management)</w:t>
      </w:r>
      <w:r w:rsidRPr="00EB77D6">
        <w:rPr>
          <w:rFonts w:ascii="Times New Roman" w:hAnsi="Times New Roman"/>
          <w:sz w:val="24"/>
          <w:szCs w:val="24"/>
          <w:lang w:val="mk-MK"/>
        </w:rPr>
        <w:t xml:space="preserve"> исклуувајќи ги доленаведените тела, односно</w:t>
      </w:r>
      <w:r w:rsidRPr="00EB77D6">
        <w:rPr>
          <w:rFonts w:ascii="Times New Roman" w:hAnsi="Times New Roman"/>
          <w:sz w:val="24"/>
          <w:szCs w:val="24"/>
        </w:rPr>
        <w:t xml:space="preserve">: </w:t>
      </w:r>
    </w:p>
    <w:p w14:paraId="1A2C05CD" w14:textId="77777777" w:rsidR="001C5B17" w:rsidRPr="00EB77D6" w:rsidRDefault="001C5B17" w:rsidP="001C5B17">
      <w:pPr>
        <w:pStyle w:val="ListParagraph"/>
        <w:numPr>
          <w:ilvl w:val="0"/>
          <w:numId w:val="27"/>
        </w:numPr>
        <w:jc w:val="both"/>
      </w:pPr>
      <w:r w:rsidRPr="00EB77D6">
        <w:rPr>
          <w:lang w:val="mk-MK"/>
        </w:rPr>
        <w:t xml:space="preserve">20 </w:t>
      </w:r>
      <w:r w:rsidRPr="00EB77D6">
        <w:t xml:space="preserve">директори/заменици директори на сектори се жени </w:t>
      </w:r>
      <w:r w:rsidRPr="00EB77D6">
        <w:rPr>
          <w:lang w:val="mk-MK"/>
        </w:rPr>
        <w:t>(</w:t>
      </w:r>
      <w:r w:rsidRPr="00EB77D6">
        <w:t xml:space="preserve">63%), </w:t>
      </w:r>
    </w:p>
    <w:p w14:paraId="25E74558" w14:textId="77777777" w:rsidR="001C5B17" w:rsidRPr="00EB77D6" w:rsidRDefault="001C5B17" w:rsidP="001C5B17">
      <w:pPr>
        <w:pStyle w:val="ListParagraph"/>
        <w:numPr>
          <w:ilvl w:val="0"/>
          <w:numId w:val="27"/>
        </w:numPr>
        <w:jc w:val="both"/>
      </w:pPr>
      <w:r w:rsidRPr="00EB77D6">
        <w:rPr>
          <w:lang w:val="mk-MK"/>
        </w:rPr>
        <w:t>12 директори/заменици директори на сектори се мажи (37%).</w:t>
      </w:r>
    </w:p>
    <w:p w14:paraId="345BF977" w14:textId="77777777" w:rsidR="001C5B17" w:rsidRPr="00EB77D6" w:rsidRDefault="001C5B17" w:rsidP="001C5B17">
      <w:pPr>
        <w:jc w:val="both"/>
        <w:rPr>
          <w:rFonts w:ascii="Times New Roman" w:hAnsi="Times New Roman"/>
          <w:sz w:val="24"/>
          <w:szCs w:val="24"/>
          <w:lang w:val="mk-MK"/>
        </w:rPr>
      </w:pPr>
    </w:p>
    <w:p w14:paraId="477E226C" w14:textId="77777777" w:rsidR="001C5B17" w:rsidRPr="00EB77D6" w:rsidRDefault="001C5B17" w:rsidP="001C5B17">
      <w:pPr>
        <w:jc w:val="both"/>
        <w:rPr>
          <w:rFonts w:ascii="Times New Roman" w:hAnsi="Times New Roman"/>
          <w:sz w:val="24"/>
          <w:szCs w:val="24"/>
        </w:rPr>
      </w:pPr>
      <w:r w:rsidRPr="00EB77D6">
        <w:rPr>
          <w:rFonts w:ascii="Times New Roman" w:hAnsi="Times New Roman"/>
          <w:sz w:val="24"/>
          <w:szCs w:val="24"/>
          <w:lang w:val="mk-MK"/>
        </w:rPr>
        <w:t>Во однос на телата на Банката, односно во контекст на препораката од ККУ за котирани друштва на Македонска берза за родова еднаквост до 2025 година, со која се промовира најмалку 30% жени во телата на котираните друштва, во 2022 година Банката</w:t>
      </w:r>
      <w:r w:rsidRPr="00EB77D6">
        <w:rPr>
          <w:rFonts w:ascii="Times New Roman" w:hAnsi="Times New Roman"/>
          <w:sz w:val="24"/>
          <w:szCs w:val="24"/>
        </w:rPr>
        <w:t xml:space="preserve"> </w:t>
      </w:r>
      <w:r w:rsidRPr="00EB77D6">
        <w:rPr>
          <w:rFonts w:ascii="Times New Roman" w:hAnsi="Times New Roman"/>
          <w:sz w:val="24"/>
          <w:szCs w:val="24"/>
          <w:lang w:val="mk-MK"/>
        </w:rPr>
        <w:t>ја има следната ситуација</w:t>
      </w:r>
      <w:r w:rsidRPr="00EB77D6">
        <w:rPr>
          <w:rFonts w:ascii="Times New Roman" w:hAnsi="Times New Roman"/>
          <w:sz w:val="24"/>
          <w:szCs w:val="24"/>
        </w:rPr>
        <w:t>:</w:t>
      </w:r>
    </w:p>
    <w:tbl>
      <w:tblPr>
        <w:tblStyle w:val="TableGridLight"/>
        <w:tblW w:w="9265" w:type="dxa"/>
        <w:tblLook w:val="04A0" w:firstRow="1" w:lastRow="0" w:firstColumn="1" w:lastColumn="0" w:noHBand="0" w:noVBand="1"/>
      </w:tblPr>
      <w:tblGrid>
        <w:gridCol w:w="2390"/>
        <w:gridCol w:w="1079"/>
        <w:gridCol w:w="1081"/>
        <w:gridCol w:w="782"/>
        <w:gridCol w:w="3933"/>
      </w:tblGrid>
      <w:tr w:rsidR="001C5B17" w:rsidRPr="00EB77D6" w14:paraId="2604AA9B" w14:textId="77777777" w:rsidTr="001C5B17">
        <w:tc>
          <w:tcPr>
            <w:tcW w:w="2404" w:type="dxa"/>
            <w:shd w:val="clear" w:color="auto" w:fill="F2F2F2" w:themeFill="background1" w:themeFillShade="F2"/>
          </w:tcPr>
          <w:p w14:paraId="4CFB5B0E" w14:textId="77777777" w:rsidR="001C5B17" w:rsidRPr="00EB77D6" w:rsidRDefault="001C5B17" w:rsidP="001C5B17">
            <w:pPr>
              <w:jc w:val="both"/>
              <w:rPr>
                <w:rFonts w:ascii="Times New Roman" w:hAnsi="Times New Roman"/>
                <w:b/>
                <w:szCs w:val="24"/>
                <w:lang w:val="mk-MK"/>
              </w:rPr>
            </w:pPr>
            <w:r w:rsidRPr="00EB77D6">
              <w:rPr>
                <w:rFonts w:ascii="Times New Roman" w:hAnsi="Times New Roman"/>
                <w:b/>
                <w:szCs w:val="24"/>
                <w:lang w:val="mk-MK"/>
              </w:rPr>
              <w:t>Статутарно тело на СБ</w:t>
            </w:r>
          </w:p>
        </w:tc>
        <w:tc>
          <w:tcPr>
            <w:tcW w:w="1079" w:type="dxa"/>
            <w:shd w:val="clear" w:color="auto" w:fill="F2F2F2" w:themeFill="background1" w:themeFillShade="F2"/>
          </w:tcPr>
          <w:p w14:paraId="61E10F69" w14:textId="77777777" w:rsidR="001C5B17" w:rsidRPr="00EB77D6" w:rsidRDefault="001C5B17" w:rsidP="001C5B17">
            <w:pPr>
              <w:jc w:val="both"/>
              <w:rPr>
                <w:rFonts w:ascii="Times New Roman" w:hAnsi="Times New Roman"/>
                <w:b/>
                <w:szCs w:val="24"/>
                <w:lang w:val="mk-MK"/>
              </w:rPr>
            </w:pPr>
            <w:r w:rsidRPr="00EB77D6">
              <w:rPr>
                <w:rFonts w:ascii="Times New Roman" w:hAnsi="Times New Roman"/>
                <w:b/>
                <w:szCs w:val="24"/>
                <w:lang w:val="mk-MK"/>
              </w:rPr>
              <w:t>Вкупно членови</w:t>
            </w:r>
          </w:p>
        </w:tc>
        <w:tc>
          <w:tcPr>
            <w:tcW w:w="1038" w:type="dxa"/>
            <w:shd w:val="clear" w:color="auto" w:fill="F2F2F2" w:themeFill="background1" w:themeFillShade="F2"/>
          </w:tcPr>
          <w:p w14:paraId="12191B7E" w14:textId="77777777" w:rsidR="001C5B17" w:rsidRPr="00EB77D6" w:rsidRDefault="001C5B17" w:rsidP="001C5B17">
            <w:pPr>
              <w:jc w:val="both"/>
              <w:rPr>
                <w:rFonts w:ascii="Times New Roman" w:hAnsi="Times New Roman"/>
                <w:b/>
                <w:szCs w:val="24"/>
                <w:lang w:val="mk-MK"/>
              </w:rPr>
            </w:pPr>
            <w:r w:rsidRPr="00EB77D6">
              <w:rPr>
                <w:rFonts w:ascii="Times New Roman" w:hAnsi="Times New Roman"/>
                <w:b/>
                <w:szCs w:val="24"/>
                <w:lang w:val="mk-MK"/>
              </w:rPr>
              <w:t>Членови жени</w:t>
            </w:r>
          </w:p>
        </w:tc>
        <w:tc>
          <w:tcPr>
            <w:tcW w:w="784" w:type="dxa"/>
            <w:shd w:val="clear" w:color="auto" w:fill="F2F2F2" w:themeFill="background1" w:themeFillShade="F2"/>
          </w:tcPr>
          <w:p w14:paraId="68407D46" w14:textId="77777777" w:rsidR="001C5B17" w:rsidRPr="00EB77D6" w:rsidRDefault="001C5B17" w:rsidP="001C5B17">
            <w:pPr>
              <w:jc w:val="both"/>
              <w:rPr>
                <w:rFonts w:ascii="Times New Roman" w:hAnsi="Times New Roman"/>
                <w:b/>
                <w:szCs w:val="24"/>
                <w:lang w:val="mk-MK"/>
              </w:rPr>
            </w:pPr>
            <w:r w:rsidRPr="00EB77D6">
              <w:rPr>
                <w:rFonts w:ascii="Times New Roman" w:hAnsi="Times New Roman"/>
                <w:b/>
                <w:szCs w:val="24"/>
                <w:lang w:val="mk-MK"/>
              </w:rPr>
              <w:t>%</w:t>
            </w:r>
          </w:p>
        </w:tc>
        <w:tc>
          <w:tcPr>
            <w:tcW w:w="3960" w:type="dxa"/>
            <w:shd w:val="clear" w:color="auto" w:fill="F2F2F2" w:themeFill="background1" w:themeFillShade="F2"/>
          </w:tcPr>
          <w:p w14:paraId="0D12D1BB" w14:textId="77777777" w:rsidR="001C5B17" w:rsidRPr="00EB77D6" w:rsidRDefault="001C5B17" w:rsidP="001C5B17">
            <w:pPr>
              <w:rPr>
                <w:rFonts w:ascii="Times New Roman" w:hAnsi="Times New Roman"/>
                <w:b/>
                <w:szCs w:val="24"/>
                <w:lang w:val="mk-MK"/>
              </w:rPr>
            </w:pPr>
            <w:r w:rsidRPr="00EB77D6">
              <w:rPr>
                <w:rFonts w:ascii="Times New Roman" w:hAnsi="Times New Roman"/>
                <w:b/>
                <w:szCs w:val="24"/>
                <w:lang w:val="mk-MK"/>
              </w:rPr>
              <w:t>Мерки за обезбедување на 30% родова еднаквост</w:t>
            </w:r>
          </w:p>
        </w:tc>
      </w:tr>
      <w:tr w:rsidR="001C5B17" w:rsidRPr="00EB77D6" w14:paraId="3693A126" w14:textId="77777777" w:rsidTr="001C5B17">
        <w:tc>
          <w:tcPr>
            <w:tcW w:w="2404" w:type="dxa"/>
          </w:tcPr>
          <w:p w14:paraId="1C11D494" w14:textId="77777777" w:rsidR="001C5B17" w:rsidRPr="00EB77D6" w:rsidRDefault="001C5B17" w:rsidP="001C5B17">
            <w:pPr>
              <w:jc w:val="both"/>
              <w:rPr>
                <w:rFonts w:ascii="Times New Roman" w:hAnsi="Times New Roman"/>
                <w:szCs w:val="24"/>
                <w:lang w:val="mk-MK"/>
              </w:rPr>
            </w:pPr>
            <w:r w:rsidRPr="00EB77D6">
              <w:rPr>
                <w:rFonts w:ascii="Times New Roman" w:hAnsi="Times New Roman"/>
                <w:szCs w:val="24"/>
                <w:lang w:val="mk-MK"/>
              </w:rPr>
              <w:t>Надзорен одбор</w:t>
            </w:r>
          </w:p>
        </w:tc>
        <w:tc>
          <w:tcPr>
            <w:tcW w:w="1079" w:type="dxa"/>
          </w:tcPr>
          <w:p w14:paraId="7314E431" w14:textId="77777777" w:rsidR="001C5B17" w:rsidRPr="00EB77D6" w:rsidRDefault="001C5B17" w:rsidP="001C5B17">
            <w:pPr>
              <w:jc w:val="center"/>
              <w:rPr>
                <w:rFonts w:ascii="Times New Roman" w:hAnsi="Times New Roman"/>
                <w:szCs w:val="24"/>
                <w:lang w:val="mk-MK"/>
              </w:rPr>
            </w:pPr>
            <w:r w:rsidRPr="00EB77D6">
              <w:rPr>
                <w:rFonts w:ascii="Times New Roman" w:hAnsi="Times New Roman"/>
                <w:szCs w:val="24"/>
                <w:lang w:val="mk-MK"/>
              </w:rPr>
              <w:t>7</w:t>
            </w:r>
          </w:p>
        </w:tc>
        <w:tc>
          <w:tcPr>
            <w:tcW w:w="1038" w:type="dxa"/>
          </w:tcPr>
          <w:p w14:paraId="03830F03" w14:textId="77777777" w:rsidR="001C5B17" w:rsidRPr="00EB77D6" w:rsidRDefault="001C5B17" w:rsidP="001C5B17">
            <w:pPr>
              <w:jc w:val="center"/>
              <w:rPr>
                <w:rFonts w:ascii="Times New Roman" w:hAnsi="Times New Roman"/>
                <w:szCs w:val="24"/>
                <w:lang w:val="mk-MK"/>
              </w:rPr>
            </w:pPr>
            <w:r w:rsidRPr="00EB77D6">
              <w:rPr>
                <w:rFonts w:ascii="Times New Roman" w:hAnsi="Times New Roman"/>
                <w:szCs w:val="24"/>
                <w:lang w:val="mk-MK"/>
              </w:rPr>
              <w:t>1</w:t>
            </w:r>
          </w:p>
        </w:tc>
        <w:tc>
          <w:tcPr>
            <w:tcW w:w="784" w:type="dxa"/>
          </w:tcPr>
          <w:p w14:paraId="55E38615" w14:textId="77777777" w:rsidR="001C5B17" w:rsidRPr="00EB77D6" w:rsidRDefault="001C5B17" w:rsidP="001C5B17">
            <w:pPr>
              <w:jc w:val="center"/>
              <w:rPr>
                <w:rFonts w:ascii="Times New Roman" w:hAnsi="Times New Roman"/>
                <w:szCs w:val="24"/>
                <w:lang w:val="mk-MK"/>
              </w:rPr>
            </w:pPr>
            <w:r w:rsidRPr="00EB77D6">
              <w:rPr>
                <w:rFonts w:ascii="Times New Roman" w:hAnsi="Times New Roman"/>
                <w:szCs w:val="24"/>
                <w:lang w:val="mk-MK"/>
              </w:rPr>
              <w:t>15%</w:t>
            </w:r>
          </w:p>
        </w:tc>
        <w:tc>
          <w:tcPr>
            <w:tcW w:w="3960" w:type="dxa"/>
          </w:tcPr>
          <w:p w14:paraId="149BC2FA" w14:textId="77777777" w:rsidR="001C5B17" w:rsidRPr="00EB77D6" w:rsidRDefault="001C5B17" w:rsidP="001C5B17">
            <w:pPr>
              <w:jc w:val="both"/>
              <w:rPr>
                <w:rFonts w:ascii="Times New Roman" w:hAnsi="Times New Roman"/>
                <w:szCs w:val="24"/>
              </w:rPr>
            </w:pPr>
            <w:r w:rsidRPr="00EB77D6">
              <w:rPr>
                <w:rFonts w:ascii="Times New Roman" w:hAnsi="Times New Roman"/>
                <w:szCs w:val="24"/>
                <w:lang w:val="mk-MK"/>
              </w:rPr>
              <w:t xml:space="preserve">При следното именување на членови на Надзорниот одбор Банката ќе ја има предвид ваквата поставеност и родовата припадност ќе биде дел од критериумите во профилирањето при промена / дополнување на составот на Надзорниот одбор. </w:t>
            </w:r>
          </w:p>
        </w:tc>
      </w:tr>
      <w:tr w:rsidR="001C5B17" w:rsidRPr="00EB77D6" w14:paraId="652DBCDE" w14:textId="77777777" w:rsidTr="001C5B17">
        <w:trPr>
          <w:trHeight w:val="1313"/>
        </w:trPr>
        <w:tc>
          <w:tcPr>
            <w:tcW w:w="2404" w:type="dxa"/>
          </w:tcPr>
          <w:p w14:paraId="589A0EB6" w14:textId="77777777" w:rsidR="001C5B17" w:rsidRPr="00EB77D6" w:rsidRDefault="001C5B17" w:rsidP="001C5B17">
            <w:pPr>
              <w:jc w:val="both"/>
              <w:rPr>
                <w:rFonts w:ascii="Times New Roman" w:hAnsi="Times New Roman"/>
                <w:szCs w:val="24"/>
                <w:lang w:val="mk-MK"/>
              </w:rPr>
            </w:pPr>
            <w:r w:rsidRPr="00EB77D6">
              <w:rPr>
                <w:rFonts w:ascii="Times New Roman" w:hAnsi="Times New Roman"/>
                <w:szCs w:val="24"/>
                <w:lang w:val="mk-MK"/>
              </w:rPr>
              <w:t>Одбор за ревизија</w:t>
            </w:r>
          </w:p>
        </w:tc>
        <w:tc>
          <w:tcPr>
            <w:tcW w:w="1079" w:type="dxa"/>
          </w:tcPr>
          <w:p w14:paraId="29334924" w14:textId="77777777" w:rsidR="001C5B17" w:rsidRPr="00EB77D6" w:rsidRDefault="001C5B17" w:rsidP="001C5B17">
            <w:pPr>
              <w:jc w:val="center"/>
              <w:rPr>
                <w:rFonts w:ascii="Times New Roman" w:hAnsi="Times New Roman"/>
                <w:szCs w:val="24"/>
                <w:lang w:val="mk-MK"/>
              </w:rPr>
            </w:pPr>
            <w:r w:rsidRPr="00EB77D6">
              <w:rPr>
                <w:rFonts w:ascii="Times New Roman" w:hAnsi="Times New Roman"/>
                <w:szCs w:val="24"/>
                <w:lang w:val="mk-MK"/>
              </w:rPr>
              <w:t>5</w:t>
            </w:r>
          </w:p>
        </w:tc>
        <w:tc>
          <w:tcPr>
            <w:tcW w:w="1038" w:type="dxa"/>
          </w:tcPr>
          <w:p w14:paraId="2F89A892" w14:textId="77777777" w:rsidR="001C5B17" w:rsidRPr="00EB77D6" w:rsidRDefault="001C5B17" w:rsidP="001C5B17">
            <w:pPr>
              <w:jc w:val="center"/>
              <w:rPr>
                <w:rFonts w:ascii="Times New Roman" w:hAnsi="Times New Roman"/>
                <w:szCs w:val="24"/>
                <w:lang w:val="mk-MK"/>
              </w:rPr>
            </w:pPr>
            <w:r w:rsidRPr="00EB77D6">
              <w:rPr>
                <w:rFonts w:ascii="Times New Roman" w:hAnsi="Times New Roman"/>
                <w:szCs w:val="24"/>
                <w:lang w:val="mk-MK"/>
              </w:rPr>
              <w:t>2</w:t>
            </w:r>
          </w:p>
        </w:tc>
        <w:tc>
          <w:tcPr>
            <w:tcW w:w="784" w:type="dxa"/>
          </w:tcPr>
          <w:p w14:paraId="4F14AF3F" w14:textId="77777777" w:rsidR="001C5B17" w:rsidRPr="00EB77D6" w:rsidRDefault="001C5B17" w:rsidP="001C5B17">
            <w:pPr>
              <w:jc w:val="center"/>
              <w:rPr>
                <w:rFonts w:ascii="Times New Roman" w:hAnsi="Times New Roman"/>
                <w:szCs w:val="24"/>
                <w:lang w:val="mk-MK"/>
              </w:rPr>
            </w:pPr>
            <w:r w:rsidRPr="00EB77D6">
              <w:rPr>
                <w:rFonts w:ascii="Times New Roman" w:hAnsi="Times New Roman"/>
                <w:szCs w:val="24"/>
                <w:lang w:val="mk-MK"/>
              </w:rPr>
              <w:t>40%</w:t>
            </w:r>
          </w:p>
        </w:tc>
        <w:tc>
          <w:tcPr>
            <w:tcW w:w="3960" w:type="dxa"/>
          </w:tcPr>
          <w:p w14:paraId="6793E54B" w14:textId="77777777" w:rsidR="001C5B17" w:rsidRPr="00EB77D6" w:rsidRDefault="001C5B17" w:rsidP="001C5B17">
            <w:pPr>
              <w:jc w:val="both"/>
              <w:rPr>
                <w:rFonts w:ascii="Times New Roman" w:hAnsi="Times New Roman"/>
                <w:b/>
                <w:szCs w:val="24"/>
                <w:lang w:val="mk-MK"/>
              </w:rPr>
            </w:pPr>
            <w:r w:rsidRPr="00EB77D6">
              <w:rPr>
                <w:rFonts w:ascii="Times New Roman" w:hAnsi="Times New Roman"/>
                <w:b/>
                <w:szCs w:val="24"/>
                <w:lang w:val="mk-MK"/>
              </w:rPr>
              <w:t xml:space="preserve">Препораката е имплементирана. </w:t>
            </w:r>
          </w:p>
          <w:p w14:paraId="2FD04D2E" w14:textId="77777777" w:rsidR="001C5B17" w:rsidRPr="00EB77D6" w:rsidRDefault="001C5B17" w:rsidP="001C5B17">
            <w:pPr>
              <w:jc w:val="both"/>
              <w:rPr>
                <w:rFonts w:ascii="Times New Roman" w:hAnsi="Times New Roman"/>
                <w:szCs w:val="24"/>
                <w:lang w:val="mk-MK"/>
              </w:rPr>
            </w:pPr>
            <w:r w:rsidRPr="00EB77D6">
              <w:rPr>
                <w:rFonts w:ascii="Times New Roman" w:hAnsi="Times New Roman"/>
                <w:szCs w:val="24"/>
                <w:lang w:val="mk-MK"/>
              </w:rPr>
              <w:t xml:space="preserve">Банката ќе настојува да го задржи постојниот баланс на родова еднаквост во иднина. </w:t>
            </w:r>
          </w:p>
        </w:tc>
      </w:tr>
      <w:tr w:rsidR="001C5B17" w:rsidRPr="00EB77D6" w14:paraId="0D6ECFFC" w14:textId="77777777" w:rsidTr="001C5B17">
        <w:tc>
          <w:tcPr>
            <w:tcW w:w="2404" w:type="dxa"/>
          </w:tcPr>
          <w:p w14:paraId="26B384B7" w14:textId="77777777" w:rsidR="001C5B17" w:rsidRPr="00EB77D6" w:rsidRDefault="001C5B17" w:rsidP="001C5B17">
            <w:pPr>
              <w:jc w:val="both"/>
              <w:rPr>
                <w:rFonts w:ascii="Times New Roman" w:hAnsi="Times New Roman"/>
                <w:szCs w:val="24"/>
                <w:lang w:val="mk-MK"/>
              </w:rPr>
            </w:pPr>
            <w:r w:rsidRPr="00EB77D6">
              <w:rPr>
                <w:rFonts w:ascii="Times New Roman" w:hAnsi="Times New Roman"/>
                <w:szCs w:val="24"/>
                <w:lang w:val="mk-MK"/>
              </w:rPr>
              <w:t>Одбор за наградување</w:t>
            </w:r>
          </w:p>
        </w:tc>
        <w:tc>
          <w:tcPr>
            <w:tcW w:w="1079" w:type="dxa"/>
          </w:tcPr>
          <w:p w14:paraId="4FF721D1" w14:textId="77777777" w:rsidR="001C5B17" w:rsidRPr="00EB77D6" w:rsidRDefault="001C5B17" w:rsidP="001C5B17">
            <w:pPr>
              <w:jc w:val="center"/>
              <w:rPr>
                <w:rFonts w:ascii="Times New Roman" w:hAnsi="Times New Roman"/>
                <w:szCs w:val="24"/>
                <w:lang w:val="mk-MK"/>
              </w:rPr>
            </w:pPr>
            <w:r w:rsidRPr="00EB77D6">
              <w:rPr>
                <w:rFonts w:ascii="Times New Roman" w:hAnsi="Times New Roman"/>
                <w:szCs w:val="24"/>
                <w:lang w:val="mk-MK"/>
              </w:rPr>
              <w:t>3</w:t>
            </w:r>
          </w:p>
        </w:tc>
        <w:tc>
          <w:tcPr>
            <w:tcW w:w="1038" w:type="dxa"/>
          </w:tcPr>
          <w:p w14:paraId="56D937C0" w14:textId="77777777" w:rsidR="001C5B17" w:rsidRPr="00EB77D6" w:rsidRDefault="001C5B17" w:rsidP="001C5B17">
            <w:pPr>
              <w:jc w:val="center"/>
              <w:rPr>
                <w:rFonts w:ascii="Times New Roman" w:hAnsi="Times New Roman"/>
                <w:szCs w:val="24"/>
                <w:lang w:val="mk-MK"/>
              </w:rPr>
            </w:pPr>
            <w:r w:rsidRPr="00EB77D6">
              <w:rPr>
                <w:rFonts w:ascii="Times New Roman" w:hAnsi="Times New Roman"/>
                <w:szCs w:val="24"/>
                <w:lang w:val="mk-MK"/>
              </w:rPr>
              <w:t>-</w:t>
            </w:r>
          </w:p>
        </w:tc>
        <w:tc>
          <w:tcPr>
            <w:tcW w:w="784" w:type="dxa"/>
          </w:tcPr>
          <w:p w14:paraId="663C9F02" w14:textId="77777777" w:rsidR="001C5B17" w:rsidRPr="00EB77D6" w:rsidRDefault="001C5B17" w:rsidP="001C5B17">
            <w:pPr>
              <w:jc w:val="center"/>
              <w:rPr>
                <w:rFonts w:ascii="Times New Roman" w:hAnsi="Times New Roman"/>
                <w:szCs w:val="24"/>
                <w:lang w:val="mk-MK"/>
              </w:rPr>
            </w:pPr>
            <w:r w:rsidRPr="00EB77D6">
              <w:rPr>
                <w:rFonts w:ascii="Times New Roman" w:hAnsi="Times New Roman"/>
                <w:szCs w:val="24"/>
                <w:lang w:val="mk-MK"/>
              </w:rPr>
              <w:t>0%</w:t>
            </w:r>
          </w:p>
        </w:tc>
        <w:tc>
          <w:tcPr>
            <w:tcW w:w="3960" w:type="dxa"/>
          </w:tcPr>
          <w:p w14:paraId="3EACFCE6" w14:textId="77777777" w:rsidR="001C5B17" w:rsidRPr="00EB77D6" w:rsidRDefault="001C5B17" w:rsidP="001C5B17">
            <w:pPr>
              <w:jc w:val="both"/>
              <w:rPr>
                <w:rFonts w:ascii="Times New Roman" w:hAnsi="Times New Roman"/>
                <w:szCs w:val="24"/>
                <w:lang w:val="mk-MK"/>
              </w:rPr>
            </w:pPr>
            <w:r w:rsidRPr="00EB77D6">
              <w:rPr>
                <w:rFonts w:ascii="Times New Roman" w:hAnsi="Times New Roman"/>
                <w:szCs w:val="24"/>
                <w:lang w:val="mk-MK"/>
              </w:rPr>
              <w:t xml:space="preserve">Членовите на Одборот за наградување се статутарно и регулаторно определени да бидат мнозинството независни членови – претставници на </w:t>
            </w:r>
            <w:r w:rsidRPr="00EB77D6">
              <w:rPr>
                <w:rFonts w:ascii="Times New Roman" w:hAnsi="Times New Roman"/>
                <w:szCs w:val="24"/>
                <w:lang w:val="mk-MK"/>
              </w:rPr>
              <w:lastRenderedPageBreak/>
              <w:t xml:space="preserve">Надзорниот одбор како и членови со конкретно искуство релевантно за работењето на Одборот. </w:t>
            </w:r>
          </w:p>
        </w:tc>
      </w:tr>
      <w:tr w:rsidR="001C5B17" w:rsidRPr="00EB77D6" w14:paraId="1B264732" w14:textId="77777777" w:rsidTr="001C5B17">
        <w:tc>
          <w:tcPr>
            <w:tcW w:w="2404" w:type="dxa"/>
          </w:tcPr>
          <w:p w14:paraId="6F2DB483" w14:textId="77777777" w:rsidR="001C5B17" w:rsidRPr="00EB77D6" w:rsidRDefault="001C5B17" w:rsidP="001C5B17">
            <w:pPr>
              <w:jc w:val="both"/>
              <w:rPr>
                <w:rFonts w:ascii="Times New Roman" w:hAnsi="Times New Roman"/>
                <w:szCs w:val="24"/>
                <w:lang w:val="mk-MK"/>
              </w:rPr>
            </w:pPr>
            <w:r w:rsidRPr="00EB77D6">
              <w:rPr>
                <w:rFonts w:ascii="Times New Roman" w:hAnsi="Times New Roman"/>
                <w:szCs w:val="24"/>
                <w:lang w:val="mk-MK"/>
              </w:rPr>
              <w:lastRenderedPageBreak/>
              <w:t>Одбор за управување со ризици</w:t>
            </w:r>
          </w:p>
        </w:tc>
        <w:tc>
          <w:tcPr>
            <w:tcW w:w="1079" w:type="dxa"/>
          </w:tcPr>
          <w:p w14:paraId="4772E7BF" w14:textId="77777777" w:rsidR="001C5B17" w:rsidRPr="00EB77D6" w:rsidRDefault="001C5B17" w:rsidP="001C5B17">
            <w:pPr>
              <w:jc w:val="center"/>
              <w:rPr>
                <w:rFonts w:ascii="Times New Roman" w:hAnsi="Times New Roman"/>
                <w:szCs w:val="24"/>
                <w:lang w:val="mk-MK"/>
              </w:rPr>
            </w:pPr>
            <w:r w:rsidRPr="00EB77D6">
              <w:rPr>
                <w:rFonts w:ascii="Times New Roman" w:hAnsi="Times New Roman"/>
                <w:szCs w:val="24"/>
                <w:lang w:val="mk-MK"/>
              </w:rPr>
              <w:t>9</w:t>
            </w:r>
          </w:p>
        </w:tc>
        <w:tc>
          <w:tcPr>
            <w:tcW w:w="1038" w:type="dxa"/>
          </w:tcPr>
          <w:p w14:paraId="1E31626E" w14:textId="77777777" w:rsidR="001C5B17" w:rsidRPr="00EB77D6" w:rsidRDefault="001C5B17" w:rsidP="001C5B17">
            <w:pPr>
              <w:jc w:val="center"/>
              <w:rPr>
                <w:rFonts w:ascii="Times New Roman" w:hAnsi="Times New Roman"/>
                <w:szCs w:val="24"/>
                <w:lang w:val="mk-MK"/>
              </w:rPr>
            </w:pPr>
            <w:r w:rsidRPr="00EB77D6">
              <w:rPr>
                <w:rFonts w:ascii="Times New Roman" w:hAnsi="Times New Roman"/>
                <w:szCs w:val="24"/>
                <w:lang w:val="mk-MK"/>
              </w:rPr>
              <w:t>3</w:t>
            </w:r>
          </w:p>
        </w:tc>
        <w:tc>
          <w:tcPr>
            <w:tcW w:w="784" w:type="dxa"/>
          </w:tcPr>
          <w:p w14:paraId="6799D9D8" w14:textId="77777777" w:rsidR="001C5B17" w:rsidRPr="00EB77D6" w:rsidRDefault="001C5B17" w:rsidP="001C5B17">
            <w:pPr>
              <w:jc w:val="center"/>
              <w:rPr>
                <w:rFonts w:ascii="Times New Roman" w:hAnsi="Times New Roman"/>
                <w:szCs w:val="24"/>
                <w:lang w:val="mk-MK"/>
              </w:rPr>
            </w:pPr>
            <w:r w:rsidRPr="00EB77D6">
              <w:rPr>
                <w:rFonts w:ascii="Times New Roman" w:hAnsi="Times New Roman"/>
                <w:szCs w:val="24"/>
                <w:lang w:val="mk-MK"/>
              </w:rPr>
              <w:t>33%</w:t>
            </w:r>
          </w:p>
        </w:tc>
        <w:tc>
          <w:tcPr>
            <w:tcW w:w="3960" w:type="dxa"/>
          </w:tcPr>
          <w:p w14:paraId="1447230A" w14:textId="77777777" w:rsidR="001C5B17" w:rsidRPr="00EB77D6" w:rsidRDefault="001C5B17" w:rsidP="001C5B17">
            <w:pPr>
              <w:jc w:val="both"/>
              <w:rPr>
                <w:rFonts w:ascii="Times New Roman" w:hAnsi="Times New Roman"/>
                <w:b/>
                <w:szCs w:val="24"/>
                <w:lang w:val="mk-MK"/>
              </w:rPr>
            </w:pPr>
            <w:r w:rsidRPr="00EB77D6">
              <w:rPr>
                <w:rFonts w:ascii="Times New Roman" w:hAnsi="Times New Roman"/>
                <w:b/>
                <w:szCs w:val="24"/>
                <w:lang w:val="mk-MK"/>
              </w:rPr>
              <w:t xml:space="preserve">Препораката е имплементирана. </w:t>
            </w:r>
          </w:p>
          <w:p w14:paraId="0817FBDF" w14:textId="77777777" w:rsidR="001C5B17" w:rsidRPr="00EB77D6" w:rsidRDefault="001C5B17" w:rsidP="001C5B17">
            <w:pPr>
              <w:jc w:val="both"/>
              <w:rPr>
                <w:rFonts w:ascii="Times New Roman" w:hAnsi="Times New Roman"/>
                <w:szCs w:val="24"/>
              </w:rPr>
            </w:pPr>
            <w:r w:rsidRPr="00EB77D6">
              <w:rPr>
                <w:rFonts w:ascii="Times New Roman" w:hAnsi="Times New Roman"/>
                <w:szCs w:val="24"/>
                <w:lang w:val="mk-MK"/>
              </w:rPr>
              <w:t>Банката ќе настојува да го задржи постојниот баланс на родова еднаквост во иднина.</w:t>
            </w:r>
          </w:p>
        </w:tc>
      </w:tr>
      <w:tr w:rsidR="001C5B17" w:rsidRPr="00EB77D6" w14:paraId="2B6F3305" w14:textId="77777777" w:rsidTr="001C5B17">
        <w:tc>
          <w:tcPr>
            <w:tcW w:w="2404" w:type="dxa"/>
          </w:tcPr>
          <w:p w14:paraId="268610F2" w14:textId="77777777" w:rsidR="001C5B17" w:rsidRPr="00EB77D6" w:rsidRDefault="001C5B17" w:rsidP="001C5B17">
            <w:pPr>
              <w:jc w:val="both"/>
              <w:rPr>
                <w:rFonts w:ascii="Times New Roman" w:hAnsi="Times New Roman"/>
                <w:szCs w:val="24"/>
                <w:lang w:val="mk-MK"/>
              </w:rPr>
            </w:pPr>
            <w:r w:rsidRPr="00EB77D6">
              <w:rPr>
                <w:rFonts w:ascii="Times New Roman" w:hAnsi="Times New Roman"/>
                <w:szCs w:val="24"/>
                <w:lang w:val="mk-MK"/>
              </w:rPr>
              <w:t>Управен одбор</w:t>
            </w:r>
          </w:p>
        </w:tc>
        <w:tc>
          <w:tcPr>
            <w:tcW w:w="1079" w:type="dxa"/>
          </w:tcPr>
          <w:p w14:paraId="0044EE35" w14:textId="77777777" w:rsidR="001C5B17" w:rsidRPr="00EB77D6" w:rsidRDefault="001C5B17" w:rsidP="001C5B17">
            <w:pPr>
              <w:jc w:val="center"/>
              <w:rPr>
                <w:rFonts w:ascii="Times New Roman" w:hAnsi="Times New Roman"/>
                <w:szCs w:val="24"/>
                <w:lang w:val="mk-MK"/>
              </w:rPr>
            </w:pPr>
            <w:r w:rsidRPr="00EB77D6">
              <w:rPr>
                <w:rFonts w:ascii="Times New Roman" w:hAnsi="Times New Roman"/>
                <w:szCs w:val="24"/>
                <w:lang w:val="mk-MK"/>
              </w:rPr>
              <w:t>4</w:t>
            </w:r>
          </w:p>
        </w:tc>
        <w:tc>
          <w:tcPr>
            <w:tcW w:w="1038" w:type="dxa"/>
          </w:tcPr>
          <w:p w14:paraId="6F731602" w14:textId="77777777" w:rsidR="001C5B17" w:rsidRPr="00EB77D6" w:rsidRDefault="001C5B17" w:rsidP="001C5B17">
            <w:pPr>
              <w:jc w:val="center"/>
              <w:rPr>
                <w:rFonts w:ascii="Times New Roman" w:hAnsi="Times New Roman"/>
                <w:szCs w:val="24"/>
                <w:lang w:val="mk-MK"/>
              </w:rPr>
            </w:pPr>
            <w:r w:rsidRPr="00EB77D6">
              <w:rPr>
                <w:rFonts w:ascii="Times New Roman" w:hAnsi="Times New Roman"/>
                <w:szCs w:val="24"/>
                <w:lang w:val="mk-MK"/>
              </w:rPr>
              <w:t>1</w:t>
            </w:r>
          </w:p>
        </w:tc>
        <w:tc>
          <w:tcPr>
            <w:tcW w:w="784" w:type="dxa"/>
          </w:tcPr>
          <w:p w14:paraId="2D2031C2" w14:textId="77777777" w:rsidR="001C5B17" w:rsidRPr="00EB77D6" w:rsidRDefault="001C5B17" w:rsidP="001C5B17">
            <w:pPr>
              <w:jc w:val="center"/>
              <w:rPr>
                <w:rFonts w:ascii="Times New Roman" w:hAnsi="Times New Roman"/>
                <w:szCs w:val="24"/>
                <w:lang w:val="mk-MK"/>
              </w:rPr>
            </w:pPr>
            <w:r w:rsidRPr="00EB77D6">
              <w:rPr>
                <w:rFonts w:ascii="Times New Roman" w:hAnsi="Times New Roman"/>
                <w:szCs w:val="24"/>
                <w:lang w:val="mk-MK"/>
              </w:rPr>
              <w:t>25%</w:t>
            </w:r>
          </w:p>
        </w:tc>
        <w:tc>
          <w:tcPr>
            <w:tcW w:w="3960" w:type="dxa"/>
          </w:tcPr>
          <w:p w14:paraId="4721980C" w14:textId="77777777" w:rsidR="001C5B17" w:rsidRPr="00EB77D6" w:rsidRDefault="001C5B17" w:rsidP="001C5B17">
            <w:pPr>
              <w:jc w:val="both"/>
              <w:rPr>
                <w:rFonts w:ascii="Times New Roman" w:hAnsi="Times New Roman"/>
                <w:b/>
                <w:szCs w:val="24"/>
                <w:lang w:val="mk-MK"/>
              </w:rPr>
            </w:pPr>
            <w:r w:rsidRPr="00EB77D6">
              <w:rPr>
                <w:rFonts w:ascii="Times New Roman" w:hAnsi="Times New Roman"/>
                <w:b/>
                <w:szCs w:val="24"/>
                <w:lang w:val="mk-MK"/>
              </w:rPr>
              <w:t xml:space="preserve">Препораката е делумно имплементирана. </w:t>
            </w:r>
          </w:p>
          <w:p w14:paraId="6ED2E384" w14:textId="77777777" w:rsidR="001C5B17" w:rsidRPr="00EB77D6" w:rsidRDefault="001C5B17" w:rsidP="001C5B17">
            <w:pPr>
              <w:jc w:val="both"/>
              <w:rPr>
                <w:rFonts w:ascii="Times New Roman" w:hAnsi="Times New Roman"/>
                <w:szCs w:val="24"/>
                <w:lang w:val="mk-MK"/>
              </w:rPr>
            </w:pPr>
            <w:r w:rsidRPr="00EB77D6">
              <w:rPr>
                <w:rFonts w:ascii="Times New Roman" w:hAnsi="Times New Roman"/>
                <w:szCs w:val="24"/>
                <w:lang w:val="mk-MK"/>
              </w:rPr>
              <w:t>Не се планираат дополнителни мерки.</w:t>
            </w:r>
          </w:p>
        </w:tc>
      </w:tr>
    </w:tbl>
    <w:p w14:paraId="6405083A" w14:textId="77777777" w:rsidR="001C5B17" w:rsidRPr="00EB77D6" w:rsidRDefault="001C5B17" w:rsidP="001C5B17">
      <w:pPr>
        <w:pStyle w:val="ListParagraph"/>
        <w:jc w:val="both"/>
      </w:pPr>
    </w:p>
    <w:p w14:paraId="301988DD" w14:textId="77777777" w:rsidR="001C5B17" w:rsidRPr="00EB77D6" w:rsidRDefault="001C5B17" w:rsidP="001C5B17">
      <w:pPr>
        <w:jc w:val="both"/>
        <w:rPr>
          <w:rFonts w:ascii="Times New Roman" w:hAnsi="Times New Roman"/>
          <w:b/>
          <w:sz w:val="24"/>
          <w:szCs w:val="24"/>
          <w:lang w:val="mk-MK"/>
        </w:rPr>
      </w:pPr>
      <w:r w:rsidRPr="00EB77D6">
        <w:rPr>
          <w:rFonts w:ascii="Times New Roman" w:hAnsi="Times New Roman"/>
          <w:b/>
          <w:sz w:val="24"/>
          <w:szCs w:val="24"/>
          <w:lang w:val="mk-MK"/>
        </w:rPr>
        <w:t xml:space="preserve">9.б. Резиме на соработка на Банката со засегнати страни  </w:t>
      </w:r>
    </w:p>
    <w:p w14:paraId="5EA4606C" w14:textId="77777777" w:rsidR="001C5B17" w:rsidRPr="00EB77D6" w:rsidRDefault="001C5B17" w:rsidP="001C5B17">
      <w:pPr>
        <w:jc w:val="both"/>
        <w:rPr>
          <w:rFonts w:ascii="Times New Roman" w:hAnsi="Times New Roman"/>
          <w:sz w:val="24"/>
          <w:szCs w:val="24"/>
        </w:rPr>
      </w:pPr>
      <w:r w:rsidRPr="00EB77D6">
        <w:rPr>
          <w:rFonts w:ascii="Times New Roman" w:hAnsi="Times New Roman"/>
          <w:sz w:val="24"/>
          <w:szCs w:val="24"/>
        </w:rPr>
        <w:t xml:space="preserve">Како </w:t>
      </w:r>
      <w:r w:rsidRPr="00EB77D6">
        <w:rPr>
          <w:rFonts w:ascii="Times New Roman" w:hAnsi="Times New Roman"/>
          <w:sz w:val="24"/>
          <w:szCs w:val="24"/>
          <w:lang w:val="mk-MK"/>
        </w:rPr>
        <w:t xml:space="preserve">една од </w:t>
      </w:r>
      <w:r w:rsidRPr="00EB77D6">
        <w:rPr>
          <w:rFonts w:ascii="Times New Roman" w:hAnsi="Times New Roman"/>
          <w:sz w:val="24"/>
          <w:szCs w:val="24"/>
        </w:rPr>
        <w:t>најголеми</w:t>
      </w:r>
      <w:r w:rsidRPr="00EB77D6">
        <w:rPr>
          <w:rFonts w:ascii="Times New Roman" w:hAnsi="Times New Roman"/>
          <w:sz w:val="24"/>
          <w:szCs w:val="24"/>
          <w:lang w:val="mk-MK"/>
        </w:rPr>
        <w:t>те</w:t>
      </w:r>
      <w:r w:rsidRPr="00EB77D6">
        <w:rPr>
          <w:rFonts w:ascii="Times New Roman" w:hAnsi="Times New Roman"/>
          <w:sz w:val="24"/>
          <w:szCs w:val="24"/>
        </w:rPr>
        <w:t xml:space="preserve"> </w:t>
      </w:r>
      <w:r w:rsidRPr="00EB77D6">
        <w:rPr>
          <w:rFonts w:ascii="Times New Roman" w:hAnsi="Times New Roman"/>
          <w:sz w:val="24"/>
          <w:szCs w:val="24"/>
          <w:lang w:val="mk-MK"/>
        </w:rPr>
        <w:t>организации</w:t>
      </w:r>
      <w:r w:rsidRPr="00EB77D6">
        <w:rPr>
          <w:rFonts w:ascii="Times New Roman" w:hAnsi="Times New Roman"/>
          <w:sz w:val="24"/>
          <w:szCs w:val="24"/>
        </w:rPr>
        <w:t xml:space="preserve"> во земјата, </w:t>
      </w:r>
      <w:r w:rsidRPr="00EB77D6">
        <w:rPr>
          <w:rFonts w:ascii="Times New Roman" w:hAnsi="Times New Roman"/>
          <w:sz w:val="24"/>
          <w:szCs w:val="24"/>
          <w:lang w:val="mk-MK"/>
        </w:rPr>
        <w:t xml:space="preserve">Стопанска банка АД – Скопје го препознава </w:t>
      </w:r>
      <w:r w:rsidRPr="00EB77D6">
        <w:rPr>
          <w:rFonts w:ascii="Times New Roman" w:hAnsi="Times New Roman"/>
          <w:sz w:val="24"/>
          <w:szCs w:val="24"/>
        </w:rPr>
        <w:t xml:space="preserve">влијанието што го има врз </w:t>
      </w:r>
      <w:r w:rsidRPr="00EB77D6">
        <w:rPr>
          <w:rFonts w:ascii="Times New Roman" w:hAnsi="Times New Roman"/>
          <w:sz w:val="24"/>
          <w:szCs w:val="24"/>
          <w:lang w:val="mk-MK"/>
        </w:rPr>
        <w:t>голем број</w:t>
      </w:r>
      <w:r w:rsidRPr="00EB77D6">
        <w:rPr>
          <w:rFonts w:ascii="Times New Roman" w:hAnsi="Times New Roman"/>
          <w:sz w:val="24"/>
          <w:szCs w:val="24"/>
        </w:rPr>
        <w:t xml:space="preserve"> на засегнати страни</w:t>
      </w:r>
      <w:r w:rsidRPr="00EB77D6">
        <w:rPr>
          <w:rFonts w:ascii="Times New Roman" w:hAnsi="Times New Roman"/>
          <w:sz w:val="24"/>
          <w:szCs w:val="24"/>
          <w:lang w:val="mk-MK"/>
        </w:rPr>
        <w:t xml:space="preserve"> – акционерите на Банката, вработените, клиентите, депонентите, релевантните институции како и генерално населението врз чии животи неминовно влијае работењето на Банката</w:t>
      </w:r>
      <w:r w:rsidRPr="00EB77D6">
        <w:rPr>
          <w:rFonts w:ascii="Times New Roman" w:hAnsi="Times New Roman"/>
          <w:sz w:val="24"/>
          <w:szCs w:val="24"/>
        </w:rPr>
        <w:t xml:space="preserve">. </w:t>
      </w:r>
    </w:p>
    <w:p w14:paraId="6313FCC7" w14:textId="77777777" w:rsidR="001C5B17" w:rsidRPr="00EB77D6" w:rsidRDefault="001C5B17" w:rsidP="001C5B17">
      <w:pPr>
        <w:jc w:val="both"/>
        <w:rPr>
          <w:rFonts w:ascii="Times New Roman" w:hAnsi="Times New Roman"/>
          <w:sz w:val="24"/>
          <w:szCs w:val="24"/>
        </w:rPr>
      </w:pPr>
      <w:r w:rsidRPr="00EB77D6">
        <w:rPr>
          <w:rFonts w:ascii="Times New Roman" w:hAnsi="Times New Roman"/>
          <w:sz w:val="24"/>
          <w:szCs w:val="24"/>
        </w:rPr>
        <w:t xml:space="preserve">Во </w:t>
      </w:r>
      <w:r w:rsidRPr="00EB77D6">
        <w:rPr>
          <w:rFonts w:ascii="Times New Roman" w:hAnsi="Times New Roman"/>
          <w:sz w:val="24"/>
          <w:szCs w:val="24"/>
          <w:lang w:val="mk-MK"/>
        </w:rPr>
        <w:t xml:space="preserve">оваа насока, во </w:t>
      </w:r>
      <w:r w:rsidRPr="00EB77D6">
        <w:rPr>
          <w:rFonts w:ascii="Times New Roman" w:hAnsi="Times New Roman"/>
          <w:sz w:val="24"/>
          <w:szCs w:val="24"/>
        </w:rPr>
        <w:t xml:space="preserve">изминатата година </w:t>
      </w:r>
      <w:r w:rsidRPr="00EB77D6">
        <w:rPr>
          <w:rFonts w:ascii="Times New Roman" w:hAnsi="Times New Roman"/>
          <w:sz w:val="24"/>
          <w:szCs w:val="24"/>
          <w:lang w:val="mk-MK"/>
        </w:rPr>
        <w:t>Банката продолжи</w:t>
      </w:r>
      <w:r w:rsidRPr="00EB77D6">
        <w:rPr>
          <w:rFonts w:ascii="Times New Roman" w:hAnsi="Times New Roman"/>
          <w:sz w:val="24"/>
          <w:szCs w:val="24"/>
        </w:rPr>
        <w:t xml:space="preserve"> да дава приоритет на соработката со </w:t>
      </w:r>
      <w:r w:rsidRPr="00EB77D6">
        <w:rPr>
          <w:rFonts w:ascii="Times New Roman" w:hAnsi="Times New Roman"/>
          <w:sz w:val="24"/>
          <w:szCs w:val="24"/>
          <w:lang w:val="mk-MK"/>
        </w:rPr>
        <w:t>сите</w:t>
      </w:r>
      <w:r w:rsidRPr="00EB77D6">
        <w:rPr>
          <w:rFonts w:ascii="Times New Roman" w:hAnsi="Times New Roman"/>
          <w:sz w:val="24"/>
          <w:szCs w:val="24"/>
        </w:rPr>
        <w:t xml:space="preserve"> засегнати страни со цел да изгради уште посилни односи и да промовира заеднички успех</w:t>
      </w:r>
      <w:r w:rsidRPr="00EB77D6">
        <w:rPr>
          <w:rFonts w:ascii="Times New Roman" w:hAnsi="Times New Roman"/>
          <w:sz w:val="24"/>
          <w:szCs w:val="24"/>
          <w:lang w:val="mk-MK"/>
        </w:rPr>
        <w:t xml:space="preserve"> и благосостојба за сите</w:t>
      </w:r>
      <w:r w:rsidRPr="00EB77D6">
        <w:rPr>
          <w:rFonts w:ascii="Times New Roman" w:hAnsi="Times New Roman"/>
          <w:sz w:val="24"/>
          <w:szCs w:val="24"/>
        </w:rPr>
        <w:t>.</w:t>
      </w:r>
    </w:p>
    <w:p w14:paraId="10D54D91" w14:textId="77777777" w:rsidR="001C5B17" w:rsidRPr="00EB77D6" w:rsidRDefault="001C5B17" w:rsidP="001C5B17">
      <w:pPr>
        <w:pStyle w:val="ListParagraph"/>
        <w:numPr>
          <w:ilvl w:val="0"/>
          <w:numId w:val="27"/>
        </w:numPr>
        <w:jc w:val="both"/>
        <w:rPr>
          <w:lang w:val="mk-MK"/>
        </w:rPr>
      </w:pPr>
      <w:r w:rsidRPr="00EB77D6">
        <w:rPr>
          <w:lang w:val="mk-MK"/>
        </w:rPr>
        <w:t xml:space="preserve">Почнувајќи од акционерите, како сопственици на Банката, Банката имаше континуирана и активна комуникација со инвеститорската јавност во текот на цела 2022 година. Особено треба да се истакне континуираното обезбедување правни и останати услови за обезбедување на простор за разрешување на било кое прашање што го имаат акционерите во однос на нивните барања кон телата на Банката и Собранието на акционери. </w:t>
      </w:r>
    </w:p>
    <w:p w14:paraId="620D5D09" w14:textId="77777777" w:rsidR="001C5B17" w:rsidRPr="00EB77D6" w:rsidRDefault="001C5B17" w:rsidP="001C5B17">
      <w:pPr>
        <w:pStyle w:val="ListParagraph"/>
        <w:numPr>
          <w:ilvl w:val="0"/>
          <w:numId w:val="27"/>
        </w:numPr>
        <w:jc w:val="both"/>
        <w:rPr>
          <w:lang w:val="mk-MK"/>
        </w:rPr>
      </w:pPr>
      <w:r w:rsidRPr="00EB77D6">
        <w:rPr>
          <w:lang w:val="mk-MK"/>
        </w:rPr>
        <w:t>Вработените на Банката претставуваат една од најважните засегнати страни и Банката континуирано вложува во развојната кариера на вработените и нивното наградување. Дополнително, Банката во 2022 година продолжи да гради безбедна работна средина пред се во контекст на сеуште постоечките ризици од пандемијата Ковид-19 (воведување на концепт работа од дома, ротации, тестирање на вработените, итн.), култура на отворена комуникација и еднаков третман на сите вработени, итн.</w:t>
      </w:r>
      <w:r w:rsidRPr="00EB77D6">
        <w:t>;</w:t>
      </w:r>
    </w:p>
    <w:p w14:paraId="35B7064D" w14:textId="77777777" w:rsidR="001C5B17" w:rsidRPr="00EB77D6" w:rsidRDefault="001C5B17" w:rsidP="001C5B17">
      <w:pPr>
        <w:pStyle w:val="ListParagraph"/>
        <w:numPr>
          <w:ilvl w:val="0"/>
          <w:numId w:val="27"/>
        </w:numPr>
        <w:jc w:val="both"/>
        <w:rPr>
          <w:lang w:val="mk-MK"/>
        </w:rPr>
      </w:pPr>
      <w:r w:rsidRPr="00EB77D6">
        <w:rPr>
          <w:lang w:val="mk-MK"/>
        </w:rPr>
        <w:t>К</w:t>
      </w:r>
      <w:r w:rsidRPr="00EB77D6">
        <w:t xml:space="preserve">лиенти остануваат </w:t>
      </w:r>
      <w:r w:rsidRPr="00EB77D6">
        <w:rPr>
          <w:lang w:val="mk-MK"/>
        </w:rPr>
        <w:t>главен фокус на Банката</w:t>
      </w:r>
      <w:r w:rsidRPr="00EB77D6">
        <w:t xml:space="preserve"> и </w:t>
      </w:r>
      <w:r w:rsidRPr="00EB77D6">
        <w:rPr>
          <w:lang w:val="mk-MK"/>
        </w:rPr>
        <w:t>Банката</w:t>
      </w:r>
      <w:r w:rsidRPr="00EB77D6">
        <w:t xml:space="preserve"> продолжи да се фокусира на обезбедување висококвалитетни услуги и производи кои ги задоволуваат нивните </w:t>
      </w:r>
      <w:r w:rsidRPr="00EB77D6">
        <w:rPr>
          <w:lang w:val="mk-MK"/>
        </w:rPr>
        <w:t xml:space="preserve">специфични </w:t>
      </w:r>
      <w:r w:rsidRPr="00EB77D6">
        <w:t>потреби;</w:t>
      </w:r>
    </w:p>
    <w:p w14:paraId="49797E41" w14:textId="77777777" w:rsidR="001C5B17" w:rsidRPr="00EB77D6" w:rsidRDefault="001C5B17" w:rsidP="001C5B17">
      <w:pPr>
        <w:pStyle w:val="ListParagraph"/>
        <w:numPr>
          <w:ilvl w:val="0"/>
          <w:numId w:val="27"/>
        </w:numPr>
        <w:jc w:val="both"/>
        <w:rPr>
          <w:lang w:val="mk-MK"/>
        </w:rPr>
      </w:pPr>
      <w:r w:rsidRPr="00EB77D6">
        <w:rPr>
          <w:lang w:val="mk-MK"/>
        </w:rPr>
        <w:t>Банката</w:t>
      </w:r>
      <w:r w:rsidRPr="00EB77D6">
        <w:t>,</w:t>
      </w:r>
      <w:r w:rsidRPr="00EB77D6">
        <w:rPr>
          <w:lang w:val="mk-MK"/>
        </w:rPr>
        <w:t xml:space="preserve"> водејќи се од принципот на целосно усогласено работење со законите и етичките кодекси,</w:t>
      </w:r>
      <w:r w:rsidRPr="00EB77D6">
        <w:t xml:space="preserve"> исто така, ги цени </w:t>
      </w:r>
      <w:r w:rsidRPr="00EB77D6">
        <w:rPr>
          <w:lang w:val="mk-MK"/>
        </w:rPr>
        <w:t>професионалните односи</w:t>
      </w:r>
      <w:r w:rsidRPr="00EB77D6">
        <w:t xml:space="preserve"> со регулаторите и продолжи тесно да соработува</w:t>
      </w:r>
      <w:r w:rsidRPr="00EB77D6">
        <w:rPr>
          <w:lang w:val="mk-MK"/>
        </w:rPr>
        <w:t xml:space="preserve"> со институциите и да работи на имплементација и прифаќање на</w:t>
      </w:r>
      <w:r w:rsidRPr="00EB77D6">
        <w:t xml:space="preserve"> регулаторните барања. Проактивно се ангажира со регулаторните </w:t>
      </w:r>
      <w:r w:rsidRPr="00EB77D6">
        <w:lastRenderedPageBreak/>
        <w:t>тела за да се разберат добро новите</w:t>
      </w:r>
      <w:r w:rsidRPr="00EB77D6">
        <w:rPr>
          <w:lang w:val="mk-MK"/>
        </w:rPr>
        <w:t xml:space="preserve"> обемни</w:t>
      </w:r>
      <w:r w:rsidRPr="00EB77D6">
        <w:t xml:space="preserve"> регулативи и континуирано се преземаат голем број на чекори за соодветно да се приспособи работењето на </w:t>
      </w:r>
      <w:r w:rsidRPr="00EB77D6">
        <w:rPr>
          <w:lang w:val="mk-MK"/>
        </w:rPr>
        <w:t>Банката во менувачката регулаторна рамка</w:t>
      </w:r>
      <w:r w:rsidRPr="00EB77D6">
        <w:t>.</w:t>
      </w:r>
    </w:p>
    <w:p w14:paraId="54ED6BFD" w14:textId="77777777" w:rsidR="001C5B17" w:rsidRPr="00EB77D6" w:rsidRDefault="001C5B17" w:rsidP="001C5B17">
      <w:pPr>
        <w:jc w:val="both"/>
        <w:rPr>
          <w:rFonts w:ascii="Times New Roman" w:hAnsi="Times New Roman"/>
          <w:sz w:val="24"/>
          <w:szCs w:val="24"/>
        </w:rPr>
      </w:pPr>
    </w:p>
    <w:p w14:paraId="3354A3B9" w14:textId="77777777" w:rsidR="001C5B17" w:rsidRPr="00EB77D6" w:rsidRDefault="001C5B17" w:rsidP="001C5B17">
      <w:pPr>
        <w:jc w:val="both"/>
        <w:rPr>
          <w:rFonts w:ascii="Times New Roman" w:hAnsi="Times New Roman"/>
          <w:sz w:val="24"/>
          <w:szCs w:val="24"/>
        </w:rPr>
      </w:pPr>
      <w:r w:rsidRPr="00EB77D6">
        <w:rPr>
          <w:rFonts w:ascii="Times New Roman" w:hAnsi="Times New Roman"/>
          <w:sz w:val="24"/>
          <w:szCs w:val="24"/>
        </w:rPr>
        <w:t>Генерално, соработка</w:t>
      </w:r>
      <w:r w:rsidRPr="00EB77D6">
        <w:rPr>
          <w:rFonts w:ascii="Times New Roman" w:hAnsi="Times New Roman"/>
          <w:sz w:val="24"/>
          <w:szCs w:val="24"/>
          <w:lang w:val="mk-MK"/>
        </w:rPr>
        <w:t>та на Банката</w:t>
      </w:r>
      <w:r w:rsidRPr="00EB77D6">
        <w:rPr>
          <w:rFonts w:ascii="Times New Roman" w:hAnsi="Times New Roman"/>
          <w:sz w:val="24"/>
          <w:szCs w:val="24"/>
        </w:rPr>
        <w:t xml:space="preserve"> со </w:t>
      </w:r>
      <w:r w:rsidRPr="00EB77D6">
        <w:rPr>
          <w:rFonts w:ascii="Times New Roman" w:hAnsi="Times New Roman"/>
          <w:sz w:val="24"/>
          <w:szCs w:val="24"/>
          <w:lang w:val="mk-MK"/>
        </w:rPr>
        <w:t>сите</w:t>
      </w:r>
      <w:r w:rsidRPr="00EB77D6">
        <w:rPr>
          <w:rFonts w:ascii="Times New Roman" w:hAnsi="Times New Roman"/>
          <w:sz w:val="24"/>
          <w:szCs w:val="24"/>
        </w:rPr>
        <w:t xml:space="preserve"> засегнати страни </w:t>
      </w:r>
      <w:r w:rsidRPr="00EB77D6">
        <w:rPr>
          <w:rFonts w:ascii="Times New Roman" w:hAnsi="Times New Roman"/>
          <w:sz w:val="24"/>
          <w:szCs w:val="24"/>
          <w:lang w:val="mk-MK"/>
        </w:rPr>
        <w:t>е важен дел од</w:t>
      </w:r>
      <w:r w:rsidRPr="00EB77D6">
        <w:rPr>
          <w:rFonts w:ascii="Times New Roman" w:hAnsi="Times New Roman"/>
          <w:sz w:val="24"/>
          <w:szCs w:val="24"/>
        </w:rPr>
        <w:t xml:space="preserve"> </w:t>
      </w:r>
      <w:r w:rsidRPr="00EB77D6">
        <w:rPr>
          <w:rFonts w:ascii="Times New Roman" w:hAnsi="Times New Roman"/>
          <w:sz w:val="24"/>
          <w:szCs w:val="24"/>
          <w:lang w:val="mk-MK"/>
        </w:rPr>
        <w:t xml:space="preserve">севкупниот </w:t>
      </w:r>
      <w:r w:rsidRPr="00EB77D6">
        <w:rPr>
          <w:rFonts w:ascii="Times New Roman" w:hAnsi="Times New Roman"/>
          <w:sz w:val="24"/>
          <w:szCs w:val="24"/>
        </w:rPr>
        <w:t xml:space="preserve">успех </w:t>
      </w:r>
      <w:r w:rsidRPr="00EB77D6">
        <w:rPr>
          <w:rFonts w:ascii="Times New Roman" w:hAnsi="Times New Roman"/>
          <w:sz w:val="24"/>
          <w:szCs w:val="24"/>
          <w:lang w:val="mk-MK"/>
        </w:rPr>
        <w:t>остварен во 2022 година</w:t>
      </w:r>
      <w:r w:rsidRPr="00EB77D6">
        <w:rPr>
          <w:rFonts w:ascii="Times New Roman" w:hAnsi="Times New Roman"/>
          <w:sz w:val="24"/>
          <w:szCs w:val="24"/>
        </w:rPr>
        <w:t xml:space="preserve">. </w:t>
      </w:r>
      <w:r w:rsidRPr="00EB77D6">
        <w:rPr>
          <w:rFonts w:ascii="Times New Roman" w:hAnsi="Times New Roman"/>
          <w:sz w:val="24"/>
          <w:szCs w:val="24"/>
          <w:lang w:val="mk-MK"/>
        </w:rPr>
        <w:t>Стопанска банка АД – Скопје о</w:t>
      </w:r>
      <w:r w:rsidRPr="00EB77D6">
        <w:rPr>
          <w:rFonts w:ascii="Times New Roman" w:hAnsi="Times New Roman"/>
          <w:sz w:val="24"/>
          <w:szCs w:val="24"/>
        </w:rPr>
        <w:t xml:space="preserve">станува посветена на градење силни односи со </w:t>
      </w:r>
      <w:r w:rsidRPr="00EB77D6">
        <w:rPr>
          <w:rFonts w:ascii="Times New Roman" w:hAnsi="Times New Roman"/>
          <w:sz w:val="24"/>
          <w:szCs w:val="24"/>
          <w:lang w:val="mk-MK"/>
        </w:rPr>
        <w:t>сите засегнати страни, а се со една цел –</w:t>
      </w:r>
      <w:r w:rsidRPr="00EB77D6">
        <w:rPr>
          <w:rFonts w:ascii="Times New Roman" w:hAnsi="Times New Roman"/>
          <w:sz w:val="24"/>
          <w:szCs w:val="24"/>
        </w:rPr>
        <w:t xml:space="preserve"> </w:t>
      </w:r>
      <w:r w:rsidRPr="00EB77D6">
        <w:rPr>
          <w:rFonts w:ascii="Times New Roman" w:hAnsi="Times New Roman"/>
          <w:sz w:val="24"/>
          <w:szCs w:val="24"/>
          <w:lang w:val="mk-MK"/>
        </w:rPr>
        <w:t>успехот на Банката да биде успех на целата заедница</w:t>
      </w:r>
      <w:r w:rsidRPr="00EB77D6">
        <w:rPr>
          <w:rFonts w:ascii="Times New Roman" w:hAnsi="Times New Roman"/>
          <w:sz w:val="24"/>
          <w:szCs w:val="24"/>
        </w:rPr>
        <w:t>.</w:t>
      </w:r>
    </w:p>
    <w:p w14:paraId="5119CFBD" w14:textId="77777777" w:rsidR="001C5B17" w:rsidRPr="00EB77D6" w:rsidRDefault="001C5B17" w:rsidP="001C5B17">
      <w:pPr>
        <w:jc w:val="both"/>
        <w:rPr>
          <w:rFonts w:ascii="Times New Roman" w:hAnsi="Times New Roman"/>
          <w:sz w:val="24"/>
          <w:szCs w:val="24"/>
        </w:rPr>
      </w:pPr>
    </w:p>
    <w:p w14:paraId="66437633" w14:textId="77777777" w:rsidR="001C5B17" w:rsidRPr="00EB77D6" w:rsidRDefault="001C5B17" w:rsidP="001C5B17">
      <w:pPr>
        <w:jc w:val="both"/>
        <w:rPr>
          <w:rFonts w:ascii="Times New Roman" w:hAnsi="Times New Roman"/>
          <w:sz w:val="24"/>
          <w:szCs w:val="24"/>
        </w:rPr>
      </w:pPr>
    </w:p>
    <w:p w14:paraId="451A7BFC" w14:textId="77777777" w:rsidR="001C5B17" w:rsidRPr="00EB77D6" w:rsidRDefault="001C5B17" w:rsidP="001C5B17">
      <w:pPr>
        <w:jc w:val="both"/>
        <w:rPr>
          <w:rFonts w:ascii="Times New Roman" w:hAnsi="Times New Roman"/>
          <w:sz w:val="24"/>
          <w:szCs w:val="24"/>
        </w:rPr>
      </w:pPr>
    </w:p>
    <w:p w14:paraId="24135D3F" w14:textId="77777777" w:rsidR="001C5B17" w:rsidRPr="00EB77D6" w:rsidRDefault="001C5B17" w:rsidP="001C5B17">
      <w:pPr>
        <w:jc w:val="both"/>
        <w:rPr>
          <w:rFonts w:ascii="Times New Roman" w:hAnsi="Times New Roman"/>
          <w:sz w:val="24"/>
          <w:szCs w:val="24"/>
        </w:rPr>
      </w:pPr>
    </w:p>
    <w:p w14:paraId="15ED068B" w14:textId="77777777" w:rsidR="001C5B17" w:rsidRPr="00EB77D6" w:rsidRDefault="001C5B17" w:rsidP="001C5B17">
      <w:pPr>
        <w:jc w:val="both"/>
        <w:rPr>
          <w:rFonts w:ascii="Times New Roman" w:hAnsi="Times New Roman"/>
          <w:sz w:val="24"/>
          <w:szCs w:val="24"/>
        </w:rPr>
      </w:pPr>
    </w:p>
    <w:p w14:paraId="4120AF01" w14:textId="77777777" w:rsidR="001C5B17" w:rsidRPr="00EB77D6" w:rsidRDefault="001C5B17" w:rsidP="001C5B17">
      <w:pPr>
        <w:jc w:val="both"/>
        <w:rPr>
          <w:rFonts w:ascii="Times New Roman" w:hAnsi="Times New Roman"/>
          <w:sz w:val="24"/>
          <w:szCs w:val="24"/>
        </w:rPr>
      </w:pPr>
    </w:p>
    <w:p w14:paraId="1DE68F29" w14:textId="77777777" w:rsidR="001C5B17" w:rsidRPr="00EB77D6" w:rsidRDefault="001C5B17" w:rsidP="001C5B17">
      <w:pPr>
        <w:jc w:val="both"/>
        <w:rPr>
          <w:rFonts w:ascii="Times New Roman" w:hAnsi="Times New Roman"/>
          <w:sz w:val="24"/>
          <w:szCs w:val="24"/>
        </w:rPr>
      </w:pPr>
    </w:p>
    <w:p w14:paraId="310ECA8C" w14:textId="77777777" w:rsidR="001C5B17" w:rsidRPr="00EB77D6" w:rsidRDefault="001C5B17" w:rsidP="001C5B17">
      <w:pPr>
        <w:jc w:val="both"/>
        <w:rPr>
          <w:rFonts w:ascii="Times New Roman" w:hAnsi="Times New Roman"/>
          <w:sz w:val="24"/>
          <w:szCs w:val="24"/>
        </w:rPr>
      </w:pPr>
    </w:p>
    <w:p w14:paraId="1F7D2E9C" w14:textId="77777777" w:rsidR="001C5B17" w:rsidRPr="00EB77D6" w:rsidRDefault="001C5B17" w:rsidP="001C5B17">
      <w:pPr>
        <w:jc w:val="both"/>
        <w:rPr>
          <w:rFonts w:ascii="Times New Roman" w:hAnsi="Times New Roman"/>
          <w:sz w:val="24"/>
          <w:szCs w:val="24"/>
        </w:rPr>
      </w:pPr>
    </w:p>
    <w:p w14:paraId="2071D0AB" w14:textId="77777777" w:rsidR="001C5B17" w:rsidRPr="00EB77D6" w:rsidRDefault="001C5B17" w:rsidP="001C5B17">
      <w:pPr>
        <w:jc w:val="both"/>
        <w:rPr>
          <w:rFonts w:ascii="Times New Roman" w:hAnsi="Times New Roman"/>
          <w:sz w:val="24"/>
          <w:szCs w:val="24"/>
        </w:rPr>
      </w:pPr>
    </w:p>
    <w:p w14:paraId="495EFA3A" w14:textId="77777777" w:rsidR="001C5B17" w:rsidRPr="00EB77D6" w:rsidRDefault="001C5B17" w:rsidP="001C5B17">
      <w:pPr>
        <w:jc w:val="both"/>
        <w:rPr>
          <w:rFonts w:ascii="Times New Roman" w:hAnsi="Times New Roman"/>
          <w:sz w:val="24"/>
          <w:szCs w:val="24"/>
        </w:rPr>
      </w:pPr>
    </w:p>
    <w:p w14:paraId="5BB24F32" w14:textId="77777777" w:rsidR="001C5B17" w:rsidRPr="00EB77D6" w:rsidRDefault="001C5B17" w:rsidP="001C5B17">
      <w:pPr>
        <w:jc w:val="both"/>
        <w:rPr>
          <w:rFonts w:ascii="Times New Roman" w:hAnsi="Times New Roman"/>
          <w:sz w:val="24"/>
          <w:szCs w:val="24"/>
        </w:rPr>
      </w:pPr>
    </w:p>
    <w:p w14:paraId="62951FFB" w14:textId="77777777" w:rsidR="001C5B17" w:rsidRPr="00EB77D6" w:rsidRDefault="001C5B17" w:rsidP="001C5B17">
      <w:pPr>
        <w:jc w:val="both"/>
        <w:rPr>
          <w:rFonts w:ascii="Times New Roman" w:hAnsi="Times New Roman"/>
          <w:sz w:val="24"/>
          <w:szCs w:val="24"/>
        </w:rPr>
      </w:pPr>
    </w:p>
    <w:p w14:paraId="0DF8D2D4" w14:textId="77777777" w:rsidR="001C5B17" w:rsidRPr="00EB77D6" w:rsidRDefault="001C5B17" w:rsidP="001C5B17">
      <w:pPr>
        <w:jc w:val="both"/>
        <w:rPr>
          <w:rFonts w:ascii="Times New Roman" w:hAnsi="Times New Roman"/>
          <w:sz w:val="24"/>
          <w:szCs w:val="24"/>
        </w:rPr>
      </w:pPr>
    </w:p>
    <w:p w14:paraId="1DBCBF0C" w14:textId="7A36AF05" w:rsidR="001C5B17" w:rsidRDefault="001C5B17" w:rsidP="001C5B17">
      <w:pPr>
        <w:jc w:val="both"/>
        <w:rPr>
          <w:rFonts w:ascii="Times New Roman" w:hAnsi="Times New Roman"/>
          <w:sz w:val="24"/>
          <w:szCs w:val="24"/>
        </w:rPr>
      </w:pPr>
    </w:p>
    <w:p w14:paraId="1EE547DB" w14:textId="0DB272A9" w:rsidR="00EB77D6" w:rsidRDefault="00EB77D6" w:rsidP="001C5B17">
      <w:pPr>
        <w:jc w:val="both"/>
        <w:rPr>
          <w:rFonts w:ascii="Times New Roman" w:hAnsi="Times New Roman"/>
          <w:sz w:val="24"/>
          <w:szCs w:val="24"/>
        </w:rPr>
      </w:pPr>
    </w:p>
    <w:p w14:paraId="11E58255" w14:textId="37BB9281" w:rsidR="00EB77D6" w:rsidRDefault="00EB77D6" w:rsidP="001C5B17">
      <w:pPr>
        <w:jc w:val="both"/>
        <w:rPr>
          <w:rFonts w:ascii="Times New Roman" w:hAnsi="Times New Roman"/>
          <w:sz w:val="24"/>
          <w:szCs w:val="24"/>
        </w:rPr>
      </w:pPr>
    </w:p>
    <w:p w14:paraId="31F04045" w14:textId="18D5B952" w:rsidR="00EB77D6" w:rsidRDefault="00EB77D6" w:rsidP="001C5B17">
      <w:pPr>
        <w:jc w:val="both"/>
        <w:rPr>
          <w:rFonts w:ascii="Times New Roman" w:hAnsi="Times New Roman"/>
          <w:sz w:val="24"/>
          <w:szCs w:val="24"/>
        </w:rPr>
      </w:pPr>
    </w:p>
    <w:p w14:paraId="5A33369C" w14:textId="77777777" w:rsidR="00EB77D6" w:rsidRPr="00EB77D6" w:rsidRDefault="00EB77D6" w:rsidP="001C5B17">
      <w:pPr>
        <w:jc w:val="both"/>
        <w:rPr>
          <w:rFonts w:ascii="Times New Roman" w:hAnsi="Times New Roman"/>
          <w:sz w:val="24"/>
          <w:szCs w:val="24"/>
        </w:rPr>
      </w:pPr>
    </w:p>
    <w:p w14:paraId="6CF9F364" w14:textId="77777777" w:rsidR="001C5B17" w:rsidRPr="00EB77D6" w:rsidRDefault="001C5B17" w:rsidP="001C5B17">
      <w:pPr>
        <w:jc w:val="both"/>
        <w:rPr>
          <w:rFonts w:ascii="Times New Roman" w:hAnsi="Times New Roman"/>
          <w:sz w:val="24"/>
          <w:szCs w:val="24"/>
        </w:rPr>
      </w:pPr>
    </w:p>
    <w:p w14:paraId="00F30ED0" w14:textId="77777777" w:rsidR="001C5B17" w:rsidRPr="00EB77D6" w:rsidRDefault="001C5B17" w:rsidP="001C5B17">
      <w:pPr>
        <w:spacing w:after="0"/>
        <w:rPr>
          <w:rFonts w:ascii="Times New Roman" w:hAnsi="Times New Roman"/>
          <w:b/>
          <w:lang w:val="mk-MK" w:eastAsia="en-GB"/>
        </w:rPr>
      </w:pPr>
      <w:r w:rsidRPr="00EB77D6">
        <w:rPr>
          <w:rFonts w:ascii="Times New Roman" w:hAnsi="Times New Roman"/>
          <w:b/>
          <w:lang w:val="mk-MK" w:eastAsia="en-GB"/>
        </w:rPr>
        <w:lastRenderedPageBreak/>
        <w:t xml:space="preserve">Прилог 1     </w:t>
      </w:r>
      <w:r w:rsidRPr="00EB77D6">
        <w:rPr>
          <w:rFonts w:ascii="Times New Roman" w:hAnsi="Times New Roman"/>
          <w:b/>
          <w:lang w:val="mk-MK" w:eastAsia="en-GB"/>
        </w:rPr>
        <w:tab/>
      </w:r>
      <w:r w:rsidRPr="00EB77D6">
        <w:rPr>
          <w:rFonts w:ascii="Times New Roman" w:hAnsi="Times New Roman"/>
          <w:b/>
          <w:lang w:val="mk-MK" w:eastAsia="en-GB"/>
        </w:rPr>
        <w:tab/>
      </w:r>
      <w:r w:rsidRPr="00EB77D6">
        <w:rPr>
          <w:rFonts w:ascii="Times New Roman" w:hAnsi="Times New Roman"/>
          <w:b/>
          <w:lang w:val="mk-MK" w:eastAsia="en-GB"/>
        </w:rPr>
        <w:tab/>
      </w:r>
      <w:r w:rsidRPr="00EB77D6">
        <w:rPr>
          <w:rFonts w:ascii="Times New Roman" w:hAnsi="Times New Roman"/>
          <w:b/>
          <w:lang w:val="mk-MK" w:eastAsia="en-GB"/>
        </w:rPr>
        <w:tab/>
      </w:r>
    </w:p>
    <w:p w14:paraId="53643166" w14:textId="77777777" w:rsidR="00EB77D6" w:rsidRDefault="001C5B17" w:rsidP="001C5B17">
      <w:pPr>
        <w:spacing w:after="0"/>
        <w:ind w:left="2160" w:firstLine="720"/>
        <w:rPr>
          <w:rFonts w:ascii="Times New Roman" w:hAnsi="Times New Roman"/>
          <w:b/>
          <w:lang w:val="mk-MK" w:eastAsia="en-GB"/>
        </w:rPr>
      </w:pPr>
      <w:r w:rsidRPr="00EB77D6">
        <w:rPr>
          <w:rFonts w:ascii="Times New Roman" w:hAnsi="Times New Roman"/>
          <w:b/>
          <w:lang w:val="mk-MK" w:eastAsia="en-GB"/>
        </w:rPr>
        <w:t xml:space="preserve">     </w:t>
      </w:r>
    </w:p>
    <w:p w14:paraId="078BF677" w14:textId="15C22077" w:rsidR="001C5B17" w:rsidRPr="00EB77D6" w:rsidRDefault="001C5B17" w:rsidP="001C5B17">
      <w:pPr>
        <w:spacing w:after="0"/>
        <w:ind w:left="2160" w:firstLine="720"/>
        <w:rPr>
          <w:rFonts w:ascii="Times New Roman" w:hAnsi="Times New Roman"/>
          <w:b/>
          <w:lang w:val="mk-MK" w:eastAsia="en-GB"/>
        </w:rPr>
      </w:pPr>
      <w:r w:rsidRPr="00EB77D6">
        <w:rPr>
          <w:rFonts w:ascii="Times New Roman" w:hAnsi="Times New Roman"/>
          <w:b/>
          <w:lang w:val="mk-MK" w:eastAsia="en-GB"/>
        </w:rPr>
        <w:t xml:space="preserve">ИЗЈАВА ЗА УСОГЛАСЕНОСТ </w:t>
      </w:r>
    </w:p>
    <w:p w14:paraId="1F7AEFDA" w14:textId="77777777" w:rsidR="001C5B17" w:rsidRPr="00EB77D6" w:rsidRDefault="001C5B17" w:rsidP="001C5B17">
      <w:pPr>
        <w:spacing w:after="0"/>
        <w:rPr>
          <w:rFonts w:ascii="Times New Roman" w:hAnsi="Times New Roman"/>
          <w:b/>
          <w:lang w:val="mk-MK" w:eastAsia="en-GB"/>
        </w:rPr>
      </w:pPr>
      <w:r w:rsidRPr="00EB77D6">
        <w:rPr>
          <w:rFonts w:ascii="Times New Roman" w:hAnsi="Times New Roman"/>
          <w:b/>
          <w:lang w:val="mk-MK" w:eastAsia="en-GB"/>
        </w:rPr>
        <w:t xml:space="preserve">                      со Кодексот за корпоративно управување на Стопанска банка АД - Скопје</w:t>
      </w:r>
    </w:p>
    <w:p w14:paraId="4A503B26" w14:textId="77777777" w:rsidR="001C5B17" w:rsidRPr="00EB77D6" w:rsidRDefault="001C5B17" w:rsidP="001C5B17">
      <w:pPr>
        <w:spacing w:after="0"/>
        <w:ind w:firstLine="720"/>
        <w:jc w:val="both"/>
        <w:rPr>
          <w:rStyle w:val="q4iawc"/>
          <w:rFonts w:ascii="Times New Roman" w:hAnsi="Times New Roman"/>
          <w:lang w:val="en"/>
        </w:rPr>
      </w:pPr>
    </w:p>
    <w:p w14:paraId="02FA04CD" w14:textId="77777777" w:rsidR="001C5B17" w:rsidRPr="00EB77D6" w:rsidRDefault="001C5B17" w:rsidP="001C5B17">
      <w:pPr>
        <w:ind w:firstLine="720"/>
        <w:jc w:val="both"/>
        <w:rPr>
          <w:rStyle w:val="q4iawc"/>
          <w:rFonts w:ascii="Times New Roman" w:hAnsi="Times New Roman"/>
          <w:lang w:val="en"/>
        </w:rPr>
      </w:pPr>
      <w:r w:rsidRPr="00EB77D6">
        <w:rPr>
          <w:rStyle w:val="q4iawc"/>
          <w:rFonts w:ascii="Times New Roman" w:hAnsi="Times New Roman"/>
          <w:lang w:val="en"/>
        </w:rPr>
        <w:t>Согласно член 384-а од Законот за трговските друштва, Управниот одбор на Стопанска банка АД – Скопје (во натамошниот текст: СБ) го потврдува следното:</w:t>
      </w:r>
    </w:p>
    <w:p w14:paraId="4C96DC20" w14:textId="77777777" w:rsidR="001C5B17" w:rsidRPr="00EB77D6" w:rsidRDefault="001C5B17" w:rsidP="001C5B17">
      <w:pPr>
        <w:jc w:val="both"/>
        <w:rPr>
          <w:rStyle w:val="q4iawc"/>
          <w:rFonts w:ascii="Times New Roman" w:hAnsi="Times New Roman"/>
          <w:b/>
          <w:lang w:val="en"/>
        </w:rPr>
      </w:pPr>
      <w:r w:rsidRPr="00EB77D6">
        <w:rPr>
          <w:rStyle w:val="q4iawc"/>
          <w:rFonts w:ascii="Times New Roman" w:hAnsi="Times New Roman"/>
          <w:b/>
          <w:lang w:val="en"/>
        </w:rPr>
        <w:t>СБ ги примен</w:t>
      </w:r>
      <w:r w:rsidRPr="00EB77D6">
        <w:rPr>
          <w:rStyle w:val="q4iawc"/>
          <w:rFonts w:ascii="Times New Roman" w:hAnsi="Times New Roman"/>
          <w:b/>
          <w:lang w:val="mk-MK"/>
        </w:rPr>
        <w:t>ува</w:t>
      </w:r>
      <w:r w:rsidRPr="00EB77D6">
        <w:rPr>
          <w:rStyle w:val="q4iawc"/>
          <w:rFonts w:ascii="Times New Roman" w:hAnsi="Times New Roman"/>
          <w:b/>
          <w:lang w:val="en"/>
        </w:rPr>
        <w:t xml:space="preserve"> принципи</w:t>
      </w:r>
      <w:r w:rsidRPr="00EB77D6">
        <w:rPr>
          <w:rStyle w:val="q4iawc"/>
          <w:rFonts w:ascii="Times New Roman" w:hAnsi="Times New Roman"/>
          <w:b/>
          <w:lang w:val="mk-MK"/>
        </w:rPr>
        <w:t>те</w:t>
      </w:r>
      <w:r w:rsidRPr="00EB77D6">
        <w:rPr>
          <w:rStyle w:val="q4iawc"/>
          <w:rFonts w:ascii="Times New Roman" w:hAnsi="Times New Roman"/>
          <w:b/>
          <w:lang w:val="en"/>
        </w:rPr>
        <w:t xml:space="preserve"> и </w:t>
      </w:r>
      <w:r w:rsidRPr="00EB77D6">
        <w:rPr>
          <w:rStyle w:val="q4iawc"/>
          <w:rFonts w:ascii="Times New Roman" w:hAnsi="Times New Roman"/>
          <w:b/>
          <w:lang w:val="mk-MK"/>
        </w:rPr>
        <w:t xml:space="preserve">е во согласност во сите материјални аспекти </w:t>
      </w:r>
      <w:r w:rsidRPr="00EB77D6">
        <w:rPr>
          <w:rStyle w:val="q4iawc"/>
          <w:rFonts w:ascii="Times New Roman" w:hAnsi="Times New Roman"/>
          <w:b/>
          <w:lang w:val="en"/>
        </w:rPr>
        <w:t>со Кодексот за корпоративно управување на СБ во 202</w:t>
      </w:r>
      <w:r w:rsidRPr="00EB77D6">
        <w:rPr>
          <w:rStyle w:val="q4iawc"/>
          <w:rFonts w:ascii="Times New Roman" w:hAnsi="Times New Roman"/>
          <w:b/>
          <w:lang w:val="mk-MK"/>
        </w:rPr>
        <w:t>2</w:t>
      </w:r>
      <w:r w:rsidRPr="00EB77D6">
        <w:rPr>
          <w:rStyle w:val="q4iawc"/>
          <w:rFonts w:ascii="Times New Roman" w:hAnsi="Times New Roman"/>
          <w:b/>
          <w:lang w:val="en"/>
        </w:rPr>
        <w:t xml:space="preserve"> година.</w:t>
      </w:r>
    </w:p>
    <w:p w14:paraId="5287A58C" w14:textId="77777777" w:rsidR="001C5B17" w:rsidRPr="00EB77D6" w:rsidRDefault="001C5B17" w:rsidP="001C5B17">
      <w:pPr>
        <w:jc w:val="both"/>
        <w:rPr>
          <w:rStyle w:val="q4iawc"/>
          <w:rFonts w:ascii="Times New Roman" w:hAnsi="Times New Roman"/>
          <w:lang w:val="en"/>
        </w:rPr>
      </w:pPr>
      <w:r w:rsidRPr="00EB77D6">
        <w:rPr>
          <w:rStyle w:val="q4iawc"/>
          <w:rFonts w:ascii="Times New Roman" w:hAnsi="Times New Roman"/>
          <w:lang w:val="en"/>
        </w:rPr>
        <w:t xml:space="preserve">Кодексот за корпоративно управување на СБ е </w:t>
      </w:r>
      <w:r w:rsidRPr="00EB77D6">
        <w:rPr>
          <w:rStyle w:val="q4iawc"/>
          <w:rFonts w:ascii="Times New Roman" w:hAnsi="Times New Roman"/>
          <w:lang w:val="mk-MK"/>
        </w:rPr>
        <w:t>подготвен</w:t>
      </w:r>
      <w:r w:rsidRPr="00EB77D6">
        <w:rPr>
          <w:rStyle w:val="q4iawc"/>
          <w:rFonts w:ascii="Times New Roman" w:hAnsi="Times New Roman"/>
          <w:lang w:val="en"/>
        </w:rPr>
        <w:t xml:space="preserve"> во согласност со </w:t>
      </w:r>
      <w:r w:rsidRPr="00EB77D6">
        <w:rPr>
          <w:rStyle w:val="q4iawc"/>
          <w:rFonts w:ascii="Times New Roman" w:hAnsi="Times New Roman"/>
          <w:lang w:val="mk-MK"/>
        </w:rPr>
        <w:t xml:space="preserve">важечкото </w:t>
      </w:r>
      <w:r w:rsidRPr="00EB77D6">
        <w:rPr>
          <w:rStyle w:val="q4iawc"/>
          <w:rFonts w:ascii="Times New Roman" w:hAnsi="Times New Roman"/>
          <w:lang w:val="en"/>
        </w:rPr>
        <w:t xml:space="preserve">законодавство и стандардите за </w:t>
      </w:r>
      <w:r w:rsidRPr="00EB77D6">
        <w:rPr>
          <w:rStyle w:val="q4iawc"/>
          <w:rFonts w:ascii="Times New Roman" w:hAnsi="Times New Roman"/>
          <w:lang w:val="mk-MK"/>
        </w:rPr>
        <w:t xml:space="preserve">корпоративно </w:t>
      </w:r>
      <w:r w:rsidRPr="00EB77D6">
        <w:rPr>
          <w:rStyle w:val="q4iawc"/>
          <w:rFonts w:ascii="Times New Roman" w:hAnsi="Times New Roman"/>
          <w:lang w:val="en"/>
        </w:rPr>
        <w:t>управување на НБГ</w:t>
      </w:r>
      <w:r w:rsidRPr="00EB77D6">
        <w:rPr>
          <w:rStyle w:val="q4iawc"/>
          <w:rFonts w:ascii="Times New Roman" w:hAnsi="Times New Roman"/>
          <w:lang w:val="mk-MK"/>
        </w:rPr>
        <w:t xml:space="preserve"> </w:t>
      </w:r>
      <w:r w:rsidRPr="00EB77D6">
        <w:rPr>
          <w:rStyle w:val="q4iawc"/>
          <w:rFonts w:ascii="Times New Roman" w:hAnsi="Times New Roman"/>
          <w:lang w:val="en"/>
        </w:rPr>
        <w:t xml:space="preserve">Групацијата. </w:t>
      </w:r>
      <w:r w:rsidRPr="00EB77D6">
        <w:rPr>
          <w:rStyle w:val="q4iawc"/>
          <w:rFonts w:ascii="Times New Roman" w:hAnsi="Times New Roman"/>
          <w:lang w:val="mk-MK"/>
        </w:rPr>
        <w:t>Кодексот</w:t>
      </w:r>
      <w:r w:rsidRPr="00EB77D6">
        <w:rPr>
          <w:rStyle w:val="q4iawc"/>
          <w:rFonts w:ascii="Times New Roman" w:hAnsi="Times New Roman"/>
          <w:lang w:val="en"/>
        </w:rPr>
        <w:t xml:space="preserve"> </w:t>
      </w:r>
      <w:r w:rsidRPr="00EB77D6">
        <w:rPr>
          <w:rFonts w:ascii="Times New Roman" w:eastAsia="Times New Roman" w:hAnsi="Times New Roman"/>
          <w:lang w:val="mk-MK"/>
        </w:rPr>
        <w:t>има за цел да обезбеди јасен опис на системот на корпоративно управување во Банката</w:t>
      </w:r>
      <w:r w:rsidRPr="00EB77D6">
        <w:rPr>
          <w:rStyle w:val="q4iawc"/>
          <w:rFonts w:ascii="Times New Roman" w:hAnsi="Times New Roman"/>
          <w:lang w:val="en"/>
        </w:rPr>
        <w:t xml:space="preserve">, правата и одговорностите на нејзините тела, улогата на контролните функции итн., како и </w:t>
      </w:r>
      <w:r w:rsidRPr="00EB77D6">
        <w:rPr>
          <w:rStyle w:val="q4iawc"/>
          <w:rFonts w:ascii="Times New Roman" w:hAnsi="Times New Roman"/>
          <w:lang w:val="mk-MK"/>
        </w:rPr>
        <w:t xml:space="preserve">да </w:t>
      </w:r>
      <w:r w:rsidRPr="00EB77D6">
        <w:rPr>
          <w:rStyle w:val="q4iawc"/>
          <w:rFonts w:ascii="Times New Roman" w:hAnsi="Times New Roman"/>
          <w:lang w:val="en"/>
        </w:rPr>
        <w:t xml:space="preserve">ги поддржува интересите на Банката на долгорочна основа во корист на </w:t>
      </w:r>
      <w:r w:rsidRPr="00EB77D6">
        <w:rPr>
          <w:rStyle w:val="q4iawc"/>
          <w:rFonts w:ascii="Times New Roman" w:hAnsi="Times New Roman"/>
          <w:lang w:val="mk-MK"/>
        </w:rPr>
        <w:t>депонентите</w:t>
      </w:r>
      <w:r w:rsidRPr="00EB77D6">
        <w:rPr>
          <w:rStyle w:val="q4iawc"/>
          <w:rFonts w:ascii="Times New Roman" w:hAnsi="Times New Roman"/>
          <w:lang w:val="en"/>
        </w:rPr>
        <w:t xml:space="preserve"> и клиентите, акционери</w:t>
      </w:r>
      <w:r w:rsidRPr="00EB77D6">
        <w:rPr>
          <w:rStyle w:val="q4iawc"/>
          <w:rFonts w:ascii="Times New Roman" w:hAnsi="Times New Roman"/>
          <w:lang w:val="mk-MK"/>
        </w:rPr>
        <w:t>те</w:t>
      </w:r>
      <w:r w:rsidRPr="00EB77D6">
        <w:rPr>
          <w:rStyle w:val="q4iawc"/>
          <w:rFonts w:ascii="Times New Roman" w:hAnsi="Times New Roman"/>
          <w:lang w:val="en"/>
        </w:rPr>
        <w:t>, вработени</w:t>
      </w:r>
      <w:r w:rsidRPr="00EB77D6">
        <w:rPr>
          <w:rStyle w:val="q4iawc"/>
          <w:rFonts w:ascii="Times New Roman" w:hAnsi="Times New Roman"/>
          <w:lang w:val="mk-MK"/>
        </w:rPr>
        <w:t>те</w:t>
      </w:r>
      <w:r w:rsidRPr="00EB77D6">
        <w:rPr>
          <w:rStyle w:val="q4iawc"/>
          <w:rFonts w:ascii="Times New Roman" w:hAnsi="Times New Roman"/>
          <w:lang w:val="en"/>
        </w:rPr>
        <w:t xml:space="preserve"> и сите други засегнати страни. Кодексот промовира континуитет, конзистентност и ефективност на начинот на кој Банката е надгледувана и управувана и </w:t>
      </w:r>
      <w:r w:rsidRPr="00EB77D6">
        <w:rPr>
          <w:rStyle w:val="q4iawc"/>
          <w:rFonts w:ascii="Times New Roman" w:hAnsi="Times New Roman"/>
          <w:lang w:val="mk-MK"/>
        </w:rPr>
        <w:t>претставува основен документ</w:t>
      </w:r>
      <w:r w:rsidRPr="00EB77D6">
        <w:rPr>
          <w:rStyle w:val="q4iawc"/>
          <w:rFonts w:ascii="Times New Roman" w:hAnsi="Times New Roman"/>
          <w:lang w:val="en"/>
        </w:rPr>
        <w:t xml:space="preserve"> за добро управување во </w:t>
      </w:r>
      <w:r w:rsidRPr="00EB77D6">
        <w:rPr>
          <w:rStyle w:val="q4iawc"/>
          <w:rFonts w:ascii="Times New Roman" w:hAnsi="Times New Roman"/>
          <w:lang w:val="mk-MK"/>
        </w:rPr>
        <w:t xml:space="preserve">насока на </w:t>
      </w:r>
      <w:r w:rsidRPr="00EB77D6">
        <w:rPr>
          <w:rStyle w:val="q4iawc"/>
          <w:rFonts w:ascii="Times New Roman" w:hAnsi="Times New Roman"/>
          <w:lang w:val="en"/>
        </w:rPr>
        <w:t xml:space="preserve">поддршка и унапредување на </w:t>
      </w:r>
      <w:r w:rsidRPr="00EB77D6">
        <w:rPr>
          <w:rStyle w:val="q4iawc"/>
          <w:rFonts w:ascii="Times New Roman" w:hAnsi="Times New Roman"/>
          <w:lang w:val="mk-MK"/>
        </w:rPr>
        <w:t xml:space="preserve">деловниот интерес </w:t>
      </w:r>
      <w:r w:rsidRPr="00EB77D6">
        <w:rPr>
          <w:rStyle w:val="q4iawc"/>
          <w:rFonts w:ascii="Times New Roman" w:hAnsi="Times New Roman"/>
          <w:lang w:val="en"/>
        </w:rPr>
        <w:t xml:space="preserve">и </w:t>
      </w:r>
      <w:r w:rsidRPr="00EB77D6">
        <w:rPr>
          <w:rStyle w:val="q4iawc"/>
          <w:rFonts w:ascii="Times New Roman" w:hAnsi="Times New Roman"/>
          <w:lang w:val="mk-MK"/>
        </w:rPr>
        <w:t>репутацијата</w:t>
      </w:r>
      <w:r w:rsidRPr="00EB77D6">
        <w:rPr>
          <w:rStyle w:val="q4iawc"/>
          <w:rFonts w:ascii="Times New Roman" w:hAnsi="Times New Roman"/>
          <w:lang w:val="en"/>
        </w:rPr>
        <w:t xml:space="preserve"> на Банката.</w:t>
      </w:r>
    </w:p>
    <w:p w14:paraId="38E6C83F" w14:textId="77777777" w:rsidR="001C5B17" w:rsidRPr="00EB77D6" w:rsidRDefault="001C5B17" w:rsidP="001C5B17">
      <w:pPr>
        <w:jc w:val="both"/>
        <w:rPr>
          <w:rStyle w:val="q4iawc"/>
          <w:rFonts w:ascii="Times New Roman" w:hAnsi="Times New Roman"/>
          <w:lang w:val="en"/>
        </w:rPr>
      </w:pPr>
      <w:r w:rsidRPr="00EB77D6">
        <w:rPr>
          <w:rStyle w:val="q4iawc"/>
          <w:rFonts w:ascii="Times New Roman" w:hAnsi="Times New Roman"/>
          <w:lang w:val="en"/>
        </w:rPr>
        <w:t>Кодексот за корпоративно управување на Стопанска банка АД – Скопје е достапен на веб-страницата на Банката.</w:t>
      </w:r>
      <w:r w:rsidRPr="00EB77D6">
        <w:rPr>
          <w:rStyle w:val="q4iawc"/>
          <w:rFonts w:ascii="Times New Roman" w:hAnsi="Times New Roman"/>
          <w:lang w:val="en"/>
        </w:rPr>
        <w:tab/>
      </w:r>
      <w:r w:rsidRPr="00EB77D6">
        <w:rPr>
          <w:rStyle w:val="q4iawc"/>
          <w:rFonts w:ascii="Times New Roman" w:hAnsi="Times New Roman"/>
          <w:lang w:val="en"/>
        </w:rPr>
        <w:tab/>
      </w:r>
      <w:r w:rsidRPr="00EB77D6">
        <w:rPr>
          <w:rStyle w:val="q4iawc"/>
          <w:rFonts w:ascii="Times New Roman" w:hAnsi="Times New Roman"/>
          <w:lang w:val="en"/>
        </w:rPr>
        <w:tab/>
      </w:r>
      <w:r w:rsidRPr="00EB77D6">
        <w:rPr>
          <w:rStyle w:val="q4iawc"/>
          <w:rFonts w:ascii="Times New Roman" w:hAnsi="Times New Roman"/>
          <w:lang w:val="en"/>
        </w:rPr>
        <w:tab/>
      </w:r>
    </w:p>
    <w:p w14:paraId="674C0016" w14:textId="77777777" w:rsidR="00EB77D6" w:rsidRDefault="001C5B17" w:rsidP="001C5B17">
      <w:pPr>
        <w:ind w:left="4320"/>
        <w:jc w:val="both"/>
        <w:rPr>
          <w:rFonts w:ascii="Times New Roman" w:eastAsia="Times New Roman" w:hAnsi="Times New Roman"/>
          <w:b/>
        </w:rPr>
      </w:pPr>
      <w:r w:rsidRPr="00EB77D6">
        <w:rPr>
          <w:rStyle w:val="q4iawc"/>
          <w:rFonts w:ascii="Times New Roman" w:hAnsi="Times New Roman"/>
          <w:lang w:val="mk-MK"/>
        </w:rPr>
        <w:t xml:space="preserve">       </w:t>
      </w:r>
      <w:r w:rsidRPr="00EB77D6">
        <w:rPr>
          <w:rFonts w:ascii="Times New Roman" w:eastAsia="Times New Roman" w:hAnsi="Times New Roman"/>
          <w:b/>
        </w:rPr>
        <w:t xml:space="preserve">         </w:t>
      </w:r>
      <w:r w:rsidRPr="00EB77D6">
        <w:rPr>
          <w:rFonts w:ascii="Times New Roman" w:eastAsia="Times New Roman" w:hAnsi="Times New Roman"/>
          <w:b/>
          <w:lang w:val="mk-MK"/>
        </w:rPr>
        <w:t xml:space="preserve"> </w:t>
      </w:r>
      <w:r w:rsidRPr="00EB77D6">
        <w:rPr>
          <w:rFonts w:ascii="Times New Roman" w:eastAsia="Times New Roman" w:hAnsi="Times New Roman"/>
          <w:b/>
        </w:rPr>
        <w:t xml:space="preserve"> </w:t>
      </w:r>
    </w:p>
    <w:p w14:paraId="089CF14E" w14:textId="38712AA1" w:rsidR="001C5B17" w:rsidRPr="00EB77D6" w:rsidRDefault="00EB77D6" w:rsidP="001C5B17">
      <w:pPr>
        <w:ind w:left="4320"/>
        <w:jc w:val="both"/>
        <w:rPr>
          <w:rFonts w:ascii="Times New Roman" w:eastAsia="Times New Roman" w:hAnsi="Times New Roman"/>
          <w:b/>
          <w:lang w:val="mk-MK"/>
        </w:rPr>
      </w:pPr>
      <w:r>
        <w:rPr>
          <w:rFonts w:ascii="Times New Roman" w:eastAsia="Times New Roman" w:hAnsi="Times New Roman"/>
          <w:b/>
        </w:rPr>
        <w:t xml:space="preserve">            </w:t>
      </w:r>
      <w:r w:rsidR="001C5B17" w:rsidRPr="00EB77D6">
        <w:rPr>
          <w:rFonts w:ascii="Times New Roman" w:eastAsia="Times New Roman" w:hAnsi="Times New Roman"/>
          <w:b/>
          <w:lang w:val="mk-MK"/>
        </w:rPr>
        <w:t>УПРАВЕН ОДБОР</w:t>
      </w:r>
    </w:p>
    <w:p w14:paraId="07E1FDB4" w14:textId="77777777" w:rsidR="001C5B17" w:rsidRPr="00EB77D6" w:rsidRDefault="001C5B17" w:rsidP="001C5B17">
      <w:pPr>
        <w:spacing w:after="0" w:line="240" w:lineRule="auto"/>
        <w:jc w:val="center"/>
        <w:rPr>
          <w:rFonts w:ascii="Times New Roman" w:eastAsia="Times New Roman" w:hAnsi="Times New Roman"/>
        </w:rPr>
      </w:pPr>
      <w:r w:rsidRPr="00EB77D6">
        <w:rPr>
          <w:rFonts w:ascii="Times New Roman" w:eastAsia="Times New Roman" w:hAnsi="Times New Roman"/>
          <w:lang w:val="mk-MK"/>
        </w:rPr>
        <w:t xml:space="preserve">                                                     </w:t>
      </w:r>
      <w:r w:rsidRPr="00EB77D6">
        <w:rPr>
          <w:rFonts w:ascii="Times New Roman" w:eastAsia="Times New Roman" w:hAnsi="Times New Roman"/>
        </w:rPr>
        <w:t>_________________________</w:t>
      </w:r>
    </w:p>
    <w:p w14:paraId="03CE96FF" w14:textId="77777777" w:rsidR="001C5B17" w:rsidRPr="00EB77D6" w:rsidRDefault="001C5B17" w:rsidP="001C5B17">
      <w:pPr>
        <w:spacing w:after="0" w:line="240" w:lineRule="auto"/>
        <w:ind w:left="2160" w:firstLine="720"/>
        <w:jc w:val="center"/>
        <w:rPr>
          <w:rFonts w:ascii="Times New Roman" w:eastAsia="Times New Roman" w:hAnsi="Times New Roman"/>
          <w:b/>
          <w:lang w:val="mk-MK"/>
        </w:rPr>
      </w:pPr>
      <w:r w:rsidRPr="00EB77D6">
        <w:rPr>
          <w:rFonts w:ascii="Times New Roman" w:eastAsia="Times New Roman" w:hAnsi="Times New Roman"/>
          <w:b/>
          <w:lang w:val="mk-MK"/>
        </w:rPr>
        <w:t>Диомидис Николетопулос</w:t>
      </w:r>
    </w:p>
    <w:p w14:paraId="27835562" w14:textId="77777777" w:rsidR="001C5B17" w:rsidRPr="00EB77D6" w:rsidRDefault="001C5B17" w:rsidP="001C5B17">
      <w:pPr>
        <w:spacing w:after="0" w:line="240" w:lineRule="auto"/>
        <w:ind w:left="2160" w:firstLine="720"/>
        <w:jc w:val="center"/>
        <w:rPr>
          <w:rFonts w:ascii="Times New Roman" w:eastAsia="Times New Roman" w:hAnsi="Times New Roman"/>
          <w:lang w:val="mk-MK"/>
        </w:rPr>
      </w:pPr>
      <w:r w:rsidRPr="00EB77D6">
        <w:rPr>
          <w:rFonts w:ascii="Times New Roman" w:eastAsia="Times New Roman" w:hAnsi="Times New Roman"/>
          <w:lang w:val="mk-MK"/>
        </w:rPr>
        <w:t xml:space="preserve">Генерален извршен директор и </w:t>
      </w:r>
    </w:p>
    <w:p w14:paraId="746F5289" w14:textId="77777777" w:rsidR="001C5B17" w:rsidRPr="00EB77D6" w:rsidRDefault="001C5B17" w:rsidP="001C5B17">
      <w:pPr>
        <w:spacing w:after="0" w:line="240" w:lineRule="auto"/>
        <w:ind w:left="2160" w:firstLine="720"/>
        <w:jc w:val="center"/>
        <w:rPr>
          <w:rFonts w:ascii="Times New Roman" w:eastAsia="Times New Roman" w:hAnsi="Times New Roman"/>
          <w:lang w:val="mk-MK"/>
        </w:rPr>
      </w:pPr>
      <w:r w:rsidRPr="00EB77D6">
        <w:rPr>
          <w:rFonts w:ascii="Times New Roman" w:eastAsia="Times New Roman" w:hAnsi="Times New Roman"/>
          <w:lang w:val="mk-MK"/>
        </w:rPr>
        <w:t xml:space="preserve">   Претседател на Управен одбор</w:t>
      </w:r>
    </w:p>
    <w:p w14:paraId="6DBE4BFA" w14:textId="77777777" w:rsidR="001C5B17" w:rsidRPr="00EB77D6" w:rsidRDefault="001C5B17" w:rsidP="001C5B17">
      <w:pPr>
        <w:spacing w:after="0"/>
        <w:ind w:left="2160" w:firstLine="720"/>
        <w:jc w:val="center"/>
        <w:rPr>
          <w:rFonts w:ascii="Times New Roman" w:eastAsia="Times New Roman" w:hAnsi="Times New Roman"/>
          <w:lang w:val="mk-MK"/>
        </w:rPr>
      </w:pPr>
      <w:r w:rsidRPr="00EB77D6">
        <w:rPr>
          <w:rFonts w:ascii="Times New Roman" w:eastAsia="Times New Roman" w:hAnsi="Times New Roman"/>
          <w:lang w:val="pl-PL"/>
        </w:rPr>
        <w:t xml:space="preserve">            </w:t>
      </w:r>
    </w:p>
    <w:p w14:paraId="3875998D" w14:textId="77777777" w:rsidR="001C5B17" w:rsidRPr="00EB77D6" w:rsidRDefault="001C5B17" w:rsidP="001C5B17">
      <w:pPr>
        <w:spacing w:after="0" w:line="240" w:lineRule="auto"/>
        <w:jc w:val="center"/>
        <w:rPr>
          <w:rFonts w:ascii="Times New Roman" w:eastAsia="Times New Roman" w:hAnsi="Times New Roman"/>
          <w:lang w:val="pl-PL"/>
        </w:rPr>
      </w:pPr>
      <w:r w:rsidRPr="00EB77D6">
        <w:rPr>
          <w:rFonts w:ascii="Times New Roman" w:eastAsia="Times New Roman" w:hAnsi="Times New Roman"/>
          <w:lang w:val="pl-PL"/>
        </w:rPr>
        <w:t xml:space="preserve">                       </w:t>
      </w:r>
      <w:r w:rsidRPr="00EB77D6">
        <w:rPr>
          <w:rFonts w:ascii="Times New Roman" w:eastAsia="Times New Roman" w:hAnsi="Times New Roman"/>
          <w:lang w:val="mk-MK"/>
        </w:rPr>
        <w:t xml:space="preserve">                            </w:t>
      </w:r>
      <w:r w:rsidRPr="00EB77D6">
        <w:rPr>
          <w:rFonts w:ascii="Times New Roman" w:eastAsia="Times New Roman" w:hAnsi="Times New Roman"/>
        </w:rPr>
        <w:t xml:space="preserve">    ________________________</w:t>
      </w:r>
      <w:r w:rsidRPr="00EB77D6">
        <w:rPr>
          <w:rFonts w:ascii="Times New Roman" w:eastAsia="Times New Roman" w:hAnsi="Times New Roman"/>
          <w:lang w:val="pl-PL"/>
        </w:rPr>
        <w:t xml:space="preserve"> </w:t>
      </w:r>
    </w:p>
    <w:p w14:paraId="12908713" w14:textId="77777777" w:rsidR="001C5B17" w:rsidRPr="00EB77D6" w:rsidRDefault="001C5B17" w:rsidP="001C5B17">
      <w:pPr>
        <w:spacing w:after="0" w:line="240" w:lineRule="auto"/>
        <w:jc w:val="center"/>
        <w:rPr>
          <w:rFonts w:ascii="Times New Roman" w:eastAsia="Times New Roman" w:hAnsi="Times New Roman"/>
          <w:b/>
          <w:lang w:val="mk-MK"/>
        </w:rPr>
      </w:pPr>
      <w:r w:rsidRPr="00EB77D6">
        <w:rPr>
          <w:rFonts w:ascii="Times New Roman" w:eastAsia="Times New Roman" w:hAnsi="Times New Roman"/>
          <w:b/>
          <w:lang w:val="mk-MK"/>
        </w:rPr>
        <w:t xml:space="preserve">            </w:t>
      </w:r>
      <w:r w:rsidRPr="00EB77D6">
        <w:rPr>
          <w:rFonts w:ascii="Times New Roman" w:eastAsia="Times New Roman" w:hAnsi="Times New Roman"/>
          <w:b/>
        </w:rPr>
        <w:t xml:space="preserve">                                             </w:t>
      </w:r>
      <w:r w:rsidRPr="00EB77D6">
        <w:rPr>
          <w:rFonts w:ascii="Times New Roman" w:eastAsia="Times New Roman" w:hAnsi="Times New Roman"/>
          <w:b/>
          <w:lang w:val="mk-MK"/>
        </w:rPr>
        <w:t>Тони Стојановски</w:t>
      </w:r>
    </w:p>
    <w:p w14:paraId="4D9A9701" w14:textId="77777777" w:rsidR="001C5B17" w:rsidRPr="00EB77D6" w:rsidRDefault="001C5B17" w:rsidP="001C5B17">
      <w:pPr>
        <w:spacing w:after="0" w:line="240" w:lineRule="auto"/>
        <w:jc w:val="center"/>
        <w:rPr>
          <w:rFonts w:ascii="Times New Roman" w:eastAsia="Times New Roman" w:hAnsi="Times New Roman"/>
          <w:lang w:val="mk-MK"/>
        </w:rPr>
      </w:pPr>
      <w:r w:rsidRPr="00EB77D6">
        <w:rPr>
          <w:rFonts w:ascii="Times New Roman" w:eastAsia="Times New Roman" w:hAnsi="Times New Roman"/>
        </w:rPr>
        <w:t xml:space="preserve">                                  </w:t>
      </w:r>
      <w:r w:rsidRPr="00EB77D6">
        <w:rPr>
          <w:rFonts w:ascii="Times New Roman" w:eastAsia="Times New Roman" w:hAnsi="Times New Roman"/>
          <w:lang w:val="mk-MK"/>
        </w:rPr>
        <w:t xml:space="preserve">                              </w:t>
      </w:r>
      <w:r w:rsidRPr="00EB77D6">
        <w:rPr>
          <w:rFonts w:ascii="Times New Roman" w:eastAsia="Times New Roman" w:hAnsi="Times New Roman"/>
        </w:rPr>
        <w:t xml:space="preserve"> </w:t>
      </w:r>
      <w:r w:rsidRPr="00EB77D6">
        <w:rPr>
          <w:rFonts w:ascii="Times New Roman" w:eastAsia="Times New Roman" w:hAnsi="Times New Roman"/>
          <w:lang w:val="mk-MK"/>
        </w:rPr>
        <w:t xml:space="preserve">Генерален директор за корпоративно банкарство </w:t>
      </w:r>
      <w:r w:rsidRPr="00EB77D6">
        <w:rPr>
          <w:rFonts w:ascii="Times New Roman" w:eastAsia="Times New Roman" w:hAnsi="Times New Roman"/>
          <w:lang w:val="mk-MK"/>
        </w:rPr>
        <w:br/>
        <w:t xml:space="preserve">                                                              и член на Управен одбор</w:t>
      </w:r>
    </w:p>
    <w:p w14:paraId="3E9FD68F" w14:textId="77777777" w:rsidR="001C5B17" w:rsidRPr="00EB77D6" w:rsidRDefault="001C5B17" w:rsidP="001C5B17">
      <w:pPr>
        <w:spacing w:after="0"/>
        <w:ind w:left="2160" w:firstLine="720"/>
        <w:jc w:val="center"/>
        <w:rPr>
          <w:rFonts w:ascii="Times New Roman" w:eastAsia="Times New Roman" w:hAnsi="Times New Roman"/>
          <w:lang w:val="mk-MK"/>
        </w:rPr>
      </w:pPr>
    </w:p>
    <w:p w14:paraId="14F6F395" w14:textId="77777777" w:rsidR="001C5B17" w:rsidRPr="00EB77D6" w:rsidRDefault="001C5B17" w:rsidP="001C5B17">
      <w:pPr>
        <w:spacing w:after="0"/>
        <w:ind w:left="2160" w:firstLine="720"/>
        <w:jc w:val="center"/>
        <w:rPr>
          <w:rFonts w:ascii="Times New Roman" w:eastAsia="Times New Roman" w:hAnsi="Times New Roman"/>
          <w:lang w:val="pl-PL"/>
        </w:rPr>
      </w:pPr>
      <w:r w:rsidRPr="00EB77D6">
        <w:rPr>
          <w:rFonts w:ascii="Times New Roman" w:eastAsia="Times New Roman" w:hAnsi="Times New Roman"/>
          <w:lang w:val="mk-MK"/>
        </w:rPr>
        <w:t xml:space="preserve">   </w:t>
      </w:r>
      <w:r w:rsidRPr="00EB77D6">
        <w:rPr>
          <w:rFonts w:ascii="Times New Roman" w:eastAsia="Times New Roman" w:hAnsi="Times New Roman"/>
        </w:rPr>
        <w:t xml:space="preserve">   _________________________</w:t>
      </w:r>
      <w:r w:rsidRPr="00EB77D6">
        <w:rPr>
          <w:rFonts w:ascii="Times New Roman" w:eastAsia="Times New Roman" w:hAnsi="Times New Roman"/>
          <w:lang w:val="pl-PL"/>
        </w:rPr>
        <w:t xml:space="preserve">   </w:t>
      </w:r>
    </w:p>
    <w:p w14:paraId="60EB677B" w14:textId="77777777" w:rsidR="001C5B17" w:rsidRPr="00EB77D6" w:rsidRDefault="001C5B17" w:rsidP="001C5B17">
      <w:pPr>
        <w:spacing w:after="0" w:line="240" w:lineRule="auto"/>
        <w:jc w:val="center"/>
        <w:rPr>
          <w:rFonts w:ascii="Times New Roman" w:eastAsia="Times New Roman" w:hAnsi="Times New Roman"/>
          <w:b/>
          <w:lang w:val="mk-MK"/>
        </w:rPr>
      </w:pPr>
      <w:r w:rsidRPr="00EB77D6">
        <w:rPr>
          <w:rFonts w:ascii="Times New Roman" w:eastAsia="Times New Roman" w:hAnsi="Times New Roman"/>
          <w:lang w:val="mk-MK"/>
        </w:rPr>
        <w:t xml:space="preserve">            </w:t>
      </w:r>
      <w:r w:rsidRPr="00EB77D6">
        <w:rPr>
          <w:rFonts w:ascii="Times New Roman" w:eastAsia="Times New Roman" w:hAnsi="Times New Roman"/>
        </w:rPr>
        <w:t xml:space="preserve">                                                  </w:t>
      </w:r>
      <w:r w:rsidRPr="00EB77D6">
        <w:rPr>
          <w:rFonts w:ascii="Times New Roman" w:eastAsia="Times New Roman" w:hAnsi="Times New Roman"/>
          <w:b/>
          <w:lang w:val="mk-MK"/>
        </w:rPr>
        <w:t>Милица Чапаровска - Јовановска</w:t>
      </w:r>
    </w:p>
    <w:p w14:paraId="41EDB70B" w14:textId="77777777" w:rsidR="001C5B17" w:rsidRPr="00EB77D6" w:rsidRDefault="001C5B17" w:rsidP="001C5B17">
      <w:pPr>
        <w:spacing w:after="0" w:line="240" w:lineRule="auto"/>
        <w:jc w:val="center"/>
        <w:rPr>
          <w:rFonts w:ascii="Times New Roman" w:eastAsia="Times New Roman" w:hAnsi="Times New Roman"/>
          <w:lang w:val="mk-MK"/>
        </w:rPr>
      </w:pPr>
      <w:r w:rsidRPr="00EB77D6">
        <w:rPr>
          <w:rFonts w:ascii="Times New Roman" w:eastAsia="Times New Roman" w:hAnsi="Times New Roman"/>
        </w:rPr>
        <w:t xml:space="preserve">                                  </w:t>
      </w:r>
      <w:r w:rsidRPr="00EB77D6">
        <w:rPr>
          <w:rFonts w:ascii="Times New Roman" w:eastAsia="Times New Roman" w:hAnsi="Times New Roman"/>
          <w:lang w:val="mk-MK"/>
        </w:rPr>
        <w:t xml:space="preserve">                              </w:t>
      </w:r>
      <w:r w:rsidRPr="00EB77D6">
        <w:rPr>
          <w:rFonts w:ascii="Times New Roman" w:eastAsia="Times New Roman" w:hAnsi="Times New Roman"/>
        </w:rPr>
        <w:t xml:space="preserve"> </w:t>
      </w:r>
      <w:r w:rsidRPr="00EB77D6">
        <w:rPr>
          <w:rFonts w:ascii="Times New Roman" w:eastAsia="Times New Roman" w:hAnsi="Times New Roman"/>
          <w:lang w:val="mk-MK"/>
        </w:rPr>
        <w:t>Генерален директор за банкарство на мало</w:t>
      </w:r>
      <w:r w:rsidRPr="00EB77D6">
        <w:rPr>
          <w:rFonts w:ascii="Times New Roman" w:eastAsia="Times New Roman" w:hAnsi="Times New Roman"/>
          <w:lang w:val="mk-MK"/>
        </w:rPr>
        <w:br/>
        <w:t xml:space="preserve">                                                              и член на Управен одбор</w:t>
      </w:r>
    </w:p>
    <w:p w14:paraId="57940746" w14:textId="77777777" w:rsidR="001C5B17" w:rsidRPr="00EB77D6" w:rsidRDefault="001C5B17" w:rsidP="001C5B17">
      <w:pPr>
        <w:spacing w:after="0"/>
        <w:jc w:val="center"/>
        <w:rPr>
          <w:rFonts w:ascii="Times New Roman" w:eastAsia="Times New Roman" w:hAnsi="Times New Roman"/>
          <w:lang w:val="mk-MK"/>
        </w:rPr>
      </w:pPr>
    </w:p>
    <w:p w14:paraId="64E7DFF2" w14:textId="77777777" w:rsidR="001C5B17" w:rsidRPr="00EB77D6" w:rsidRDefault="001C5B17" w:rsidP="001C5B17">
      <w:pPr>
        <w:spacing w:after="0"/>
        <w:ind w:left="2160" w:firstLine="720"/>
        <w:jc w:val="center"/>
        <w:rPr>
          <w:rFonts w:ascii="Times New Roman" w:eastAsia="Times New Roman" w:hAnsi="Times New Roman"/>
          <w:lang w:val="pl-PL"/>
        </w:rPr>
      </w:pPr>
      <w:r w:rsidRPr="00EB77D6">
        <w:rPr>
          <w:rFonts w:ascii="Times New Roman" w:eastAsia="Times New Roman" w:hAnsi="Times New Roman"/>
        </w:rPr>
        <w:t>_______________________</w:t>
      </w:r>
      <w:r w:rsidRPr="00EB77D6">
        <w:rPr>
          <w:rFonts w:ascii="Times New Roman" w:eastAsia="Times New Roman" w:hAnsi="Times New Roman"/>
          <w:lang w:val="pl-PL"/>
        </w:rPr>
        <w:t xml:space="preserve"> </w:t>
      </w:r>
    </w:p>
    <w:p w14:paraId="2E8726C0" w14:textId="77777777" w:rsidR="001C5B17" w:rsidRPr="00EB77D6" w:rsidRDefault="001C5B17" w:rsidP="001C5B17">
      <w:pPr>
        <w:spacing w:after="0"/>
        <w:jc w:val="center"/>
        <w:rPr>
          <w:rFonts w:ascii="Times New Roman" w:eastAsia="Times New Roman" w:hAnsi="Times New Roman"/>
          <w:b/>
          <w:lang w:val="mk-MK"/>
        </w:rPr>
      </w:pPr>
      <w:r w:rsidRPr="00EB77D6">
        <w:rPr>
          <w:rFonts w:ascii="Times New Roman" w:eastAsia="Times New Roman" w:hAnsi="Times New Roman"/>
          <w:b/>
          <w:lang w:val="mk-MK"/>
        </w:rPr>
        <w:t xml:space="preserve">            </w:t>
      </w:r>
      <w:r w:rsidRPr="00EB77D6">
        <w:rPr>
          <w:rFonts w:ascii="Times New Roman" w:eastAsia="Times New Roman" w:hAnsi="Times New Roman"/>
          <w:b/>
        </w:rPr>
        <w:t xml:space="preserve">                                                 </w:t>
      </w:r>
      <w:r w:rsidRPr="00EB77D6">
        <w:rPr>
          <w:rFonts w:ascii="Times New Roman" w:eastAsia="Times New Roman" w:hAnsi="Times New Roman"/>
          <w:b/>
          <w:lang w:val="mk-MK"/>
        </w:rPr>
        <w:t>Бојан Стојаноски</w:t>
      </w:r>
    </w:p>
    <w:p w14:paraId="11E65371" w14:textId="77777777" w:rsidR="001C5B17" w:rsidRPr="00EB77D6" w:rsidRDefault="001C5B17" w:rsidP="001C5B17">
      <w:pPr>
        <w:spacing w:after="0"/>
        <w:jc w:val="center"/>
        <w:rPr>
          <w:rFonts w:ascii="Times New Roman" w:eastAsia="Times New Roman" w:hAnsi="Times New Roman"/>
          <w:lang w:val="mk-MK"/>
        </w:rPr>
      </w:pPr>
      <w:r w:rsidRPr="00EB77D6">
        <w:rPr>
          <w:rFonts w:ascii="Times New Roman" w:eastAsia="Times New Roman" w:hAnsi="Times New Roman"/>
        </w:rPr>
        <w:t xml:space="preserve">                                  </w:t>
      </w:r>
      <w:r w:rsidRPr="00EB77D6">
        <w:rPr>
          <w:rFonts w:ascii="Times New Roman" w:eastAsia="Times New Roman" w:hAnsi="Times New Roman"/>
          <w:lang w:val="mk-MK"/>
        </w:rPr>
        <w:t xml:space="preserve">                              </w:t>
      </w:r>
      <w:r w:rsidRPr="00EB77D6">
        <w:rPr>
          <w:rFonts w:ascii="Times New Roman" w:eastAsia="Times New Roman" w:hAnsi="Times New Roman"/>
        </w:rPr>
        <w:t xml:space="preserve"> </w:t>
      </w:r>
      <w:r w:rsidRPr="00EB77D6">
        <w:rPr>
          <w:rFonts w:ascii="Times New Roman" w:eastAsia="Times New Roman" w:hAnsi="Times New Roman"/>
          <w:lang w:val="mk-MK"/>
        </w:rPr>
        <w:t xml:space="preserve">Генерален директор за управување со ризици </w:t>
      </w:r>
      <w:r w:rsidRPr="00EB77D6">
        <w:rPr>
          <w:rFonts w:ascii="Times New Roman" w:eastAsia="Times New Roman" w:hAnsi="Times New Roman"/>
          <w:lang w:val="mk-MK"/>
        </w:rPr>
        <w:br/>
        <w:t xml:space="preserve">                                                              и член на Управен одбор</w:t>
      </w:r>
    </w:p>
    <w:p w14:paraId="4C1BD8A9" w14:textId="77777777" w:rsidR="001C5B17" w:rsidRPr="00EB77D6" w:rsidRDefault="001C5B17" w:rsidP="001C5B17">
      <w:pPr>
        <w:ind w:firstLine="720"/>
        <w:jc w:val="both"/>
        <w:rPr>
          <w:rFonts w:ascii="Times New Roman" w:hAnsi="Times New Roman"/>
          <w:lang w:val="mk-MK" w:eastAsia="en-GB"/>
        </w:rPr>
      </w:pPr>
    </w:p>
    <w:p w14:paraId="6353B797" w14:textId="77777777" w:rsidR="001C5B17" w:rsidRPr="00EB77D6" w:rsidRDefault="001C5B17" w:rsidP="001C5B17">
      <w:pPr>
        <w:ind w:firstLine="720"/>
        <w:jc w:val="both"/>
        <w:rPr>
          <w:rFonts w:ascii="Times New Roman" w:hAnsi="Times New Roman"/>
          <w:lang w:val="mk-MK" w:eastAsia="en-GB"/>
        </w:rPr>
      </w:pPr>
    </w:p>
    <w:p w14:paraId="1DB700C9" w14:textId="77777777" w:rsidR="001C5B17" w:rsidRPr="00EB77D6" w:rsidRDefault="001C5B17" w:rsidP="001C5B17">
      <w:pPr>
        <w:ind w:firstLine="720"/>
        <w:jc w:val="both"/>
        <w:rPr>
          <w:rFonts w:ascii="Times New Roman" w:hAnsi="Times New Roman"/>
          <w:lang w:val="mk-MK" w:eastAsia="en-GB"/>
        </w:rPr>
      </w:pPr>
      <w:r w:rsidRPr="00EB77D6">
        <w:rPr>
          <w:rFonts w:ascii="Times New Roman" w:hAnsi="Times New Roman"/>
          <w:lang w:val="mk-MK" w:eastAsia="en-GB"/>
        </w:rPr>
        <w:t>Во согласност со член 42-а од Правилата за котација на Македонската берза АД – Скопје, Управниот одбор на Стопанска банка АД – Скопје (во понатамошен текст</w:t>
      </w:r>
      <w:r w:rsidRPr="00EB77D6">
        <w:rPr>
          <w:rFonts w:ascii="Times New Roman" w:hAnsi="Times New Roman"/>
          <w:lang w:eastAsia="en-GB"/>
        </w:rPr>
        <w:t xml:space="preserve">: </w:t>
      </w:r>
      <w:r w:rsidRPr="00EB77D6">
        <w:rPr>
          <w:rFonts w:ascii="Times New Roman" w:hAnsi="Times New Roman"/>
          <w:lang w:val="mk-MK" w:eastAsia="en-GB"/>
        </w:rPr>
        <w:t>СБ), ја издава следната</w:t>
      </w:r>
      <w:r w:rsidRPr="00EB77D6">
        <w:rPr>
          <w:rFonts w:ascii="Times New Roman" w:hAnsi="Times New Roman"/>
          <w:lang w:eastAsia="en-GB"/>
        </w:rPr>
        <w:t>:</w:t>
      </w:r>
      <w:r w:rsidRPr="00EB77D6">
        <w:rPr>
          <w:rFonts w:ascii="Times New Roman" w:hAnsi="Times New Roman"/>
          <w:lang w:val="mk-MK" w:eastAsia="en-GB"/>
        </w:rPr>
        <w:t xml:space="preserve"> </w:t>
      </w:r>
    </w:p>
    <w:p w14:paraId="26FE6622" w14:textId="77777777" w:rsidR="00EB77D6" w:rsidRDefault="001C5B17" w:rsidP="001C5B17">
      <w:pPr>
        <w:ind w:left="2160" w:firstLine="720"/>
        <w:rPr>
          <w:rFonts w:ascii="Times New Roman" w:hAnsi="Times New Roman"/>
          <w:b/>
          <w:lang w:val="mk-MK" w:eastAsia="en-GB"/>
        </w:rPr>
      </w:pPr>
      <w:r w:rsidRPr="00EB77D6">
        <w:rPr>
          <w:rFonts w:ascii="Times New Roman" w:hAnsi="Times New Roman"/>
          <w:b/>
          <w:lang w:val="mk-MK" w:eastAsia="en-GB"/>
        </w:rPr>
        <w:t xml:space="preserve">      </w:t>
      </w:r>
    </w:p>
    <w:p w14:paraId="10A5EC33" w14:textId="6E96B72F" w:rsidR="001C5B17" w:rsidRPr="00EB77D6" w:rsidRDefault="001C5B17" w:rsidP="001C5B17">
      <w:pPr>
        <w:ind w:left="2160" w:firstLine="720"/>
        <w:rPr>
          <w:rFonts w:ascii="Times New Roman" w:hAnsi="Times New Roman"/>
          <w:b/>
          <w:lang w:val="mk-MK" w:eastAsia="en-GB"/>
        </w:rPr>
      </w:pPr>
      <w:r w:rsidRPr="00EB77D6">
        <w:rPr>
          <w:rFonts w:ascii="Times New Roman" w:hAnsi="Times New Roman"/>
          <w:b/>
          <w:lang w:val="mk-MK" w:eastAsia="en-GB"/>
        </w:rPr>
        <w:t xml:space="preserve">ИЗЈАВА ЗА УСОГЛАСЕНОСТ </w:t>
      </w:r>
    </w:p>
    <w:p w14:paraId="48631773" w14:textId="77777777" w:rsidR="001C5B17" w:rsidRPr="00EB77D6" w:rsidRDefault="001C5B17" w:rsidP="001C5B17">
      <w:pPr>
        <w:spacing w:after="0" w:line="240" w:lineRule="auto"/>
        <w:jc w:val="center"/>
        <w:rPr>
          <w:rFonts w:ascii="Times New Roman" w:hAnsi="Times New Roman"/>
          <w:b/>
          <w:lang w:val="mk-MK" w:eastAsia="en-GB"/>
        </w:rPr>
      </w:pPr>
      <w:r w:rsidRPr="00EB77D6">
        <w:rPr>
          <w:rFonts w:ascii="Times New Roman" w:hAnsi="Times New Roman"/>
          <w:b/>
          <w:lang w:val="mk-MK" w:eastAsia="en-GB"/>
        </w:rPr>
        <w:t xml:space="preserve">со Кодексот за корпоративно управување на акционерските друштва  котирани </w:t>
      </w:r>
    </w:p>
    <w:p w14:paraId="1C877617" w14:textId="77777777" w:rsidR="001C5B17" w:rsidRPr="00EB77D6" w:rsidRDefault="001C5B17" w:rsidP="001C5B17">
      <w:pPr>
        <w:spacing w:after="0" w:line="240" w:lineRule="auto"/>
        <w:jc w:val="center"/>
        <w:rPr>
          <w:rFonts w:ascii="Times New Roman" w:hAnsi="Times New Roman"/>
          <w:b/>
          <w:lang w:val="mk-MK" w:eastAsia="en-GB"/>
        </w:rPr>
      </w:pPr>
      <w:r w:rsidRPr="00EB77D6">
        <w:rPr>
          <w:rFonts w:ascii="Times New Roman" w:hAnsi="Times New Roman"/>
          <w:b/>
          <w:lang w:val="mk-MK" w:eastAsia="en-GB"/>
        </w:rPr>
        <w:t>на Македонска берза АД – Скопје</w:t>
      </w:r>
    </w:p>
    <w:p w14:paraId="13CA05A2" w14:textId="77777777" w:rsidR="001C5B17" w:rsidRPr="00EB77D6" w:rsidRDefault="001C5B17" w:rsidP="001C5B17">
      <w:pPr>
        <w:jc w:val="center"/>
        <w:rPr>
          <w:rFonts w:ascii="Times New Roman" w:hAnsi="Times New Roman"/>
          <w:b/>
          <w:lang w:val="mk-MK" w:eastAsia="en-GB"/>
        </w:rPr>
      </w:pPr>
    </w:p>
    <w:p w14:paraId="4846D0F2" w14:textId="77777777" w:rsidR="001C5B17" w:rsidRPr="00EB77D6" w:rsidRDefault="001C5B17" w:rsidP="001C5B17">
      <w:pPr>
        <w:jc w:val="both"/>
        <w:rPr>
          <w:rFonts w:ascii="Times New Roman" w:hAnsi="Times New Roman"/>
          <w:lang w:eastAsia="en-GB"/>
        </w:rPr>
      </w:pPr>
      <w:r w:rsidRPr="00EB77D6">
        <w:rPr>
          <w:rFonts w:ascii="Times New Roman" w:hAnsi="Times New Roman"/>
          <w:lang w:val="mk-MK" w:eastAsia="en-GB"/>
        </w:rPr>
        <w:tab/>
        <w:t xml:space="preserve">Ние, членовите на Управниот одбор на Стопанска банка АД – Скопје, изјавуваме дека СБ во своето работење го применува Кодексот за корпоративно управување на акционерските друштва котирани на Македонска берза АД Скопје, објавен на интернет страната на Берзата </w:t>
      </w:r>
      <w:hyperlink r:id="rId29" w:history="1">
        <w:r w:rsidRPr="00EB77D6">
          <w:rPr>
            <w:rStyle w:val="Hyperlink"/>
            <w:rFonts w:ascii="Times New Roman" w:hAnsi="Times New Roman"/>
            <w:lang w:eastAsia="en-GB"/>
          </w:rPr>
          <w:t>www.mse.mk</w:t>
        </w:r>
      </w:hyperlink>
      <w:r w:rsidRPr="00EB77D6">
        <w:rPr>
          <w:rFonts w:ascii="Times New Roman" w:hAnsi="Times New Roman"/>
          <w:lang w:eastAsia="en-GB"/>
        </w:rPr>
        <w:t xml:space="preserve">. </w:t>
      </w:r>
    </w:p>
    <w:p w14:paraId="5FCABD7D" w14:textId="77777777" w:rsidR="001C5B17" w:rsidRPr="00EB77D6" w:rsidRDefault="001C5B17" w:rsidP="001C5B17">
      <w:pPr>
        <w:jc w:val="both"/>
        <w:rPr>
          <w:rFonts w:ascii="Times New Roman" w:hAnsi="Times New Roman"/>
          <w:lang w:val="mk-MK" w:eastAsia="en-GB"/>
        </w:rPr>
      </w:pPr>
      <w:r w:rsidRPr="00EB77D6">
        <w:rPr>
          <w:rFonts w:ascii="Times New Roman" w:hAnsi="Times New Roman"/>
          <w:lang w:eastAsia="en-GB"/>
        </w:rPr>
        <w:tab/>
      </w:r>
      <w:r w:rsidRPr="00EB77D6">
        <w:rPr>
          <w:rFonts w:ascii="Times New Roman" w:hAnsi="Times New Roman"/>
          <w:lang w:val="mk-MK" w:eastAsia="en-GB"/>
        </w:rPr>
        <w:t xml:space="preserve">СБ ги применува принципите и најдобрите практики на корпоративното управување предвидени во Кодексот според пристапот „примени или појасни зошто не се применил“, преку пополнување на Прашалници чија форма и содржина е пропишана со Кодексот. </w:t>
      </w:r>
    </w:p>
    <w:p w14:paraId="7FD43BA0" w14:textId="77777777" w:rsidR="001C5B17" w:rsidRPr="00EB77D6" w:rsidRDefault="001C5B17" w:rsidP="001C5B17">
      <w:pPr>
        <w:jc w:val="both"/>
        <w:rPr>
          <w:rFonts w:ascii="Times New Roman" w:hAnsi="Times New Roman"/>
          <w:lang w:val="mk-MK" w:eastAsia="en-GB"/>
        </w:rPr>
      </w:pPr>
      <w:r w:rsidRPr="00EB77D6">
        <w:rPr>
          <w:rFonts w:ascii="Times New Roman" w:hAnsi="Times New Roman"/>
          <w:lang w:val="mk-MK" w:eastAsia="en-GB"/>
        </w:rPr>
        <w:tab/>
        <w:t xml:space="preserve">Со оваа Изјава потврдуваме дека Прашалниците се објавени на СЕИ-НЕТ и на интернет страницата на СБ и дека одговорите во истите се точни и вистинити и веродостојно ја отсликуваат примената на принципите и најдобрите практики на корпоративното управување од страна на СБ пропишани со Кодексот за корпоративно управување. </w:t>
      </w:r>
    </w:p>
    <w:p w14:paraId="59455E04" w14:textId="77777777" w:rsidR="00EB77D6" w:rsidRDefault="001C5B17" w:rsidP="001C5B17">
      <w:pPr>
        <w:ind w:left="1440" w:firstLine="720"/>
        <w:jc w:val="center"/>
        <w:rPr>
          <w:rFonts w:ascii="Times New Roman" w:eastAsia="Times New Roman" w:hAnsi="Times New Roman"/>
          <w:b/>
          <w:lang w:val="mk-MK"/>
        </w:rPr>
      </w:pPr>
      <w:r w:rsidRPr="00EB77D6">
        <w:rPr>
          <w:rFonts w:ascii="Times New Roman" w:eastAsia="Times New Roman" w:hAnsi="Times New Roman"/>
          <w:b/>
          <w:lang w:val="mk-MK"/>
        </w:rPr>
        <w:t xml:space="preserve">         </w:t>
      </w:r>
    </w:p>
    <w:p w14:paraId="0C005374" w14:textId="23663D43" w:rsidR="001C5B17" w:rsidRPr="00EB77D6" w:rsidRDefault="00EB77D6" w:rsidP="001C5B17">
      <w:pPr>
        <w:ind w:left="1440" w:firstLine="720"/>
        <w:jc w:val="center"/>
        <w:rPr>
          <w:rFonts w:ascii="Times New Roman" w:eastAsia="Times New Roman" w:hAnsi="Times New Roman"/>
          <w:b/>
          <w:lang w:val="mk-MK"/>
        </w:rPr>
      </w:pPr>
      <w:r>
        <w:rPr>
          <w:rFonts w:ascii="Times New Roman" w:eastAsia="Times New Roman" w:hAnsi="Times New Roman"/>
          <w:b/>
        </w:rPr>
        <w:t xml:space="preserve">        </w:t>
      </w:r>
      <w:r w:rsidR="001C5B17" w:rsidRPr="00EB77D6">
        <w:rPr>
          <w:rFonts w:ascii="Times New Roman" w:eastAsia="Times New Roman" w:hAnsi="Times New Roman"/>
          <w:b/>
          <w:lang w:val="mk-MK"/>
        </w:rPr>
        <w:t>УПРАВЕН ОДБОР</w:t>
      </w:r>
    </w:p>
    <w:p w14:paraId="038E3308" w14:textId="77777777" w:rsidR="001C5B17" w:rsidRPr="00EB77D6" w:rsidRDefault="001C5B17" w:rsidP="001C5B17">
      <w:pPr>
        <w:spacing w:after="0" w:line="240" w:lineRule="auto"/>
        <w:jc w:val="center"/>
        <w:rPr>
          <w:rFonts w:ascii="Times New Roman" w:eastAsia="Times New Roman" w:hAnsi="Times New Roman"/>
        </w:rPr>
      </w:pPr>
      <w:r w:rsidRPr="00EB77D6">
        <w:rPr>
          <w:rFonts w:ascii="Times New Roman" w:eastAsia="Times New Roman" w:hAnsi="Times New Roman"/>
          <w:lang w:val="mk-MK"/>
        </w:rPr>
        <w:t xml:space="preserve">                                                     </w:t>
      </w:r>
      <w:r w:rsidRPr="00EB77D6">
        <w:rPr>
          <w:rFonts w:ascii="Times New Roman" w:eastAsia="Times New Roman" w:hAnsi="Times New Roman"/>
        </w:rPr>
        <w:t>_________________________</w:t>
      </w:r>
    </w:p>
    <w:p w14:paraId="01485BA1" w14:textId="77777777" w:rsidR="001C5B17" w:rsidRPr="00EB77D6" w:rsidRDefault="001C5B17" w:rsidP="001C5B17">
      <w:pPr>
        <w:spacing w:after="0" w:line="240" w:lineRule="auto"/>
        <w:ind w:left="2160" w:firstLine="720"/>
        <w:jc w:val="center"/>
        <w:rPr>
          <w:rFonts w:ascii="Times New Roman" w:eastAsia="Times New Roman" w:hAnsi="Times New Roman"/>
          <w:b/>
          <w:lang w:val="mk-MK"/>
        </w:rPr>
      </w:pPr>
      <w:r w:rsidRPr="00EB77D6">
        <w:rPr>
          <w:rFonts w:ascii="Times New Roman" w:eastAsia="Times New Roman" w:hAnsi="Times New Roman"/>
          <w:b/>
          <w:lang w:val="mk-MK"/>
        </w:rPr>
        <w:t>Диомидис Николетопулос</w:t>
      </w:r>
    </w:p>
    <w:p w14:paraId="4FEFD8EC" w14:textId="77777777" w:rsidR="001C5B17" w:rsidRPr="00EB77D6" w:rsidRDefault="001C5B17" w:rsidP="001C5B17">
      <w:pPr>
        <w:spacing w:after="0" w:line="240" w:lineRule="auto"/>
        <w:ind w:left="2160" w:firstLine="720"/>
        <w:jc w:val="center"/>
        <w:rPr>
          <w:rFonts w:ascii="Times New Roman" w:eastAsia="Times New Roman" w:hAnsi="Times New Roman"/>
          <w:lang w:val="mk-MK"/>
        </w:rPr>
      </w:pPr>
      <w:r w:rsidRPr="00EB77D6">
        <w:rPr>
          <w:rFonts w:ascii="Times New Roman" w:eastAsia="Times New Roman" w:hAnsi="Times New Roman"/>
          <w:lang w:val="mk-MK"/>
        </w:rPr>
        <w:t xml:space="preserve">Генерален извршен директор и </w:t>
      </w:r>
    </w:p>
    <w:p w14:paraId="3F61C0BC" w14:textId="77777777" w:rsidR="001C5B17" w:rsidRPr="00EB77D6" w:rsidRDefault="001C5B17" w:rsidP="001C5B17">
      <w:pPr>
        <w:spacing w:after="0" w:line="240" w:lineRule="auto"/>
        <w:ind w:left="2160" w:firstLine="720"/>
        <w:jc w:val="center"/>
        <w:rPr>
          <w:rFonts w:ascii="Times New Roman" w:eastAsia="Times New Roman" w:hAnsi="Times New Roman"/>
          <w:lang w:val="mk-MK"/>
        </w:rPr>
      </w:pPr>
      <w:r w:rsidRPr="00EB77D6">
        <w:rPr>
          <w:rFonts w:ascii="Times New Roman" w:eastAsia="Times New Roman" w:hAnsi="Times New Roman"/>
          <w:lang w:val="mk-MK"/>
        </w:rPr>
        <w:t xml:space="preserve">   Претседател на Управен одбор</w:t>
      </w:r>
    </w:p>
    <w:p w14:paraId="242BB9ED" w14:textId="77777777" w:rsidR="001C5B17" w:rsidRPr="00EB77D6" w:rsidRDefault="001C5B17" w:rsidP="001C5B17">
      <w:pPr>
        <w:spacing w:after="0" w:line="240" w:lineRule="auto"/>
        <w:ind w:left="2160" w:firstLine="720"/>
        <w:jc w:val="center"/>
        <w:rPr>
          <w:rFonts w:ascii="Times New Roman" w:eastAsia="Times New Roman" w:hAnsi="Times New Roman"/>
          <w:lang w:val="mk-MK"/>
        </w:rPr>
      </w:pPr>
      <w:r w:rsidRPr="00EB77D6">
        <w:rPr>
          <w:rFonts w:ascii="Times New Roman" w:eastAsia="Times New Roman" w:hAnsi="Times New Roman"/>
          <w:lang w:val="pl-PL"/>
        </w:rPr>
        <w:t xml:space="preserve">               </w:t>
      </w:r>
    </w:p>
    <w:p w14:paraId="3C887378" w14:textId="77777777" w:rsidR="001C5B17" w:rsidRPr="00EB77D6" w:rsidRDefault="001C5B17" w:rsidP="001C5B17">
      <w:pPr>
        <w:spacing w:after="0" w:line="240" w:lineRule="auto"/>
        <w:jc w:val="center"/>
        <w:rPr>
          <w:rFonts w:ascii="Times New Roman" w:eastAsia="Times New Roman" w:hAnsi="Times New Roman"/>
          <w:lang w:val="pl-PL"/>
        </w:rPr>
      </w:pPr>
      <w:r w:rsidRPr="00EB77D6">
        <w:rPr>
          <w:rFonts w:ascii="Times New Roman" w:eastAsia="Times New Roman" w:hAnsi="Times New Roman"/>
          <w:lang w:val="pl-PL"/>
        </w:rPr>
        <w:t xml:space="preserve">                       </w:t>
      </w:r>
      <w:r w:rsidRPr="00EB77D6">
        <w:rPr>
          <w:rFonts w:ascii="Times New Roman" w:eastAsia="Times New Roman" w:hAnsi="Times New Roman"/>
          <w:lang w:val="mk-MK"/>
        </w:rPr>
        <w:t xml:space="preserve">                            </w:t>
      </w:r>
      <w:r w:rsidRPr="00EB77D6">
        <w:rPr>
          <w:rFonts w:ascii="Times New Roman" w:eastAsia="Times New Roman" w:hAnsi="Times New Roman"/>
        </w:rPr>
        <w:t xml:space="preserve">    ________________________</w:t>
      </w:r>
      <w:r w:rsidRPr="00EB77D6">
        <w:rPr>
          <w:rFonts w:ascii="Times New Roman" w:eastAsia="Times New Roman" w:hAnsi="Times New Roman"/>
          <w:lang w:val="pl-PL"/>
        </w:rPr>
        <w:t xml:space="preserve"> </w:t>
      </w:r>
    </w:p>
    <w:p w14:paraId="59C2892D" w14:textId="77777777" w:rsidR="001C5B17" w:rsidRPr="00EB77D6" w:rsidRDefault="001C5B17" w:rsidP="001C5B17">
      <w:pPr>
        <w:spacing w:after="0" w:line="240" w:lineRule="auto"/>
        <w:jc w:val="center"/>
        <w:rPr>
          <w:rFonts w:ascii="Times New Roman" w:eastAsia="Times New Roman" w:hAnsi="Times New Roman"/>
          <w:b/>
          <w:lang w:val="mk-MK"/>
        </w:rPr>
      </w:pPr>
      <w:r w:rsidRPr="00EB77D6">
        <w:rPr>
          <w:rFonts w:ascii="Times New Roman" w:eastAsia="Times New Roman" w:hAnsi="Times New Roman"/>
          <w:b/>
          <w:lang w:val="mk-MK"/>
        </w:rPr>
        <w:t xml:space="preserve">            </w:t>
      </w:r>
      <w:r w:rsidRPr="00EB77D6">
        <w:rPr>
          <w:rFonts w:ascii="Times New Roman" w:eastAsia="Times New Roman" w:hAnsi="Times New Roman"/>
          <w:b/>
        </w:rPr>
        <w:t xml:space="preserve">                                             </w:t>
      </w:r>
      <w:r w:rsidRPr="00EB77D6">
        <w:rPr>
          <w:rFonts w:ascii="Times New Roman" w:eastAsia="Times New Roman" w:hAnsi="Times New Roman"/>
          <w:b/>
          <w:lang w:val="mk-MK"/>
        </w:rPr>
        <w:t>Тони Стојановски</w:t>
      </w:r>
    </w:p>
    <w:p w14:paraId="1715613C" w14:textId="77777777" w:rsidR="001C5B17" w:rsidRPr="00EB77D6" w:rsidRDefault="001C5B17" w:rsidP="001C5B17">
      <w:pPr>
        <w:spacing w:after="0" w:line="240" w:lineRule="auto"/>
        <w:jc w:val="center"/>
        <w:rPr>
          <w:rFonts w:ascii="Times New Roman" w:eastAsia="Times New Roman" w:hAnsi="Times New Roman"/>
          <w:lang w:val="mk-MK"/>
        </w:rPr>
      </w:pPr>
      <w:r w:rsidRPr="00EB77D6">
        <w:rPr>
          <w:rFonts w:ascii="Times New Roman" w:eastAsia="Times New Roman" w:hAnsi="Times New Roman"/>
        </w:rPr>
        <w:t xml:space="preserve">                                  </w:t>
      </w:r>
      <w:r w:rsidRPr="00EB77D6">
        <w:rPr>
          <w:rFonts w:ascii="Times New Roman" w:eastAsia="Times New Roman" w:hAnsi="Times New Roman"/>
          <w:lang w:val="mk-MK"/>
        </w:rPr>
        <w:t xml:space="preserve">                              </w:t>
      </w:r>
      <w:r w:rsidRPr="00EB77D6">
        <w:rPr>
          <w:rFonts w:ascii="Times New Roman" w:eastAsia="Times New Roman" w:hAnsi="Times New Roman"/>
        </w:rPr>
        <w:t xml:space="preserve"> </w:t>
      </w:r>
      <w:r w:rsidRPr="00EB77D6">
        <w:rPr>
          <w:rFonts w:ascii="Times New Roman" w:eastAsia="Times New Roman" w:hAnsi="Times New Roman"/>
          <w:lang w:val="mk-MK"/>
        </w:rPr>
        <w:t xml:space="preserve">Генерален директор за корпоративно банкарство </w:t>
      </w:r>
      <w:r w:rsidRPr="00EB77D6">
        <w:rPr>
          <w:rFonts w:ascii="Times New Roman" w:eastAsia="Times New Roman" w:hAnsi="Times New Roman"/>
          <w:lang w:val="mk-MK"/>
        </w:rPr>
        <w:br/>
        <w:t xml:space="preserve">                                                              и член на Управен одбор</w:t>
      </w:r>
    </w:p>
    <w:p w14:paraId="2A400521" w14:textId="77777777" w:rsidR="001C5B17" w:rsidRPr="00EB77D6" w:rsidRDefault="001C5B17" w:rsidP="001C5B17">
      <w:pPr>
        <w:spacing w:after="0" w:line="240" w:lineRule="auto"/>
        <w:ind w:left="2160" w:firstLine="720"/>
        <w:jc w:val="center"/>
        <w:rPr>
          <w:rFonts w:ascii="Times New Roman" w:eastAsia="Times New Roman" w:hAnsi="Times New Roman"/>
          <w:lang w:val="mk-MK"/>
        </w:rPr>
      </w:pPr>
    </w:p>
    <w:p w14:paraId="75117DA7" w14:textId="77777777" w:rsidR="001C5B17" w:rsidRPr="00EB77D6" w:rsidRDefault="001C5B17" w:rsidP="001C5B17">
      <w:pPr>
        <w:spacing w:after="0" w:line="240" w:lineRule="auto"/>
        <w:ind w:left="2160" w:firstLine="720"/>
        <w:jc w:val="center"/>
        <w:rPr>
          <w:rFonts w:ascii="Times New Roman" w:eastAsia="Times New Roman" w:hAnsi="Times New Roman"/>
          <w:lang w:val="pl-PL"/>
        </w:rPr>
      </w:pPr>
      <w:r w:rsidRPr="00EB77D6">
        <w:rPr>
          <w:rFonts w:ascii="Times New Roman" w:eastAsia="Times New Roman" w:hAnsi="Times New Roman"/>
          <w:lang w:val="mk-MK"/>
        </w:rPr>
        <w:t xml:space="preserve">   </w:t>
      </w:r>
      <w:r w:rsidRPr="00EB77D6">
        <w:rPr>
          <w:rFonts w:ascii="Times New Roman" w:eastAsia="Times New Roman" w:hAnsi="Times New Roman"/>
        </w:rPr>
        <w:t>_______________________</w:t>
      </w:r>
      <w:r w:rsidRPr="00EB77D6">
        <w:rPr>
          <w:rFonts w:ascii="Times New Roman" w:eastAsia="Times New Roman" w:hAnsi="Times New Roman"/>
          <w:lang w:val="pl-PL"/>
        </w:rPr>
        <w:t xml:space="preserve"> </w:t>
      </w:r>
    </w:p>
    <w:p w14:paraId="3B0E787D" w14:textId="77777777" w:rsidR="001C5B17" w:rsidRPr="00EB77D6" w:rsidRDefault="001C5B17" w:rsidP="001C5B17">
      <w:pPr>
        <w:spacing w:after="0" w:line="240" w:lineRule="auto"/>
        <w:jc w:val="center"/>
        <w:rPr>
          <w:rFonts w:ascii="Times New Roman" w:eastAsia="Times New Roman" w:hAnsi="Times New Roman"/>
          <w:b/>
          <w:lang w:val="mk-MK"/>
        </w:rPr>
      </w:pPr>
      <w:r w:rsidRPr="00EB77D6">
        <w:rPr>
          <w:rFonts w:ascii="Times New Roman" w:eastAsia="Times New Roman" w:hAnsi="Times New Roman"/>
          <w:b/>
          <w:lang w:val="mk-MK"/>
        </w:rPr>
        <w:t xml:space="preserve">            </w:t>
      </w:r>
      <w:r w:rsidRPr="00EB77D6">
        <w:rPr>
          <w:rFonts w:ascii="Times New Roman" w:eastAsia="Times New Roman" w:hAnsi="Times New Roman"/>
          <w:b/>
        </w:rPr>
        <w:t xml:space="preserve">                                                 </w:t>
      </w:r>
      <w:r w:rsidRPr="00EB77D6">
        <w:rPr>
          <w:rFonts w:ascii="Times New Roman" w:eastAsia="Times New Roman" w:hAnsi="Times New Roman"/>
          <w:b/>
          <w:lang w:val="mk-MK"/>
        </w:rPr>
        <w:t>Бојан Стојаноски</w:t>
      </w:r>
    </w:p>
    <w:p w14:paraId="353120F6" w14:textId="77777777" w:rsidR="001C5B17" w:rsidRPr="00EB77D6" w:rsidRDefault="001C5B17" w:rsidP="001C5B17">
      <w:pPr>
        <w:spacing w:after="0" w:line="240" w:lineRule="auto"/>
        <w:jc w:val="center"/>
        <w:rPr>
          <w:rFonts w:ascii="Times New Roman" w:eastAsia="Times New Roman" w:hAnsi="Times New Roman"/>
          <w:lang w:val="mk-MK"/>
        </w:rPr>
      </w:pPr>
      <w:r w:rsidRPr="00EB77D6">
        <w:rPr>
          <w:rFonts w:ascii="Times New Roman" w:eastAsia="Times New Roman" w:hAnsi="Times New Roman"/>
        </w:rPr>
        <w:t xml:space="preserve">                                  </w:t>
      </w:r>
      <w:r w:rsidRPr="00EB77D6">
        <w:rPr>
          <w:rFonts w:ascii="Times New Roman" w:eastAsia="Times New Roman" w:hAnsi="Times New Roman"/>
          <w:lang w:val="mk-MK"/>
        </w:rPr>
        <w:t xml:space="preserve">                              </w:t>
      </w:r>
      <w:r w:rsidRPr="00EB77D6">
        <w:rPr>
          <w:rFonts w:ascii="Times New Roman" w:eastAsia="Times New Roman" w:hAnsi="Times New Roman"/>
        </w:rPr>
        <w:t xml:space="preserve"> </w:t>
      </w:r>
      <w:r w:rsidRPr="00EB77D6">
        <w:rPr>
          <w:rFonts w:ascii="Times New Roman" w:eastAsia="Times New Roman" w:hAnsi="Times New Roman"/>
          <w:lang w:val="mk-MK"/>
        </w:rPr>
        <w:t xml:space="preserve">Генерален директор за управување со ризици </w:t>
      </w:r>
      <w:r w:rsidRPr="00EB77D6">
        <w:rPr>
          <w:rFonts w:ascii="Times New Roman" w:eastAsia="Times New Roman" w:hAnsi="Times New Roman"/>
          <w:lang w:val="mk-MK"/>
        </w:rPr>
        <w:br/>
        <w:t xml:space="preserve">                                                              и член на Управен одбор</w:t>
      </w:r>
    </w:p>
    <w:p w14:paraId="38CA5722" w14:textId="77777777" w:rsidR="001C5B17" w:rsidRPr="00EB77D6" w:rsidRDefault="001C5B17" w:rsidP="001C5B17">
      <w:pPr>
        <w:ind w:left="2160" w:firstLine="720"/>
        <w:jc w:val="center"/>
        <w:rPr>
          <w:rFonts w:ascii="Times New Roman" w:eastAsia="Times New Roman" w:hAnsi="Times New Roman"/>
        </w:rPr>
      </w:pPr>
    </w:p>
    <w:p w14:paraId="457D7E0E" w14:textId="77777777" w:rsidR="001C5B17" w:rsidRPr="00EB77D6" w:rsidRDefault="001C5B17" w:rsidP="001C5B17">
      <w:pPr>
        <w:spacing w:after="0" w:line="240" w:lineRule="auto"/>
        <w:ind w:left="2160" w:firstLine="720"/>
        <w:jc w:val="center"/>
        <w:rPr>
          <w:rFonts w:ascii="Times New Roman" w:eastAsia="Times New Roman" w:hAnsi="Times New Roman"/>
          <w:lang w:val="pl-PL"/>
        </w:rPr>
      </w:pPr>
      <w:r w:rsidRPr="00EB77D6">
        <w:rPr>
          <w:rFonts w:ascii="Times New Roman" w:eastAsia="Times New Roman" w:hAnsi="Times New Roman"/>
        </w:rPr>
        <w:t xml:space="preserve">   _________________________</w:t>
      </w:r>
      <w:r w:rsidRPr="00EB77D6">
        <w:rPr>
          <w:rFonts w:ascii="Times New Roman" w:eastAsia="Times New Roman" w:hAnsi="Times New Roman"/>
          <w:lang w:val="pl-PL"/>
        </w:rPr>
        <w:t xml:space="preserve">   </w:t>
      </w:r>
    </w:p>
    <w:p w14:paraId="7A59BC98" w14:textId="77777777" w:rsidR="001C5B17" w:rsidRPr="00EB77D6" w:rsidRDefault="001C5B17" w:rsidP="001C5B17">
      <w:pPr>
        <w:spacing w:after="0" w:line="240" w:lineRule="auto"/>
        <w:jc w:val="center"/>
        <w:rPr>
          <w:rFonts w:ascii="Times New Roman" w:eastAsia="Times New Roman" w:hAnsi="Times New Roman"/>
          <w:b/>
          <w:lang w:val="mk-MK"/>
        </w:rPr>
      </w:pPr>
      <w:r w:rsidRPr="00EB77D6">
        <w:rPr>
          <w:rFonts w:ascii="Times New Roman" w:eastAsia="Times New Roman" w:hAnsi="Times New Roman"/>
          <w:lang w:val="mk-MK"/>
        </w:rPr>
        <w:t xml:space="preserve">            </w:t>
      </w:r>
      <w:r w:rsidRPr="00EB77D6">
        <w:rPr>
          <w:rFonts w:ascii="Times New Roman" w:eastAsia="Times New Roman" w:hAnsi="Times New Roman"/>
        </w:rPr>
        <w:t xml:space="preserve">                                                  </w:t>
      </w:r>
      <w:r w:rsidRPr="00EB77D6">
        <w:rPr>
          <w:rFonts w:ascii="Times New Roman" w:eastAsia="Times New Roman" w:hAnsi="Times New Roman"/>
          <w:b/>
          <w:lang w:val="mk-MK"/>
        </w:rPr>
        <w:t>Милица Чапаровска - Јовановска</w:t>
      </w:r>
    </w:p>
    <w:p w14:paraId="5FA5076E" w14:textId="77777777" w:rsidR="001C5B17" w:rsidRPr="00EB77D6" w:rsidRDefault="001C5B17" w:rsidP="001C5B17">
      <w:pPr>
        <w:spacing w:after="0" w:line="240" w:lineRule="auto"/>
        <w:jc w:val="center"/>
        <w:rPr>
          <w:rFonts w:ascii="Times New Roman" w:eastAsia="Times New Roman" w:hAnsi="Times New Roman"/>
          <w:lang w:val="mk-MK"/>
        </w:rPr>
      </w:pPr>
      <w:r w:rsidRPr="00EB77D6">
        <w:rPr>
          <w:rFonts w:ascii="Times New Roman" w:eastAsia="Times New Roman" w:hAnsi="Times New Roman"/>
        </w:rPr>
        <w:t xml:space="preserve">                                  </w:t>
      </w:r>
      <w:r w:rsidRPr="00EB77D6">
        <w:rPr>
          <w:rFonts w:ascii="Times New Roman" w:eastAsia="Times New Roman" w:hAnsi="Times New Roman"/>
          <w:lang w:val="mk-MK"/>
        </w:rPr>
        <w:t xml:space="preserve">                              </w:t>
      </w:r>
      <w:r w:rsidRPr="00EB77D6">
        <w:rPr>
          <w:rFonts w:ascii="Times New Roman" w:eastAsia="Times New Roman" w:hAnsi="Times New Roman"/>
        </w:rPr>
        <w:t xml:space="preserve"> </w:t>
      </w:r>
      <w:r w:rsidRPr="00EB77D6">
        <w:rPr>
          <w:rFonts w:ascii="Times New Roman" w:eastAsia="Times New Roman" w:hAnsi="Times New Roman"/>
          <w:lang w:val="mk-MK"/>
        </w:rPr>
        <w:t>Генерален директор за банкарство на мало</w:t>
      </w:r>
      <w:r w:rsidRPr="00EB77D6">
        <w:rPr>
          <w:rFonts w:ascii="Times New Roman" w:eastAsia="Times New Roman" w:hAnsi="Times New Roman"/>
          <w:lang w:val="mk-MK"/>
        </w:rPr>
        <w:br/>
        <w:t xml:space="preserve">                                                              и член на Управен одбор</w:t>
      </w:r>
    </w:p>
    <w:p w14:paraId="591AFCAC" w14:textId="77777777" w:rsidR="001C5B17" w:rsidRDefault="001C5B17" w:rsidP="001C5B17">
      <w:pPr>
        <w:spacing w:after="0" w:line="240" w:lineRule="auto"/>
        <w:jc w:val="center"/>
        <w:rPr>
          <w:rFonts w:eastAsia="Times New Roman" w:cs="Calibri"/>
          <w:lang w:val="mk-MK"/>
        </w:rPr>
      </w:pPr>
    </w:p>
    <w:p w14:paraId="7B5C3A08" w14:textId="77777777" w:rsidR="001C5B17" w:rsidRDefault="001C5B17" w:rsidP="001C5B17">
      <w:pPr>
        <w:spacing w:after="0" w:line="240" w:lineRule="auto"/>
        <w:jc w:val="center"/>
        <w:rPr>
          <w:rFonts w:eastAsia="Times New Roman" w:cs="Calibri"/>
          <w:lang w:val="mk-MK"/>
        </w:rPr>
      </w:pPr>
    </w:p>
    <w:p w14:paraId="1C2B4629" w14:textId="77777777" w:rsidR="001C5B17" w:rsidRDefault="001C5B17" w:rsidP="001C5B17">
      <w:pPr>
        <w:spacing w:after="0" w:line="240" w:lineRule="auto"/>
        <w:jc w:val="center"/>
        <w:rPr>
          <w:rFonts w:eastAsia="Times New Roman" w:cs="Calibri"/>
          <w:lang w:val="mk-MK"/>
        </w:rPr>
      </w:pPr>
    </w:p>
    <w:p w14:paraId="432F531C" w14:textId="77777777" w:rsidR="001C5B17" w:rsidRDefault="001C5B17" w:rsidP="001C5B17">
      <w:pPr>
        <w:spacing w:after="0" w:line="240" w:lineRule="auto"/>
        <w:jc w:val="center"/>
        <w:rPr>
          <w:rFonts w:eastAsia="Times New Roman" w:cs="Calibri"/>
          <w:lang w:val="mk-MK"/>
        </w:rPr>
      </w:pPr>
    </w:p>
    <w:p w14:paraId="09942634" w14:textId="77777777" w:rsidR="001C5B17" w:rsidRDefault="001C5B17" w:rsidP="001C5B17">
      <w:pPr>
        <w:spacing w:after="0" w:line="240" w:lineRule="auto"/>
        <w:jc w:val="center"/>
        <w:rPr>
          <w:rFonts w:eastAsia="Times New Roman" w:cs="Calibri"/>
          <w:lang w:val="mk-MK"/>
        </w:rPr>
      </w:pPr>
    </w:p>
    <w:p w14:paraId="138A41E1" w14:textId="77777777" w:rsidR="001C5B17" w:rsidRDefault="001C5B17" w:rsidP="001C5B17">
      <w:pPr>
        <w:spacing w:after="0" w:line="240" w:lineRule="auto"/>
        <w:jc w:val="center"/>
        <w:rPr>
          <w:rFonts w:eastAsia="Times New Roman" w:cs="Calibri"/>
          <w:lang w:val="mk-MK"/>
        </w:rPr>
      </w:pPr>
    </w:p>
    <w:p w14:paraId="3A0E15ED" w14:textId="77777777" w:rsidR="001C5B17" w:rsidRDefault="001C5B17" w:rsidP="001C5B17">
      <w:pPr>
        <w:spacing w:after="0" w:line="240" w:lineRule="auto"/>
        <w:jc w:val="center"/>
        <w:rPr>
          <w:rFonts w:eastAsia="Times New Roman" w:cs="Calibri"/>
          <w:lang w:val="mk-MK"/>
        </w:rPr>
      </w:pPr>
    </w:p>
    <w:p w14:paraId="496BFFFC" w14:textId="77777777" w:rsidR="001C5B17" w:rsidRDefault="001C5B17" w:rsidP="001C5B17">
      <w:pPr>
        <w:spacing w:after="0" w:line="240" w:lineRule="auto"/>
        <w:jc w:val="center"/>
        <w:rPr>
          <w:rFonts w:eastAsia="Times New Roman" w:cs="Calibri"/>
          <w:lang w:val="mk-MK"/>
        </w:rPr>
      </w:pPr>
    </w:p>
    <w:p w14:paraId="4F484D0C" w14:textId="77777777" w:rsidR="001C5B17" w:rsidRPr="00C156AB" w:rsidRDefault="001C5B17" w:rsidP="001C5B17">
      <w:pPr>
        <w:pStyle w:val="Subtitle1"/>
        <w:shd w:val="clear" w:color="auto" w:fill="FFFFFF"/>
        <w:spacing w:before="0" w:beforeAutospacing="0" w:after="0" w:afterAutospacing="0"/>
        <w:jc w:val="center"/>
        <w:rPr>
          <w:color w:val="EC008C"/>
          <w:sz w:val="18"/>
          <w:szCs w:val="18"/>
          <w:lang w:val="mk-MK"/>
        </w:rPr>
      </w:pPr>
      <w:r w:rsidRPr="00C156AB">
        <w:rPr>
          <w:color w:val="EC008C"/>
          <w:sz w:val="18"/>
          <w:szCs w:val="18"/>
          <w:lang w:val="mk-MK"/>
        </w:rPr>
        <w:t>СТОПАНСКА БАНКА АД - СКОПЈЕ</w:t>
      </w:r>
    </w:p>
    <w:p w14:paraId="23C0B1C8" w14:textId="77777777" w:rsidR="001C5B17" w:rsidRPr="00C156AB" w:rsidRDefault="001C5B17" w:rsidP="001C5B17">
      <w:pPr>
        <w:pStyle w:val="NormalWeb"/>
        <w:shd w:val="clear" w:color="auto" w:fill="FFFFFF"/>
        <w:spacing w:before="0" w:beforeAutospacing="0" w:after="0" w:afterAutospacing="0"/>
        <w:jc w:val="center"/>
        <w:rPr>
          <w:color w:val="000000"/>
          <w:sz w:val="18"/>
          <w:szCs w:val="18"/>
        </w:rPr>
      </w:pPr>
    </w:p>
    <w:p w14:paraId="32711921" w14:textId="77777777" w:rsidR="001C5B17" w:rsidRDefault="001C5B17" w:rsidP="001C5B17">
      <w:pPr>
        <w:pStyle w:val="Subtitle1"/>
        <w:shd w:val="clear" w:color="auto" w:fill="FFFFFF"/>
        <w:spacing w:before="0" w:beforeAutospacing="0" w:after="0" w:afterAutospacing="0"/>
        <w:jc w:val="center"/>
        <w:rPr>
          <w:color w:val="EC008C"/>
          <w:sz w:val="22"/>
          <w:szCs w:val="22"/>
        </w:rPr>
      </w:pPr>
      <w:r w:rsidRPr="00C156AB">
        <w:rPr>
          <w:color w:val="6D6D6D"/>
          <w:sz w:val="18"/>
          <w:szCs w:val="18"/>
        </w:rPr>
        <w:t xml:space="preserve">11 </w:t>
      </w:r>
      <w:r w:rsidRPr="00C156AB">
        <w:rPr>
          <w:color w:val="6D6D6D"/>
          <w:sz w:val="18"/>
          <w:szCs w:val="18"/>
          <w:lang w:val="mk-MK"/>
        </w:rPr>
        <w:t>ОКТОМВРИ</w:t>
      </w:r>
      <w:r w:rsidRPr="00C156AB">
        <w:rPr>
          <w:color w:val="6D6D6D"/>
          <w:sz w:val="18"/>
          <w:szCs w:val="18"/>
        </w:rPr>
        <w:t xml:space="preserve">, 1000 </w:t>
      </w:r>
      <w:r w:rsidRPr="00C156AB">
        <w:rPr>
          <w:color w:val="6D6D6D"/>
          <w:sz w:val="18"/>
          <w:szCs w:val="18"/>
          <w:lang w:val="mk-MK"/>
        </w:rPr>
        <w:t>СКОПЈЕ</w:t>
      </w:r>
      <w:r w:rsidRPr="00C156AB">
        <w:rPr>
          <w:rStyle w:val="apple-converted-space"/>
          <w:color w:val="6D6D6D"/>
          <w:sz w:val="18"/>
          <w:szCs w:val="18"/>
        </w:rPr>
        <w:t> </w:t>
      </w:r>
      <w:r w:rsidRPr="00C156AB">
        <w:rPr>
          <w:color w:val="6D6D6D"/>
          <w:sz w:val="18"/>
          <w:szCs w:val="18"/>
        </w:rPr>
        <w:br/>
      </w:r>
      <w:r w:rsidRPr="00C156AB">
        <w:rPr>
          <w:color w:val="6D6D6D"/>
          <w:sz w:val="18"/>
          <w:szCs w:val="18"/>
          <w:lang w:val="mk-MK"/>
        </w:rPr>
        <w:t>телефон</w:t>
      </w:r>
      <w:r w:rsidRPr="00C156AB">
        <w:rPr>
          <w:color w:val="6D6D6D"/>
          <w:sz w:val="18"/>
          <w:szCs w:val="18"/>
        </w:rPr>
        <w:t>: +389 (0)2 3295-295</w:t>
      </w:r>
      <w:r w:rsidRPr="00C156AB">
        <w:rPr>
          <w:rStyle w:val="apple-converted-space"/>
          <w:color w:val="6D6D6D"/>
          <w:sz w:val="18"/>
          <w:szCs w:val="18"/>
        </w:rPr>
        <w:t> </w:t>
      </w:r>
      <w:r w:rsidRPr="00C156AB">
        <w:rPr>
          <w:color w:val="6D6D6D"/>
          <w:sz w:val="18"/>
          <w:szCs w:val="18"/>
        </w:rPr>
        <w:br/>
      </w:r>
      <w:r w:rsidRPr="00C156AB">
        <w:rPr>
          <w:rStyle w:val="normaltext1"/>
          <w:rFonts w:eastAsiaTheme="majorEastAsia"/>
          <w:color w:val="6D6D6D"/>
          <w:sz w:val="18"/>
          <w:szCs w:val="18"/>
        </w:rPr>
        <w:t>E-mail:</w:t>
      </w:r>
      <w:r w:rsidRPr="00C156AB">
        <w:rPr>
          <w:rStyle w:val="apple-converted-space"/>
          <w:color w:val="000000"/>
          <w:sz w:val="18"/>
          <w:szCs w:val="18"/>
        </w:rPr>
        <w:t> </w:t>
      </w:r>
      <w:hyperlink r:id="rId30" w:history="1">
        <w:r w:rsidRPr="00C156AB">
          <w:rPr>
            <w:rStyle w:val="Hyperlink"/>
            <w:rFonts w:eastAsiaTheme="majorEastAsia"/>
            <w:b/>
            <w:bCs/>
            <w:color w:val="4D4D4D"/>
            <w:sz w:val="18"/>
            <w:szCs w:val="18"/>
          </w:rPr>
          <w:t>sbank@stb.com.mk</w:t>
        </w:r>
      </w:hyperlink>
      <w:r w:rsidRPr="00C156AB">
        <w:rPr>
          <w:color w:val="000000"/>
          <w:sz w:val="18"/>
          <w:szCs w:val="18"/>
        </w:rPr>
        <w:br/>
      </w:r>
      <w:r w:rsidRPr="00C156AB">
        <w:rPr>
          <w:rStyle w:val="normaltext1"/>
          <w:rFonts w:eastAsiaTheme="majorEastAsia"/>
          <w:color w:val="6D6D6D"/>
          <w:sz w:val="18"/>
          <w:szCs w:val="18"/>
        </w:rPr>
        <w:t>http://</w:t>
      </w:r>
      <w:r w:rsidRPr="00C156AB">
        <w:rPr>
          <w:rStyle w:val="apple-converted-space"/>
          <w:color w:val="000000"/>
          <w:sz w:val="18"/>
          <w:szCs w:val="18"/>
        </w:rPr>
        <w:t> </w:t>
      </w:r>
      <w:hyperlink r:id="rId31" w:history="1">
        <w:r w:rsidRPr="00C156AB">
          <w:rPr>
            <w:rStyle w:val="Hyperlink"/>
            <w:rFonts w:eastAsiaTheme="majorEastAsia"/>
            <w:b/>
            <w:bCs/>
            <w:color w:val="4D4D4D"/>
            <w:sz w:val="18"/>
            <w:szCs w:val="18"/>
          </w:rPr>
          <w:t>www.stb.com.mk</w:t>
        </w:r>
      </w:hyperlink>
    </w:p>
    <w:p w14:paraId="06163C1E" w14:textId="77777777" w:rsidR="006826BC" w:rsidRPr="002A7975" w:rsidRDefault="006826BC" w:rsidP="006826BC">
      <w:pPr>
        <w:spacing w:after="0" w:line="240" w:lineRule="auto"/>
        <w:jc w:val="center"/>
        <w:rPr>
          <w:rFonts w:eastAsia="Times New Roman" w:cs="Calibri"/>
          <w:lang w:val="mk-MK"/>
        </w:rPr>
      </w:pPr>
    </w:p>
    <w:p w14:paraId="1E0CF5C3" w14:textId="77777777" w:rsidR="006826BC" w:rsidRPr="001C5B17" w:rsidRDefault="006826BC" w:rsidP="006826BC">
      <w:pPr>
        <w:pStyle w:val="Subtitle1"/>
        <w:shd w:val="clear" w:color="auto" w:fill="FFFFFF"/>
        <w:spacing w:before="0" w:beforeAutospacing="0" w:after="0" w:afterAutospacing="0"/>
        <w:rPr>
          <w:color w:val="EC008C"/>
          <w:sz w:val="22"/>
          <w:szCs w:val="22"/>
          <w:lang w:val="mk-MK"/>
        </w:rPr>
      </w:pPr>
    </w:p>
    <w:p w14:paraId="723CE96B" w14:textId="77777777" w:rsidR="006826BC" w:rsidRPr="001C5B17" w:rsidRDefault="006826BC" w:rsidP="006826BC">
      <w:pPr>
        <w:pStyle w:val="Subtitle1"/>
        <w:shd w:val="clear" w:color="auto" w:fill="FFFFFF"/>
        <w:spacing w:before="0" w:beforeAutospacing="0" w:after="0" w:afterAutospacing="0"/>
        <w:rPr>
          <w:color w:val="EC008C"/>
          <w:sz w:val="22"/>
          <w:szCs w:val="22"/>
          <w:lang w:val="mk-MK"/>
        </w:rPr>
      </w:pPr>
    </w:p>
    <w:p w14:paraId="25D394D3" w14:textId="77777777" w:rsidR="006826BC" w:rsidRPr="001C5B17" w:rsidRDefault="006826BC" w:rsidP="006826BC">
      <w:pPr>
        <w:pStyle w:val="Subtitle1"/>
        <w:shd w:val="clear" w:color="auto" w:fill="FFFFFF"/>
        <w:spacing w:before="0" w:beforeAutospacing="0" w:after="0" w:afterAutospacing="0"/>
        <w:rPr>
          <w:color w:val="EC008C"/>
          <w:sz w:val="22"/>
          <w:szCs w:val="22"/>
          <w:lang w:val="mk-MK"/>
        </w:rPr>
      </w:pPr>
    </w:p>
    <w:p w14:paraId="41012C4F" w14:textId="77777777" w:rsidR="006826BC" w:rsidRPr="001C5B17" w:rsidRDefault="006826BC" w:rsidP="006826BC">
      <w:pPr>
        <w:pStyle w:val="Subtitle1"/>
        <w:shd w:val="clear" w:color="auto" w:fill="FFFFFF"/>
        <w:spacing w:before="0" w:beforeAutospacing="0" w:after="0" w:afterAutospacing="0"/>
        <w:rPr>
          <w:color w:val="EC008C"/>
          <w:sz w:val="22"/>
          <w:szCs w:val="22"/>
          <w:lang w:val="mk-MK"/>
        </w:rPr>
      </w:pPr>
    </w:p>
    <w:p w14:paraId="650D9B61" w14:textId="77777777" w:rsidR="006826BC" w:rsidRPr="001C5B17" w:rsidRDefault="006826BC" w:rsidP="00A86407">
      <w:pPr>
        <w:autoSpaceDE w:val="0"/>
        <w:autoSpaceDN w:val="0"/>
        <w:adjustRightInd w:val="0"/>
        <w:spacing w:before="240"/>
        <w:jc w:val="both"/>
        <w:rPr>
          <w:rFonts w:ascii="Times New Roman" w:hAnsi="Times New Roman"/>
          <w:sz w:val="24"/>
          <w:lang w:val="mk-MK"/>
        </w:rPr>
      </w:pPr>
    </w:p>
    <w:p w14:paraId="560EB96B" w14:textId="77777777" w:rsidR="00AE7937" w:rsidRPr="001C5B17" w:rsidRDefault="00AE7937" w:rsidP="00AE7937">
      <w:pPr>
        <w:autoSpaceDE w:val="0"/>
        <w:autoSpaceDN w:val="0"/>
        <w:adjustRightInd w:val="0"/>
        <w:spacing w:before="240"/>
        <w:jc w:val="both"/>
        <w:rPr>
          <w:rFonts w:asciiTheme="minorHAnsi" w:hAnsiTheme="minorHAnsi" w:cstheme="minorHAnsi"/>
          <w:lang w:val="mk-MK"/>
        </w:rPr>
      </w:pPr>
    </w:p>
    <w:sectPr w:rsidR="00AE7937" w:rsidRPr="001C5B17" w:rsidSect="00C156AB">
      <w:footerReference w:type="first" r:id="rId32"/>
      <w:pgSz w:w="12240" w:h="15840" w:code="1"/>
      <w:pgMar w:top="1440" w:right="1440" w:bottom="1260" w:left="1531" w:header="720" w:footer="720" w:gutter="0"/>
      <w:pgNumType w:start="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8F3A" w16cex:dateUtc="2023-04-26T09:53:00Z"/>
  <w16cex:commentExtensible w16cex:durableId="27F101DC" w16cex:dateUtc="2023-04-24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AA7DD1" w16cid:durableId="27F38F3A"/>
  <w16cid:commentId w16cid:paraId="12EA6BDA" w16cid:durableId="27F101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09271" w14:textId="77777777" w:rsidR="00E92686" w:rsidRDefault="00E92686" w:rsidP="005B6AFC">
      <w:pPr>
        <w:spacing w:after="0" w:line="240" w:lineRule="auto"/>
      </w:pPr>
      <w:r>
        <w:separator/>
      </w:r>
    </w:p>
  </w:endnote>
  <w:endnote w:type="continuationSeparator" w:id="0">
    <w:p w14:paraId="313D2B8B" w14:textId="77777777" w:rsidR="00E92686" w:rsidRDefault="00E92686" w:rsidP="005B6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cedonian Tms">
    <w:altName w:val="Times New Roman"/>
    <w:panose1 w:val="02020603050405020304"/>
    <w:charset w:val="00"/>
    <w:family w:val="roman"/>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MAC C Times">
    <w:panose1 w:val="02027200000000000000"/>
    <w:charset w:val="00"/>
    <w:family w:val="roman"/>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Three">
    <w:panose1 w:val="00000000000000000000"/>
    <w:charset w:val="00"/>
    <w:family w:val="roman"/>
    <w:notTrueType/>
    <w:pitch w:val="default"/>
    <w:sig w:usb0="00000003" w:usb1="00000000" w:usb2="00000000" w:usb3="00000000" w:csb0="00000001" w:csb1="00000000"/>
  </w:font>
  <w:font w:name="MakCirT">
    <w:panose1 w:val="02027200000000000000"/>
    <w:charset w:val="00"/>
    <w:family w:val="roman"/>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MAC C Swiss">
    <w:panose1 w:val="020B7200000000000000"/>
    <w:charset w:val="00"/>
    <w:family w:val="swiss"/>
    <w:pitch w:val="variable"/>
    <w:sig w:usb0="00000083"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7508"/>
      <w:docPartObj>
        <w:docPartGallery w:val="Page Numbers (Bottom of Page)"/>
        <w:docPartUnique/>
      </w:docPartObj>
    </w:sdtPr>
    <w:sdtEndPr/>
    <w:sdtContent>
      <w:p w14:paraId="3CAE298F" w14:textId="4274BC42" w:rsidR="00E92686" w:rsidRDefault="00E92686">
        <w:pPr>
          <w:pStyle w:val="Footer"/>
          <w:jc w:val="right"/>
        </w:pPr>
        <w:r>
          <w:fldChar w:fldCharType="begin"/>
        </w:r>
        <w:r>
          <w:instrText xml:space="preserve"> PAGE   \* MERGEFORMAT </w:instrText>
        </w:r>
        <w:r>
          <w:fldChar w:fldCharType="separate"/>
        </w:r>
        <w:r w:rsidR="002577EC">
          <w:rPr>
            <w:noProof/>
          </w:rPr>
          <w:t>2</w:t>
        </w:r>
        <w:r>
          <w:rPr>
            <w:noProof/>
          </w:rPr>
          <w:fldChar w:fldCharType="end"/>
        </w:r>
      </w:p>
    </w:sdtContent>
  </w:sdt>
  <w:p w14:paraId="007D32C9" w14:textId="77777777" w:rsidR="00E92686" w:rsidRDefault="00E92686" w:rsidP="00CB6108">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4F0BA" w14:textId="77777777" w:rsidR="00E92686" w:rsidRDefault="00E92686">
    <w:pPr>
      <w:pStyle w:val="Footer"/>
      <w:jc w:val="right"/>
    </w:pPr>
  </w:p>
  <w:p w14:paraId="0DF4073C" w14:textId="77777777" w:rsidR="00E92686" w:rsidRDefault="00E92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BD5AD" w14:textId="77777777" w:rsidR="00E92686" w:rsidRDefault="00E92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C0785" w14:textId="77777777" w:rsidR="00E92686" w:rsidRDefault="00E92686" w:rsidP="005B6AFC">
      <w:pPr>
        <w:spacing w:after="0" w:line="240" w:lineRule="auto"/>
      </w:pPr>
      <w:r>
        <w:separator/>
      </w:r>
    </w:p>
  </w:footnote>
  <w:footnote w:type="continuationSeparator" w:id="0">
    <w:p w14:paraId="5386671C" w14:textId="77777777" w:rsidR="00E92686" w:rsidRDefault="00E92686" w:rsidP="005B6AFC">
      <w:pPr>
        <w:spacing w:after="0" w:line="240" w:lineRule="auto"/>
      </w:pPr>
      <w:r>
        <w:continuationSeparator/>
      </w:r>
    </w:p>
  </w:footnote>
  <w:footnote w:id="1">
    <w:p w14:paraId="40952A88" w14:textId="77777777" w:rsidR="00E92686" w:rsidRPr="00872866" w:rsidRDefault="00E92686" w:rsidP="001C5B17">
      <w:pPr>
        <w:pStyle w:val="FootnoteText"/>
        <w:rPr>
          <w:rFonts w:asciiTheme="minorHAnsi" w:hAnsiTheme="minorHAnsi" w:cstheme="minorHAnsi"/>
          <w:sz w:val="18"/>
          <w:szCs w:val="18"/>
          <w:lang w:val="mk-MK"/>
        </w:rPr>
      </w:pPr>
      <w:r w:rsidRPr="00872866">
        <w:rPr>
          <w:rStyle w:val="FootnoteReference"/>
          <w:rFonts w:asciiTheme="minorHAnsi" w:hAnsiTheme="minorHAnsi" w:cstheme="minorHAnsi"/>
          <w:sz w:val="18"/>
          <w:szCs w:val="18"/>
        </w:rPr>
        <w:footnoteRef/>
      </w:r>
      <w:r w:rsidRPr="00872866">
        <w:rPr>
          <w:rFonts w:asciiTheme="minorHAnsi" w:hAnsiTheme="minorHAnsi" w:cstheme="minorHAnsi"/>
          <w:sz w:val="18"/>
          <w:szCs w:val="18"/>
        </w:rPr>
        <w:t xml:space="preserve"> </w:t>
      </w:r>
      <w:r w:rsidRPr="00872866">
        <w:rPr>
          <w:rFonts w:asciiTheme="minorHAnsi" w:hAnsiTheme="minorHAnsi" w:cstheme="minorHAnsi"/>
          <w:sz w:val="18"/>
          <w:szCs w:val="18"/>
          <w:lang w:val="mk-MK"/>
        </w:rPr>
        <w:t xml:space="preserve">Г-дин Велјанов е исто така член на Институтот на овластени ревизори на Република С. Македонија, без надоместок. </w:t>
      </w:r>
    </w:p>
  </w:footnote>
  <w:footnote w:id="2">
    <w:p w14:paraId="358D7E85" w14:textId="77777777" w:rsidR="00E92686" w:rsidRPr="00872866" w:rsidRDefault="00E92686" w:rsidP="001C5B17">
      <w:pPr>
        <w:pStyle w:val="FootnoteText"/>
        <w:jc w:val="both"/>
        <w:rPr>
          <w:rFonts w:asciiTheme="minorHAnsi" w:hAnsiTheme="minorHAnsi" w:cstheme="minorHAnsi"/>
          <w:sz w:val="18"/>
          <w:szCs w:val="18"/>
          <w:lang w:val="en-US"/>
        </w:rPr>
      </w:pPr>
      <w:r w:rsidRPr="00872866">
        <w:rPr>
          <w:rStyle w:val="FootnoteReference"/>
          <w:rFonts w:asciiTheme="minorHAnsi" w:hAnsiTheme="minorHAnsi" w:cstheme="minorHAnsi"/>
          <w:sz w:val="18"/>
          <w:szCs w:val="18"/>
        </w:rPr>
        <w:footnoteRef/>
      </w:r>
      <w:r w:rsidRPr="00872866">
        <w:rPr>
          <w:rFonts w:asciiTheme="minorHAnsi" w:hAnsiTheme="minorHAnsi" w:cstheme="minorHAnsi"/>
          <w:sz w:val="18"/>
          <w:szCs w:val="18"/>
          <w:lang w:val="en-US"/>
        </w:rPr>
        <w:t>Г-</w:t>
      </w:r>
      <w:r w:rsidRPr="00872866">
        <w:rPr>
          <w:rFonts w:asciiTheme="minorHAnsi" w:hAnsiTheme="minorHAnsi" w:cstheme="minorHAnsi"/>
          <w:sz w:val="18"/>
          <w:szCs w:val="18"/>
          <w:lang w:val="mk-MK"/>
        </w:rPr>
        <w:t>ѓа</w:t>
      </w:r>
      <w:r w:rsidRPr="00872866">
        <w:rPr>
          <w:rFonts w:asciiTheme="minorHAnsi" w:hAnsiTheme="minorHAnsi" w:cstheme="minorHAnsi"/>
          <w:sz w:val="18"/>
          <w:szCs w:val="18"/>
          <w:lang w:val="en-US"/>
        </w:rPr>
        <w:t xml:space="preserve"> М. </w:t>
      </w:r>
      <w:r w:rsidRPr="00872866">
        <w:rPr>
          <w:rFonts w:asciiTheme="minorHAnsi" w:hAnsiTheme="minorHAnsi" w:cstheme="minorHAnsi"/>
          <w:sz w:val="18"/>
          <w:szCs w:val="18"/>
          <w:lang w:val="mk-MK"/>
        </w:rPr>
        <w:t>Трајановска</w:t>
      </w:r>
      <w:r w:rsidRPr="00872866">
        <w:rPr>
          <w:rFonts w:asciiTheme="minorHAnsi" w:hAnsiTheme="minorHAnsi" w:cstheme="minorHAnsi"/>
          <w:sz w:val="18"/>
          <w:szCs w:val="18"/>
          <w:lang w:val="en-US"/>
        </w:rPr>
        <w:t xml:space="preserve"> </w:t>
      </w:r>
      <w:r w:rsidRPr="00872866">
        <w:rPr>
          <w:rFonts w:asciiTheme="minorHAnsi" w:hAnsiTheme="minorHAnsi" w:cstheme="minorHAnsi"/>
          <w:sz w:val="18"/>
          <w:szCs w:val="18"/>
          <w:lang w:val="mk-MK"/>
        </w:rPr>
        <w:t>е исто така</w:t>
      </w:r>
      <w:r w:rsidRPr="00872866">
        <w:rPr>
          <w:rFonts w:asciiTheme="minorHAnsi" w:hAnsiTheme="minorHAnsi" w:cstheme="minorHAnsi"/>
          <w:sz w:val="18"/>
          <w:szCs w:val="18"/>
          <w:lang w:val="en-US"/>
        </w:rPr>
        <w:t xml:space="preserve"> </w:t>
      </w:r>
      <w:r w:rsidRPr="00872866">
        <w:rPr>
          <w:rFonts w:asciiTheme="minorHAnsi" w:hAnsiTheme="minorHAnsi" w:cstheme="minorHAnsi"/>
          <w:sz w:val="18"/>
          <w:szCs w:val="18"/>
          <w:lang w:val="mk-MK"/>
        </w:rPr>
        <w:t>претседател</w:t>
      </w:r>
      <w:r w:rsidRPr="00872866">
        <w:rPr>
          <w:rFonts w:asciiTheme="minorHAnsi" w:hAnsiTheme="minorHAnsi" w:cstheme="minorHAnsi"/>
          <w:sz w:val="18"/>
          <w:szCs w:val="18"/>
          <w:lang w:val="en-US"/>
        </w:rPr>
        <w:t xml:space="preserve"> </w:t>
      </w:r>
      <w:r w:rsidRPr="00872866">
        <w:rPr>
          <w:rFonts w:asciiTheme="minorHAnsi" w:hAnsiTheme="minorHAnsi" w:cstheme="minorHAnsi"/>
          <w:sz w:val="18"/>
          <w:szCs w:val="18"/>
          <w:lang w:val="mk-MK"/>
        </w:rPr>
        <w:t>на</w:t>
      </w:r>
      <w:r w:rsidRPr="00872866">
        <w:rPr>
          <w:rFonts w:asciiTheme="minorHAnsi" w:hAnsiTheme="minorHAnsi" w:cstheme="minorHAnsi"/>
          <w:sz w:val="18"/>
          <w:szCs w:val="18"/>
          <w:lang w:val="en-US"/>
        </w:rPr>
        <w:t xml:space="preserve"> </w:t>
      </w:r>
      <w:r w:rsidRPr="00872866">
        <w:rPr>
          <w:rFonts w:asciiTheme="minorHAnsi" w:hAnsiTheme="minorHAnsi" w:cstheme="minorHAnsi"/>
          <w:sz w:val="18"/>
          <w:szCs w:val="18"/>
          <w:lang w:val="mk-MK"/>
        </w:rPr>
        <w:t>Надзорниот одбор</w:t>
      </w:r>
      <w:r w:rsidRPr="00872866">
        <w:rPr>
          <w:rFonts w:asciiTheme="minorHAnsi" w:hAnsiTheme="minorHAnsi" w:cstheme="minorHAnsi"/>
          <w:sz w:val="18"/>
          <w:szCs w:val="18"/>
          <w:lang w:val="en-US"/>
        </w:rPr>
        <w:t xml:space="preserve"> </w:t>
      </w:r>
      <w:r w:rsidRPr="00872866">
        <w:rPr>
          <w:rFonts w:asciiTheme="minorHAnsi" w:hAnsiTheme="minorHAnsi" w:cstheme="minorHAnsi"/>
          <w:sz w:val="18"/>
          <w:szCs w:val="18"/>
          <w:lang w:val="mk-MK"/>
        </w:rPr>
        <w:t>на</w:t>
      </w:r>
      <w:r w:rsidRPr="00872866">
        <w:rPr>
          <w:rFonts w:asciiTheme="minorHAnsi" w:hAnsiTheme="minorHAnsi" w:cstheme="minorHAnsi"/>
          <w:sz w:val="18"/>
          <w:szCs w:val="18"/>
          <w:lang w:val="en-US"/>
        </w:rPr>
        <w:t xml:space="preserve"> </w:t>
      </w:r>
      <w:r w:rsidRPr="00872866">
        <w:rPr>
          <w:rFonts w:asciiTheme="minorHAnsi" w:hAnsiTheme="minorHAnsi" w:cstheme="minorHAnsi"/>
          <w:sz w:val="18"/>
          <w:szCs w:val="18"/>
          <w:lang w:val="mk-MK"/>
        </w:rPr>
        <w:t>клириншката куќа</w:t>
      </w:r>
      <w:r w:rsidRPr="00872866">
        <w:rPr>
          <w:rFonts w:asciiTheme="minorHAnsi" w:hAnsiTheme="minorHAnsi" w:cstheme="minorHAnsi"/>
          <w:sz w:val="18"/>
          <w:szCs w:val="18"/>
          <w:lang w:val="en-US"/>
        </w:rPr>
        <w:t xml:space="preserve"> </w:t>
      </w:r>
      <w:r w:rsidRPr="00872866">
        <w:rPr>
          <w:rFonts w:asciiTheme="minorHAnsi" w:hAnsiTheme="minorHAnsi" w:cstheme="minorHAnsi"/>
          <w:sz w:val="18"/>
          <w:szCs w:val="18"/>
          <w:lang w:val="mk-MK"/>
        </w:rPr>
        <w:t>КИБС АД Скопје</w:t>
      </w:r>
      <w:r w:rsidRPr="00872866">
        <w:rPr>
          <w:rFonts w:asciiTheme="minorHAnsi" w:hAnsiTheme="minorHAnsi" w:cstheme="minorHAnsi"/>
          <w:sz w:val="18"/>
          <w:szCs w:val="18"/>
          <w:lang w:val="en-US"/>
        </w:rPr>
        <w:t xml:space="preserve">. </w:t>
      </w:r>
    </w:p>
  </w:footnote>
  <w:footnote w:id="3">
    <w:p w14:paraId="103B895D" w14:textId="77777777" w:rsidR="00E92686" w:rsidRPr="00872866" w:rsidRDefault="00E92686" w:rsidP="001C5B17">
      <w:pPr>
        <w:pStyle w:val="FootnoteText"/>
        <w:jc w:val="both"/>
        <w:rPr>
          <w:rFonts w:asciiTheme="minorHAnsi" w:hAnsiTheme="minorHAnsi" w:cstheme="minorHAnsi"/>
          <w:sz w:val="18"/>
          <w:szCs w:val="18"/>
          <w:lang w:val="en-US"/>
        </w:rPr>
      </w:pPr>
      <w:r w:rsidRPr="00872866">
        <w:rPr>
          <w:rStyle w:val="FootnoteReference"/>
          <w:rFonts w:asciiTheme="minorHAnsi" w:hAnsiTheme="minorHAnsi" w:cstheme="minorHAnsi"/>
          <w:sz w:val="18"/>
          <w:szCs w:val="18"/>
        </w:rPr>
        <w:footnoteRef/>
      </w:r>
      <w:r>
        <w:rPr>
          <w:rFonts w:asciiTheme="minorHAnsi" w:hAnsiTheme="minorHAnsi" w:cstheme="minorHAnsi"/>
          <w:sz w:val="18"/>
          <w:szCs w:val="18"/>
          <w:lang w:val="mk-MK"/>
        </w:rPr>
        <w:t xml:space="preserve"> Г-дин</w:t>
      </w:r>
      <w:r w:rsidRPr="00872866">
        <w:rPr>
          <w:rFonts w:asciiTheme="minorHAnsi" w:hAnsiTheme="minorHAnsi" w:cstheme="minorHAnsi"/>
          <w:sz w:val="18"/>
          <w:szCs w:val="18"/>
          <w:lang w:val="mk-MK"/>
        </w:rPr>
        <w:t xml:space="preserve"> </w:t>
      </w:r>
      <w:r w:rsidRPr="00872866">
        <w:rPr>
          <w:rFonts w:asciiTheme="minorHAnsi" w:hAnsiTheme="minorHAnsi" w:cstheme="minorHAnsi"/>
          <w:sz w:val="18"/>
          <w:szCs w:val="18"/>
          <w:lang w:val="en-US"/>
        </w:rPr>
        <w:t xml:space="preserve">Стојановски е </w:t>
      </w:r>
      <w:r w:rsidRPr="00872866">
        <w:rPr>
          <w:rFonts w:asciiTheme="minorHAnsi" w:hAnsiTheme="minorHAnsi" w:cstheme="minorHAnsi"/>
          <w:sz w:val="18"/>
          <w:szCs w:val="18"/>
          <w:lang w:val="mk-MK"/>
        </w:rPr>
        <w:t>член на следниве организации</w:t>
      </w:r>
      <w:r w:rsidRPr="00872866">
        <w:rPr>
          <w:rFonts w:asciiTheme="minorHAnsi" w:hAnsiTheme="minorHAnsi" w:cstheme="minorHAnsi"/>
          <w:sz w:val="18"/>
          <w:szCs w:val="18"/>
          <w:lang w:val="en-US"/>
        </w:rPr>
        <w:t>:</w:t>
      </w:r>
    </w:p>
    <w:p w14:paraId="57116E7B" w14:textId="77777777" w:rsidR="00E92686" w:rsidRPr="00872866" w:rsidRDefault="00E92686" w:rsidP="001C5B17">
      <w:pPr>
        <w:pStyle w:val="FootnoteText"/>
        <w:numPr>
          <w:ilvl w:val="0"/>
          <w:numId w:val="22"/>
        </w:numPr>
        <w:jc w:val="both"/>
        <w:rPr>
          <w:rFonts w:asciiTheme="minorHAnsi" w:hAnsiTheme="minorHAnsi" w:cstheme="minorHAnsi"/>
          <w:sz w:val="18"/>
          <w:szCs w:val="18"/>
          <w:lang w:val="en-US"/>
        </w:rPr>
      </w:pPr>
      <w:r w:rsidRPr="00872866">
        <w:rPr>
          <w:rFonts w:asciiTheme="minorHAnsi" w:hAnsiTheme="minorHAnsi" w:cstheme="minorHAnsi"/>
          <w:sz w:val="18"/>
          <w:szCs w:val="18"/>
          <w:lang w:val="mk-MK"/>
        </w:rPr>
        <w:t>Македонска Берза</w:t>
      </w:r>
      <w:r w:rsidRPr="00872866">
        <w:rPr>
          <w:rFonts w:asciiTheme="minorHAnsi" w:hAnsiTheme="minorHAnsi" w:cstheme="minorHAnsi"/>
          <w:sz w:val="18"/>
          <w:szCs w:val="18"/>
          <w:lang w:val="en-US"/>
        </w:rPr>
        <w:t xml:space="preserve">, </w:t>
      </w:r>
      <w:r>
        <w:rPr>
          <w:rFonts w:asciiTheme="minorHAnsi" w:hAnsiTheme="minorHAnsi" w:cstheme="minorHAnsi"/>
          <w:sz w:val="18"/>
          <w:szCs w:val="18"/>
          <w:lang w:val="mk-MK"/>
        </w:rPr>
        <w:t>Претседател на Одборот на директори на Македонска берза АД Скопје</w:t>
      </w:r>
      <w:r w:rsidRPr="00872866">
        <w:rPr>
          <w:rFonts w:asciiTheme="minorHAnsi" w:hAnsiTheme="minorHAnsi" w:cstheme="minorHAnsi"/>
          <w:sz w:val="18"/>
          <w:szCs w:val="18"/>
          <w:lang w:val="en-US"/>
        </w:rPr>
        <w:t>;</w:t>
      </w:r>
      <w:r>
        <w:rPr>
          <w:rFonts w:asciiTheme="minorHAnsi" w:hAnsiTheme="minorHAnsi" w:cstheme="minorHAnsi"/>
          <w:sz w:val="18"/>
          <w:szCs w:val="18"/>
          <w:lang w:val="mk-MK"/>
        </w:rPr>
        <w:t xml:space="preserve"> и </w:t>
      </w:r>
      <w:r w:rsidRPr="00872866">
        <w:rPr>
          <w:rFonts w:asciiTheme="minorHAnsi" w:hAnsiTheme="minorHAnsi" w:cstheme="minorHAnsi"/>
          <w:sz w:val="18"/>
          <w:szCs w:val="18"/>
          <w:lang w:val="en-US"/>
        </w:rPr>
        <w:t xml:space="preserve"> </w:t>
      </w:r>
    </w:p>
    <w:p w14:paraId="52C83947" w14:textId="77777777" w:rsidR="00E92686" w:rsidRPr="00872866" w:rsidRDefault="00E92686" w:rsidP="001C5B17">
      <w:pPr>
        <w:pStyle w:val="FootnoteText"/>
        <w:numPr>
          <w:ilvl w:val="0"/>
          <w:numId w:val="22"/>
        </w:numPr>
        <w:jc w:val="both"/>
        <w:rPr>
          <w:rFonts w:asciiTheme="minorHAnsi" w:hAnsiTheme="minorHAnsi" w:cstheme="minorHAnsi"/>
          <w:sz w:val="18"/>
          <w:szCs w:val="18"/>
          <w:lang w:val="en-US"/>
        </w:rPr>
      </w:pPr>
      <w:r w:rsidRPr="00872866">
        <w:rPr>
          <w:rFonts w:asciiTheme="minorHAnsi" w:hAnsiTheme="minorHAnsi" w:cstheme="minorHAnsi"/>
          <w:sz w:val="18"/>
          <w:szCs w:val="18"/>
          <w:lang w:val="mk-MK"/>
        </w:rPr>
        <w:t xml:space="preserve">Банкарска Асоцијација, Заменик </w:t>
      </w:r>
      <w:r>
        <w:rPr>
          <w:rFonts w:asciiTheme="minorHAnsi" w:hAnsiTheme="minorHAnsi" w:cstheme="minorHAnsi"/>
          <w:sz w:val="18"/>
          <w:szCs w:val="18"/>
          <w:lang w:val="mk-MK"/>
        </w:rPr>
        <w:t>Претседател</w:t>
      </w:r>
      <w:r w:rsidRPr="00872866">
        <w:rPr>
          <w:rFonts w:asciiTheme="minorHAnsi" w:hAnsiTheme="minorHAnsi" w:cstheme="minorHAnsi"/>
          <w:sz w:val="18"/>
          <w:szCs w:val="18"/>
          <w:lang w:val="mk-MK"/>
        </w:rPr>
        <w:t xml:space="preserve"> (на доброволна основа)</w:t>
      </w:r>
      <w:r>
        <w:rPr>
          <w:rFonts w:asciiTheme="minorHAnsi" w:hAnsiTheme="minorHAnsi" w:cstheme="minorHAnsi"/>
          <w:sz w:val="18"/>
          <w:szCs w:val="18"/>
          <w:lang w:val="mk-MK"/>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549A7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2AAD6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74E89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B80272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9406D2E"/>
    <w:lvl w:ilvl="0">
      <w:start w:val="1"/>
      <w:numFmt w:val="bullet"/>
      <w:pStyle w:val="ListBullet5"/>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5CDCCCD4"/>
    <w:lvl w:ilvl="0">
      <w:start w:val="1"/>
      <w:numFmt w:val="bullet"/>
      <w:pStyle w:val="ListBullet4"/>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B456D2C0"/>
    <w:lvl w:ilvl="0">
      <w:start w:val="1"/>
      <w:numFmt w:val="bullet"/>
      <w:pStyle w:val="ListBullet3"/>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8C9A51E8"/>
    <w:lvl w:ilvl="0">
      <w:start w:val="1"/>
      <w:numFmt w:val="bullet"/>
      <w:pStyle w:val="ListBullet2"/>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3AAC31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90E34C"/>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15:restartNumberingAfterBreak="0">
    <w:nsid w:val="00EE6201"/>
    <w:multiLevelType w:val="hybridMultilevel"/>
    <w:tmpl w:val="0100C646"/>
    <w:lvl w:ilvl="0" w:tplc="175219B4">
      <w:start w:val="1"/>
      <w:numFmt w:val="bullet"/>
      <w:lvlText w:val=""/>
      <w:lvlJc w:val="left"/>
      <w:pPr>
        <w:ind w:left="360" w:hanging="360"/>
      </w:pPr>
      <w:rPr>
        <w:rFonts w:ascii="Symbol" w:hAnsi="Symbol" w:hint="default"/>
        <w:b/>
        <w:color w:val="auto"/>
      </w:rPr>
    </w:lvl>
    <w:lvl w:ilvl="1" w:tplc="177AF2AA">
      <w:start w:val="1"/>
      <w:numFmt w:val="bullet"/>
      <w:lvlText w:val=""/>
      <w:lvlJc w:val="left"/>
      <w:pPr>
        <w:tabs>
          <w:tab w:val="num" w:pos="1080"/>
        </w:tabs>
        <w:ind w:left="1080" w:hanging="360"/>
      </w:pPr>
      <w:rPr>
        <w:rFonts w:ascii="Symbol" w:hAnsi="Symbol" w:hint="default"/>
        <w:color w:val="31849B"/>
      </w:rPr>
    </w:lvl>
    <w:lvl w:ilvl="2" w:tplc="FC46C290" w:tentative="1">
      <w:start w:val="1"/>
      <w:numFmt w:val="bullet"/>
      <w:lvlText w:val=""/>
      <w:lvlJc w:val="left"/>
      <w:pPr>
        <w:ind w:left="1800" w:hanging="360"/>
      </w:pPr>
      <w:rPr>
        <w:rFonts w:ascii="Wingdings" w:hAnsi="Wingdings" w:hint="default"/>
      </w:rPr>
    </w:lvl>
    <w:lvl w:ilvl="3" w:tplc="8B968568" w:tentative="1">
      <w:start w:val="1"/>
      <w:numFmt w:val="bullet"/>
      <w:lvlText w:val=""/>
      <w:lvlJc w:val="left"/>
      <w:pPr>
        <w:ind w:left="2520" w:hanging="360"/>
      </w:pPr>
      <w:rPr>
        <w:rFonts w:ascii="Symbol" w:hAnsi="Symbol" w:hint="default"/>
      </w:rPr>
    </w:lvl>
    <w:lvl w:ilvl="4" w:tplc="5F406FFA" w:tentative="1">
      <w:start w:val="1"/>
      <w:numFmt w:val="bullet"/>
      <w:lvlText w:val="o"/>
      <w:lvlJc w:val="left"/>
      <w:pPr>
        <w:ind w:left="3240" w:hanging="360"/>
      </w:pPr>
      <w:rPr>
        <w:rFonts w:ascii="Courier New" w:hAnsi="Courier New" w:cs="Courier New" w:hint="default"/>
      </w:rPr>
    </w:lvl>
    <w:lvl w:ilvl="5" w:tplc="6546A7F2" w:tentative="1">
      <w:start w:val="1"/>
      <w:numFmt w:val="bullet"/>
      <w:lvlText w:val=""/>
      <w:lvlJc w:val="left"/>
      <w:pPr>
        <w:ind w:left="3960" w:hanging="360"/>
      </w:pPr>
      <w:rPr>
        <w:rFonts w:ascii="Wingdings" w:hAnsi="Wingdings" w:hint="default"/>
      </w:rPr>
    </w:lvl>
    <w:lvl w:ilvl="6" w:tplc="859AE408" w:tentative="1">
      <w:start w:val="1"/>
      <w:numFmt w:val="bullet"/>
      <w:lvlText w:val=""/>
      <w:lvlJc w:val="left"/>
      <w:pPr>
        <w:ind w:left="4680" w:hanging="360"/>
      </w:pPr>
      <w:rPr>
        <w:rFonts w:ascii="Symbol" w:hAnsi="Symbol" w:hint="default"/>
      </w:rPr>
    </w:lvl>
    <w:lvl w:ilvl="7" w:tplc="C28E5674" w:tentative="1">
      <w:start w:val="1"/>
      <w:numFmt w:val="bullet"/>
      <w:lvlText w:val="o"/>
      <w:lvlJc w:val="left"/>
      <w:pPr>
        <w:ind w:left="5400" w:hanging="360"/>
      </w:pPr>
      <w:rPr>
        <w:rFonts w:ascii="Courier New" w:hAnsi="Courier New" w:cs="Courier New" w:hint="default"/>
      </w:rPr>
    </w:lvl>
    <w:lvl w:ilvl="8" w:tplc="3B4E7D08" w:tentative="1">
      <w:start w:val="1"/>
      <w:numFmt w:val="bullet"/>
      <w:lvlText w:val=""/>
      <w:lvlJc w:val="left"/>
      <w:pPr>
        <w:ind w:left="6120" w:hanging="360"/>
      </w:pPr>
      <w:rPr>
        <w:rFonts w:ascii="Wingdings" w:hAnsi="Wingdings" w:hint="default"/>
      </w:rPr>
    </w:lvl>
  </w:abstractNum>
  <w:abstractNum w:abstractNumId="11" w15:restartNumberingAfterBreak="0">
    <w:nsid w:val="0B8E00AE"/>
    <w:multiLevelType w:val="hybridMultilevel"/>
    <w:tmpl w:val="59161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4107E3"/>
    <w:multiLevelType w:val="hybridMultilevel"/>
    <w:tmpl w:val="6A0CE656"/>
    <w:lvl w:ilvl="0" w:tplc="64580662">
      <w:numFmt w:val="bullet"/>
      <w:lvlText w:val="-"/>
      <w:lvlJc w:val="left"/>
      <w:pPr>
        <w:ind w:left="720" w:hanging="360"/>
      </w:pPr>
      <w:rPr>
        <w:rFonts w:ascii="Corbel" w:eastAsia="Times New Roman" w:hAnsi="Corbe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EA7CD3"/>
    <w:multiLevelType w:val="hybridMultilevel"/>
    <w:tmpl w:val="53AA1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C77A5A"/>
    <w:multiLevelType w:val="hybridMultilevel"/>
    <w:tmpl w:val="546C1FB4"/>
    <w:lvl w:ilvl="0" w:tplc="64580662">
      <w:numFmt w:val="bullet"/>
      <w:lvlText w:val="-"/>
      <w:lvlJc w:val="left"/>
      <w:pPr>
        <w:ind w:left="720" w:hanging="360"/>
      </w:pPr>
      <w:rPr>
        <w:rFonts w:ascii="Corbel" w:eastAsia="Times New Roman" w:hAnsi="Corbe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1B0F5A"/>
    <w:multiLevelType w:val="hybridMultilevel"/>
    <w:tmpl w:val="7658A38A"/>
    <w:lvl w:ilvl="0" w:tplc="98489736">
      <w:start w:val="20"/>
      <w:numFmt w:val="bullet"/>
      <w:lvlText w:val="-"/>
      <w:lvlJc w:val="left"/>
      <w:pPr>
        <w:ind w:left="1066" w:hanging="360"/>
      </w:pPr>
      <w:rPr>
        <w:rFonts w:ascii="Times New Roman" w:eastAsia="Times New Roman" w:hAnsi="Times New Roman" w:cs="Times New Roman"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6" w15:restartNumberingAfterBreak="0">
    <w:nsid w:val="27035C26"/>
    <w:multiLevelType w:val="hybridMultilevel"/>
    <w:tmpl w:val="D5E4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564E4A"/>
    <w:multiLevelType w:val="hybridMultilevel"/>
    <w:tmpl w:val="7FF45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15373A"/>
    <w:multiLevelType w:val="hybridMultilevel"/>
    <w:tmpl w:val="F6CE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4361BE"/>
    <w:multiLevelType w:val="hybridMultilevel"/>
    <w:tmpl w:val="E48C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CF734B"/>
    <w:multiLevelType w:val="hybridMultilevel"/>
    <w:tmpl w:val="8A1E101E"/>
    <w:lvl w:ilvl="0" w:tplc="6F987246">
      <w:numFmt w:val="bullet"/>
      <w:lvlText w:val="-"/>
      <w:lvlJc w:val="left"/>
      <w:pPr>
        <w:ind w:left="1080" w:hanging="360"/>
      </w:pPr>
      <w:rPr>
        <w:rFonts w:ascii="Calibri" w:eastAsia="Times New Roman"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5D15021"/>
    <w:multiLevelType w:val="hybridMultilevel"/>
    <w:tmpl w:val="87A8B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F642977"/>
    <w:multiLevelType w:val="hybridMultilevel"/>
    <w:tmpl w:val="12F6ED1A"/>
    <w:lvl w:ilvl="0" w:tplc="85208122">
      <w:numFmt w:val="bullet"/>
      <w:pStyle w:val="Bijlagebullets"/>
      <w:lvlText w:val="-"/>
      <w:lvlJc w:val="left"/>
      <w:pPr>
        <w:tabs>
          <w:tab w:val="num" w:pos="936"/>
        </w:tabs>
        <w:ind w:left="936" w:hanging="360"/>
      </w:pPr>
      <w:rPr>
        <w:rFonts w:ascii="Times New Roman" w:hAnsi="Times New Roman" w:cs="Times New Roman" w:hint="default"/>
        <w:caps w:val="0"/>
        <w:strike w:val="0"/>
        <w:dstrike w:val="0"/>
        <w:vanish w:val="0"/>
        <w:color w:val="auto"/>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D72FAD"/>
    <w:multiLevelType w:val="hybridMultilevel"/>
    <w:tmpl w:val="90C21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9CF4112"/>
    <w:multiLevelType w:val="hybridMultilevel"/>
    <w:tmpl w:val="3CBAF474"/>
    <w:lvl w:ilvl="0" w:tplc="64580662">
      <w:numFmt w:val="bullet"/>
      <w:lvlText w:val="-"/>
      <w:lvlJc w:val="left"/>
      <w:pPr>
        <w:ind w:left="1440" w:hanging="360"/>
      </w:pPr>
      <w:rPr>
        <w:rFonts w:ascii="Corbel" w:eastAsia="Times New Roman" w:hAnsi="Corbe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D0A3C36"/>
    <w:multiLevelType w:val="hybridMultilevel"/>
    <w:tmpl w:val="567C4EA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4EA42FDC"/>
    <w:multiLevelType w:val="hybridMultilevel"/>
    <w:tmpl w:val="42A63798"/>
    <w:lvl w:ilvl="0" w:tplc="E618DC0C">
      <w:start w:val="4"/>
      <w:numFmt w:val="bullet"/>
      <w:lvlText w:val="-"/>
      <w:lvlJc w:val="left"/>
      <w:pPr>
        <w:ind w:left="720" w:hanging="360"/>
      </w:pPr>
      <w:rPr>
        <w:rFonts w:ascii="Corbel" w:eastAsia="Times New Roman" w:hAnsi="Corbe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33780C"/>
    <w:multiLevelType w:val="hybridMultilevel"/>
    <w:tmpl w:val="6A7E03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08E1ABF"/>
    <w:multiLevelType w:val="hybridMultilevel"/>
    <w:tmpl w:val="F592913C"/>
    <w:lvl w:ilvl="0" w:tplc="27C64402">
      <w:start w:val="1"/>
      <w:numFmt w:val="decimal"/>
      <w:lvlText w:val="%1."/>
      <w:lvlJc w:val="left"/>
      <w:pPr>
        <w:ind w:left="770" w:hanging="360"/>
      </w:pPr>
      <w:rPr>
        <w:rFonts w:ascii="Times New Roman" w:eastAsia="Times New Roman" w:hAnsi="Times New Roman" w:cs="Times New Roman"/>
      </w:rPr>
    </w:lvl>
    <w:lvl w:ilvl="1" w:tplc="04090003">
      <w:start w:val="1"/>
      <w:numFmt w:val="bullet"/>
      <w:lvlText w:val="o"/>
      <w:lvlJc w:val="left"/>
      <w:pPr>
        <w:ind w:left="1490" w:hanging="360"/>
      </w:pPr>
      <w:rPr>
        <w:rFonts w:ascii="Courier New" w:hAnsi="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hint="default"/>
      </w:rPr>
    </w:lvl>
    <w:lvl w:ilvl="8" w:tplc="04090005">
      <w:start w:val="1"/>
      <w:numFmt w:val="bullet"/>
      <w:lvlText w:val=""/>
      <w:lvlJc w:val="left"/>
      <w:pPr>
        <w:ind w:left="6530" w:hanging="360"/>
      </w:pPr>
      <w:rPr>
        <w:rFonts w:ascii="Wingdings" w:hAnsi="Wingdings" w:hint="default"/>
      </w:rPr>
    </w:lvl>
  </w:abstractNum>
  <w:abstractNum w:abstractNumId="29" w15:restartNumberingAfterBreak="0">
    <w:nsid w:val="51422873"/>
    <w:multiLevelType w:val="hybridMultilevel"/>
    <w:tmpl w:val="E238086E"/>
    <w:lvl w:ilvl="0" w:tplc="64580662">
      <w:numFmt w:val="bullet"/>
      <w:lvlText w:val="-"/>
      <w:lvlJc w:val="left"/>
      <w:pPr>
        <w:ind w:left="2520" w:hanging="360"/>
      </w:pPr>
      <w:rPr>
        <w:rFonts w:ascii="Corbel" w:eastAsia="Times New Roman" w:hAnsi="Corbel" w:cs="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1462612"/>
    <w:multiLevelType w:val="multilevel"/>
    <w:tmpl w:val="D9BA5070"/>
    <w:lvl w:ilvl="0">
      <w:start w:val="1"/>
      <w:numFmt w:val="decimal"/>
      <w:pStyle w:val="Numbered1"/>
      <w:lvlText w:val="%1"/>
      <w:lvlJc w:val="left"/>
      <w:pPr>
        <w:tabs>
          <w:tab w:val="num" w:pos="720"/>
        </w:tabs>
        <w:ind w:left="720" w:hanging="720"/>
      </w:pPr>
      <w:rPr>
        <w:rFonts w:cs="Times New Roman" w:hint="default"/>
      </w:rPr>
    </w:lvl>
    <w:lvl w:ilvl="1">
      <w:start w:val="1"/>
      <w:numFmt w:val="decimal"/>
      <w:pStyle w:val="Numbered2"/>
      <w:lvlText w:val="%1.%2"/>
      <w:lvlJc w:val="left"/>
      <w:pPr>
        <w:tabs>
          <w:tab w:val="num" w:pos="1134"/>
        </w:tabs>
        <w:ind w:left="1134" w:hanging="544"/>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31" w15:restartNumberingAfterBreak="0">
    <w:nsid w:val="53EC5948"/>
    <w:multiLevelType w:val="hybridMultilevel"/>
    <w:tmpl w:val="EFA669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887789"/>
    <w:multiLevelType w:val="hybridMultilevel"/>
    <w:tmpl w:val="5E2667D8"/>
    <w:lvl w:ilvl="0" w:tplc="8878D4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7348D7"/>
    <w:multiLevelType w:val="hybridMultilevel"/>
    <w:tmpl w:val="5984AC58"/>
    <w:lvl w:ilvl="0" w:tplc="64580662">
      <w:numFmt w:val="bullet"/>
      <w:lvlText w:val="-"/>
      <w:lvlJc w:val="left"/>
      <w:pPr>
        <w:ind w:left="720" w:hanging="360"/>
      </w:pPr>
      <w:rPr>
        <w:rFonts w:ascii="Corbel" w:eastAsia="Times New Roman" w:hAnsi="Corbe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3554A3"/>
    <w:multiLevelType w:val="hybridMultilevel"/>
    <w:tmpl w:val="E05A92C0"/>
    <w:lvl w:ilvl="0" w:tplc="EFEE1326">
      <w:start w:val="1"/>
      <w:numFmt w:val="upperLetter"/>
      <w:lvlText w:val="%1)"/>
      <w:lvlJc w:val="left"/>
      <w:pPr>
        <w:ind w:left="234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9F77D9"/>
    <w:multiLevelType w:val="hybridMultilevel"/>
    <w:tmpl w:val="192C0DC0"/>
    <w:lvl w:ilvl="0" w:tplc="168E967E">
      <w:start w:val="1"/>
      <w:numFmt w:val="decimal"/>
      <w:pStyle w:val="BlockNumbered"/>
      <w:lvlText w:val="%1."/>
      <w:lvlJc w:val="left"/>
      <w:pPr>
        <w:tabs>
          <w:tab w:val="num" w:pos="1430"/>
        </w:tabs>
        <w:ind w:left="1430" w:hanging="360"/>
      </w:pPr>
      <w:rPr>
        <w:rFonts w:hint="default"/>
      </w:rPr>
    </w:lvl>
    <w:lvl w:ilvl="1" w:tplc="04090019">
      <w:start w:val="1"/>
      <w:numFmt w:val="lowerLetter"/>
      <w:pStyle w:val="BlockNumbered"/>
      <w:lvlText w:val="%2."/>
      <w:lvlJc w:val="left"/>
      <w:pPr>
        <w:tabs>
          <w:tab w:val="num" w:pos="1146"/>
        </w:tabs>
        <w:ind w:left="1146" w:hanging="360"/>
      </w:pPr>
    </w:lvl>
    <w:lvl w:ilvl="2" w:tplc="0409001B" w:tentative="1">
      <w:start w:val="1"/>
      <w:numFmt w:val="lowerRoman"/>
      <w:lvlText w:val="%3."/>
      <w:lvlJc w:val="right"/>
      <w:pPr>
        <w:tabs>
          <w:tab w:val="num" w:pos="1866"/>
        </w:tabs>
        <w:ind w:left="1866" w:hanging="180"/>
      </w:pPr>
    </w:lvl>
    <w:lvl w:ilvl="3" w:tplc="0409000F" w:tentative="1">
      <w:start w:val="1"/>
      <w:numFmt w:val="decimal"/>
      <w:lvlText w:val="%4."/>
      <w:lvlJc w:val="left"/>
      <w:pPr>
        <w:tabs>
          <w:tab w:val="num" w:pos="2586"/>
        </w:tabs>
        <w:ind w:left="2586" w:hanging="360"/>
      </w:pPr>
    </w:lvl>
    <w:lvl w:ilvl="4" w:tplc="04090019" w:tentative="1">
      <w:start w:val="1"/>
      <w:numFmt w:val="lowerLetter"/>
      <w:lvlText w:val="%5."/>
      <w:lvlJc w:val="left"/>
      <w:pPr>
        <w:tabs>
          <w:tab w:val="num" w:pos="3306"/>
        </w:tabs>
        <w:ind w:left="3306" w:hanging="360"/>
      </w:pPr>
    </w:lvl>
    <w:lvl w:ilvl="5" w:tplc="0409001B" w:tentative="1">
      <w:start w:val="1"/>
      <w:numFmt w:val="lowerRoman"/>
      <w:lvlText w:val="%6."/>
      <w:lvlJc w:val="right"/>
      <w:pPr>
        <w:tabs>
          <w:tab w:val="num" w:pos="4026"/>
        </w:tabs>
        <w:ind w:left="4026" w:hanging="180"/>
      </w:pPr>
    </w:lvl>
    <w:lvl w:ilvl="6" w:tplc="0409000F" w:tentative="1">
      <w:start w:val="1"/>
      <w:numFmt w:val="decimal"/>
      <w:lvlText w:val="%7."/>
      <w:lvlJc w:val="left"/>
      <w:pPr>
        <w:tabs>
          <w:tab w:val="num" w:pos="4746"/>
        </w:tabs>
        <w:ind w:left="4746" w:hanging="360"/>
      </w:pPr>
    </w:lvl>
    <w:lvl w:ilvl="7" w:tplc="04090019" w:tentative="1">
      <w:start w:val="1"/>
      <w:numFmt w:val="lowerLetter"/>
      <w:lvlText w:val="%8."/>
      <w:lvlJc w:val="left"/>
      <w:pPr>
        <w:tabs>
          <w:tab w:val="num" w:pos="5466"/>
        </w:tabs>
        <w:ind w:left="5466" w:hanging="360"/>
      </w:pPr>
    </w:lvl>
    <w:lvl w:ilvl="8" w:tplc="0409001B" w:tentative="1">
      <w:start w:val="1"/>
      <w:numFmt w:val="lowerRoman"/>
      <w:lvlText w:val="%9."/>
      <w:lvlJc w:val="right"/>
      <w:pPr>
        <w:tabs>
          <w:tab w:val="num" w:pos="6186"/>
        </w:tabs>
        <w:ind w:left="6186" w:hanging="180"/>
      </w:pPr>
    </w:lvl>
  </w:abstractNum>
  <w:abstractNum w:abstractNumId="36" w15:restartNumberingAfterBreak="0">
    <w:nsid w:val="5F494DC7"/>
    <w:multiLevelType w:val="hybridMultilevel"/>
    <w:tmpl w:val="21F06C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3644C24"/>
    <w:multiLevelType w:val="hybridMultilevel"/>
    <w:tmpl w:val="041622BA"/>
    <w:lvl w:ilvl="0" w:tplc="24B20834">
      <w:start w:val="1"/>
      <w:numFmt w:val="decimal"/>
      <w:lvlText w:val="%1."/>
      <w:lvlJc w:val="left"/>
      <w:pPr>
        <w:ind w:left="1080" w:hanging="360"/>
      </w:pPr>
      <w:rPr>
        <w:rFonts w:ascii="Times New Roman" w:hAnsi="Times New Roman"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6D418EC"/>
    <w:multiLevelType w:val="hybridMultilevel"/>
    <w:tmpl w:val="98A8D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8369B1"/>
    <w:multiLevelType w:val="hybridMultilevel"/>
    <w:tmpl w:val="F5B6DEB4"/>
    <w:lvl w:ilvl="0" w:tplc="64580662">
      <w:numFmt w:val="bullet"/>
      <w:lvlText w:val="-"/>
      <w:lvlJc w:val="left"/>
      <w:pPr>
        <w:ind w:left="720" w:hanging="360"/>
      </w:pPr>
      <w:rPr>
        <w:rFonts w:ascii="Corbel" w:eastAsia="Times New Roman" w:hAnsi="Corbe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126AB4"/>
    <w:multiLevelType w:val="hybridMultilevel"/>
    <w:tmpl w:val="8B26D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3345B7"/>
    <w:multiLevelType w:val="hybridMultilevel"/>
    <w:tmpl w:val="9354A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C85BE3"/>
    <w:multiLevelType w:val="hybridMultilevel"/>
    <w:tmpl w:val="71D6A3CC"/>
    <w:lvl w:ilvl="0" w:tplc="D950660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15:restartNumberingAfterBreak="0">
    <w:nsid w:val="7D627819"/>
    <w:multiLevelType w:val="hybridMultilevel"/>
    <w:tmpl w:val="3E5245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320C7D"/>
    <w:multiLevelType w:val="hybridMultilevel"/>
    <w:tmpl w:val="9FAC331A"/>
    <w:lvl w:ilvl="0" w:tplc="64580662">
      <w:numFmt w:val="bullet"/>
      <w:lvlText w:val="-"/>
      <w:lvlJc w:val="left"/>
      <w:pPr>
        <w:ind w:left="720" w:hanging="360"/>
      </w:pPr>
      <w:rPr>
        <w:rFonts w:ascii="Corbel" w:eastAsia="Times New Roman" w:hAnsi="Corbe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5"/>
  </w:num>
  <w:num w:numId="14">
    <w:abstractNumId w:val="36"/>
  </w:num>
  <w:num w:numId="15">
    <w:abstractNumId w:val="25"/>
  </w:num>
  <w:num w:numId="16">
    <w:abstractNumId w:val="30"/>
  </w:num>
  <w:num w:numId="17">
    <w:abstractNumId w:val="27"/>
  </w:num>
  <w:num w:numId="18">
    <w:abstractNumId w:val="34"/>
  </w:num>
  <w:num w:numId="19">
    <w:abstractNumId w:val="40"/>
  </w:num>
  <w:num w:numId="20">
    <w:abstractNumId w:val="13"/>
  </w:num>
  <w:num w:numId="21">
    <w:abstractNumId w:val="11"/>
  </w:num>
  <w:num w:numId="22">
    <w:abstractNumId w:val="26"/>
  </w:num>
  <w:num w:numId="23">
    <w:abstractNumId w:val="20"/>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44"/>
  </w:num>
  <w:num w:numId="28">
    <w:abstractNumId w:val="21"/>
  </w:num>
  <w:num w:numId="29">
    <w:abstractNumId w:val="19"/>
  </w:num>
  <w:num w:numId="30">
    <w:abstractNumId w:val="18"/>
  </w:num>
  <w:num w:numId="31">
    <w:abstractNumId w:val="41"/>
  </w:num>
  <w:num w:numId="32">
    <w:abstractNumId w:val="31"/>
  </w:num>
  <w:num w:numId="33">
    <w:abstractNumId w:val="43"/>
  </w:num>
  <w:num w:numId="34">
    <w:abstractNumId w:val="33"/>
  </w:num>
  <w:num w:numId="35">
    <w:abstractNumId w:val="29"/>
  </w:num>
  <w:num w:numId="36">
    <w:abstractNumId w:val="39"/>
  </w:num>
  <w:num w:numId="37">
    <w:abstractNumId w:val="12"/>
  </w:num>
  <w:num w:numId="38">
    <w:abstractNumId w:val="15"/>
  </w:num>
  <w:num w:numId="39">
    <w:abstractNumId w:val="37"/>
  </w:num>
  <w:num w:numId="40">
    <w:abstractNumId w:val="23"/>
  </w:num>
  <w:num w:numId="41">
    <w:abstractNumId w:val="10"/>
  </w:num>
  <w:num w:numId="42">
    <w:abstractNumId w:val="16"/>
  </w:num>
  <w:num w:numId="43">
    <w:abstractNumId w:val="38"/>
  </w:num>
  <w:num w:numId="44">
    <w:abstractNumId w:val="17"/>
  </w:num>
  <w:num w:numId="45">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00D"/>
    <w:rsid w:val="000018E5"/>
    <w:rsid w:val="00005C30"/>
    <w:rsid w:val="000103C3"/>
    <w:rsid w:val="00010640"/>
    <w:rsid w:val="000106A8"/>
    <w:rsid w:val="00010884"/>
    <w:rsid w:val="00010AF5"/>
    <w:rsid w:val="00011661"/>
    <w:rsid w:val="00012EAE"/>
    <w:rsid w:val="00013F3D"/>
    <w:rsid w:val="000160F4"/>
    <w:rsid w:val="00016243"/>
    <w:rsid w:val="00020484"/>
    <w:rsid w:val="00020D5E"/>
    <w:rsid w:val="00021107"/>
    <w:rsid w:val="000214AB"/>
    <w:rsid w:val="00021B8E"/>
    <w:rsid w:val="00022744"/>
    <w:rsid w:val="00022C0C"/>
    <w:rsid w:val="00023F10"/>
    <w:rsid w:val="000254BC"/>
    <w:rsid w:val="00025E8C"/>
    <w:rsid w:val="00027831"/>
    <w:rsid w:val="00027B93"/>
    <w:rsid w:val="00027F64"/>
    <w:rsid w:val="00031D22"/>
    <w:rsid w:val="00031E3D"/>
    <w:rsid w:val="000321A3"/>
    <w:rsid w:val="00032BDF"/>
    <w:rsid w:val="000340D0"/>
    <w:rsid w:val="000349C7"/>
    <w:rsid w:val="00035A68"/>
    <w:rsid w:val="00035BEA"/>
    <w:rsid w:val="0003797B"/>
    <w:rsid w:val="000413A7"/>
    <w:rsid w:val="00041558"/>
    <w:rsid w:val="00041E4D"/>
    <w:rsid w:val="00042B6F"/>
    <w:rsid w:val="00042BCB"/>
    <w:rsid w:val="00042EBB"/>
    <w:rsid w:val="00043369"/>
    <w:rsid w:val="000465F9"/>
    <w:rsid w:val="00047ECC"/>
    <w:rsid w:val="00051889"/>
    <w:rsid w:val="000525C8"/>
    <w:rsid w:val="000528F9"/>
    <w:rsid w:val="00053562"/>
    <w:rsid w:val="00054363"/>
    <w:rsid w:val="00055958"/>
    <w:rsid w:val="00056768"/>
    <w:rsid w:val="0005741A"/>
    <w:rsid w:val="00057B26"/>
    <w:rsid w:val="00061AF4"/>
    <w:rsid w:val="00062564"/>
    <w:rsid w:val="00066F82"/>
    <w:rsid w:val="00071C25"/>
    <w:rsid w:val="00072DA1"/>
    <w:rsid w:val="000746B7"/>
    <w:rsid w:val="00074848"/>
    <w:rsid w:val="00077F42"/>
    <w:rsid w:val="000803E6"/>
    <w:rsid w:val="00080C68"/>
    <w:rsid w:val="00081C0C"/>
    <w:rsid w:val="00082459"/>
    <w:rsid w:val="00082E40"/>
    <w:rsid w:val="0008370B"/>
    <w:rsid w:val="00086B82"/>
    <w:rsid w:val="000870C1"/>
    <w:rsid w:val="00087349"/>
    <w:rsid w:val="00087FC1"/>
    <w:rsid w:val="00090145"/>
    <w:rsid w:val="000904FC"/>
    <w:rsid w:val="00090C15"/>
    <w:rsid w:val="00090D79"/>
    <w:rsid w:val="00090DB7"/>
    <w:rsid w:val="0009209A"/>
    <w:rsid w:val="000924FF"/>
    <w:rsid w:val="00093797"/>
    <w:rsid w:val="000943C5"/>
    <w:rsid w:val="000955F4"/>
    <w:rsid w:val="000963C0"/>
    <w:rsid w:val="000A0848"/>
    <w:rsid w:val="000A199E"/>
    <w:rsid w:val="000A1FC3"/>
    <w:rsid w:val="000A3865"/>
    <w:rsid w:val="000A4238"/>
    <w:rsid w:val="000A5367"/>
    <w:rsid w:val="000A5B89"/>
    <w:rsid w:val="000A618D"/>
    <w:rsid w:val="000B0072"/>
    <w:rsid w:val="000B038C"/>
    <w:rsid w:val="000B3788"/>
    <w:rsid w:val="000B3A2C"/>
    <w:rsid w:val="000B3B72"/>
    <w:rsid w:val="000B3D14"/>
    <w:rsid w:val="000B4EFC"/>
    <w:rsid w:val="000B59D2"/>
    <w:rsid w:val="000B59EE"/>
    <w:rsid w:val="000B7A9A"/>
    <w:rsid w:val="000C02D2"/>
    <w:rsid w:val="000C0F73"/>
    <w:rsid w:val="000C59BF"/>
    <w:rsid w:val="000C6269"/>
    <w:rsid w:val="000C6908"/>
    <w:rsid w:val="000C71C6"/>
    <w:rsid w:val="000C7B41"/>
    <w:rsid w:val="000D03FD"/>
    <w:rsid w:val="000D3BD9"/>
    <w:rsid w:val="000D3DA2"/>
    <w:rsid w:val="000D4A60"/>
    <w:rsid w:val="000D70FE"/>
    <w:rsid w:val="000D73B4"/>
    <w:rsid w:val="000E1D01"/>
    <w:rsid w:val="000E1F7F"/>
    <w:rsid w:val="000E1FA4"/>
    <w:rsid w:val="000E2CC5"/>
    <w:rsid w:val="000E35AC"/>
    <w:rsid w:val="000E3665"/>
    <w:rsid w:val="000E520C"/>
    <w:rsid w:val="000E5480"/>
    <w:rsid w:val="000E5967"/>
    <w:rsid w:val="000E688E"/>
    <w:rsid w:val="000E7DC6"/>
    <w:rsid w:val="000F0036"/>
    <w:rsid w:val="000F0A08"/>
    <w:rsid w:val="000F0C9C"/>
    <w:rsid w:val="000F251F"/>
    <w:rsid w:val="000F30BC"/>
    <w:rsid w:val="000F3234"/>
    <w:rsid w:val="000F3BAB"/>
    <w:rsid w:val="000F3F0C"/>
    <w:rsid w:val="000F5315"/>
    <w:rsid w:val="000F5567"/>
    <w:rsid w:val="000F7AE9"/>
    <w:rsid w:val="0010063B"/>
    <w:rsid w:val="00100FCB"/>
    <w:rsid w:val="0010109A"/>
    <w:rsid w:val="001015DF"/>
    <w:rsid w:val="00101AA0"/>
    <w:rsid w:val="00103BF0"/>
    <w:rsid w:val="001050D3"/>
    <w:rsid w:val="00106781"/>
    <w:rsid w:val="00106E94"/>
    <w:rsid w:val="001118B4"/>
    <w:rsid w:val="001119A2"/>
    <w:rsid w:val="00112ADF"/>
    <w:rsid w:val="00112AE3"/>
    <w:rsid w:val="00112BBE"/>
    <w:rsid w:val="001131CF"/>
    <w:rsid w:val="001133CB"/>
    <w:rsid w:val="00113A63"/>
    <w:rsid w:val="00114284"/>
    <w:rsid w:val="0011597D"/>
    <w:rsid w:val="0011660B"/>
    <w:rsid w:val="00117461"/>
    <w:rsid w:val="00120E94"/>
    <w:rsid w:val="001211DB"/>
    <w:rsid w:val="0012138E"/>
    <w:rsid w:val="001227FA"/>
    <w:rsid w:val="00123C4C"/>
    <w:rsid w:val="00124BB8"/>
    <w:rsid w:val="001253DC"/>
    <w:rsid w:val="00126EE6"/>
    <w:rsid w:val="00126F3C"/>
    <w:rsid w:val="00127AC2"/>
    <w:rsid w:val="00131BA1"/>
    <w:rsid w:val="001321E7"/>
    <w:rsid w:val="00133669"/>
    <w:rsid w:val="00134095"/>
    <w:rsid w:val="001342D3"/>
    <w:rsid w:val="00134B2A"/>
    <w:rsid w:val="00135BEC"/>
    <w:rsid w:val="00136366"/>
    <w:rsid w:val="00136852"/>
    <w:rsid w:val="00140041"/>
    <w:rsid w:val="00140244"/>
    <w:rsid w:val="00141263"/>
    <w:rsid w:val="00143747"/>
    <w:rsid w:val="00146FE9"/>
    <w:rsid w:val="001501FE"/>
    <w:rsid w:val="00152012"/>
    <w:rsid w:val="00152F80"/>
    <w:rsid w:val="00156160"/>
    <w:rsid w:val="00157110"/>
    <w:rsid w:val="00157127"/>
    <w:rsid w:val="0015776F"/>
    <w:rsid w:val="00161FEF"/>
    <w:rsid w:val="001654E7"/>
    <w:rsid w:val="00166C91"/>
    <w:rsid w:val="001672ED"/>
    <w:rsid w:val="00170330"/>
    <w:rsid w:val="001727C1"/>
    <w:rsid w:val="001737B8"/>
    <w:rsid w:val="00173A32"/>
    <w:rsid w:val="00174962"/>
    <w:rsid w:val="0017612A"/>
    <w:rsid w:val="00177D1F"/>
    <w:rsid w:val="0018181A"/>
    <w:rsid w:val="00181F04"/>
    <w:rsid w:val="00182E0E"/>
    <w:rsid w:val="001830BD"/>
    <w:rsid w:val="00183422"/>
    <w:rsid w:val="00184143"/>
    <w:rsid w:val="00184460"/>
    <w:rsid w:val="001850B8"/>
    <w:rsid w:val="0018682A"/>
    <w:rsid w:val="00187E35"/>
    <w:rsid w:val="001911BC"/>
    <w:rsid w:val="00192617"/>
    <w:rsid w:val="001932E8"/>
    <w:rsid w:val="00194739"/>
    <w:rsid w:val="001948C9"/>
    <w:rsid w:val="0019548B"/>
    <w:rsid w:val="0019586E"/>
    <w:rsid w:val="001968D1"/>
    <w:rsid w:val="00196F15"/>
    <w:rsid w:val="0019714A"/>
    <w:rsid w:val="001979EC"/>
    <w:rsid w:val="001A04D9"/>
    <w:rsid w:val="001A09AF"/>
    <w:rsid w:val="001A2F57"/>
    <w:rsid w:val="001A4727"/>
    <w:rsid w:val="001A5D96"/>
    <w:rsid w:val="001A73D7"/>
    <w:rsid w:val="001B0BB2"/>
    <w:rsid w:val="001B0F68"/>
    <w:rsid w:val="001B5D93"/>
    <w:rsid w:val="001B6A10"/>
    <w:rsid w:val="001B6ABE"/>
    <w:rsid w:val="001B7C3D"/>
    <w:rsid w:val="001C0A3D"/>
    <w:rsid w:val="001C1755"/>
    <w:rsid w:val="001C26ED"/>
    <w:rsid w:val="001C30D9"/>
    <w:rsid w:val="001C341D"/>
    <w:rsid w:val="001C3D56"/>
    <w:rsid w:val="001C5B17"/>
    <w:rsid w:val="001C7BD3"/>
    <w:rsid w:val="001C7DC1"/>
    <w:rsid w:val="001D2884"/>
    <w:rsid w:val="001D43C0"/>
    <w:rsid w:val="001D6531"/>
    <w:rsid w:val="001D6D12"/>
    <w:rsid w:val="001D6F7C"/>
    <w:rsid w:val="001E04AD"/>
    <w:rsid w:val="001E0B82"/>
    <w:rsid w:val="001E2292"/>
    <w:rsid w:val="001E34F0"/>
    <w:rsid w:val="001E4AE2"/>
    <w:rsid w:val="001E4C82"/>
    <w:rsid w:val="001E5794"/>
    <w:rsid w:val="001E708B"/>
    <w:rsid w:val="001F0D13"/>
    <w:rsid w:val="001F2D59"/>
    <w:rsid w:val="001F31DC"/>
    <w:rsid w:val="001F34D4"/>
    <w:rsid w:val="001F44EF"/>
    <w:rsid w:val="001F5A5E"/>
    <w:rsid w:val="001F6071"/>
    <w:rsid w:val="0020003C"/>
    <w:rsid w:val="0020365D"/>
    <w:rsid w:val="0020472F"/>
    <w:rsid w:val="002054FE"/>
    <w:rsid w:val="00205947"/>
    <w:rsid w:val="00206016"/>
    <w:rsid w:val="002073FB"/>
    <w:rsid w:val="00207B7B"/>
    <w:rsid w:val="00210095"/>
    <w:rsid w:val="00211797"/>
    <w:rsid w:val="00212C89"/>
    <w:rsid w:val="00212D91"/>
    <w:rsid w:val="00214838"/>
    <w:rsid w:val="00215293"/>
    <w:rsid w:val="00215501"/>
    <w:rsid w:val="00216142"/>
    <w:rsid w:val="00216ECC"/>
    <w:rsid w:val="00217468"/>
    <w:rsid w:val="00221C35"/>
    <w:rsid w:val="002238F6"/>
    <w:rsid w:val="00226CAA"/>
    <w:rsid w:val="0022790F"/>
    <w:rsid w:val="00230DF5"/>
    <w:rsid w:val="00231318"/>
    <w:rsid w:val="00231790"/>
    <w:rsid w:val="00233087"/>
    <w:rsid w:val="00233B1B"/>
    <w:rsid w:val="00233E51"/>
    <w:rsid w:val="00235D61"/>
    <w:rsid w:val="00237C3C"/>
    <w:rsid w:val="002405E6"/>
    <w:rsid w:val="00240BFC"/>
    <w:rsid w:val="00240D5E"/>
    <w:rsid w:val="002429D7"/>
    <w:rsid w:val="0024364B"/>
    <w:rsid w:val="0024475B"/>
    <w:rsid w:val="002478CE"/>
    <w:rsid w:val="00250745"/>
    <w:rsid w:val="002513A3"/>
    <w:rsid w:val="00252A51"/>
    <w:rsid w:val="002535AC"/>
    <w:rsid w:val="00254D6C"/>
    <w:rsid w:val="00255402"/>
    <w:rsid w:val="002555E5"/>
    <w:rsid w:val="00255DCF"/>
    <w:rsid w:val="00256199"/>
    <w:rsid w:val="002577EC"/>
    <w:rsid w:val="00262D17"/>
    <w:rsid w:val="00262E6F"/>
    <w:rsid w:val="00263D80"/>
    <w:rsid w:val="002652B2"/>
    <w:rsid w:val="002703EA"/>
    <w:rsid w:val="00271F48"/>
    <w:rsid w:val="00272250"/>
    <w:rsid w:val="002727A4"/>
    <w:rsid w:val="00274DBC"/>
    <w:rsid w:val="0027565B"/>
    <w:rsid w:val="00275B15"/>
    <w:rsid w:val="00275DD2"/>
    <w:rsid w:val="0027701F"/>
    <w:rsid w:val="00277981"/>
    <w:rsid w:val="00277FC1"/>
    <w:rsid w:val="002803F4"/>
    <w:rsid w:val="0028158C"/>
    <w:rsid w:val="00281732"/>
    <w:rsid w:val="00281AFA"/>
    <w:rsid w:val="00282945"/>
    <w:rsid w:val="00283AC2"/>
    <w:rsid w:val="00285D42"/>
    <w:rsid w:val="00287A3F"/>
    <w:rsid w:val="002903A4"/>
    <w:rsid w:val="00292795"/>
    <w:rsid w:val="0029423F"/>
    <w:rsid w:val="00294455"/>
    <w:rsid w:val="00294600"/>
    <w:rsid w:val="00295B71"/>
    <w:rsid w:val="00295C3C"/>
    <w:rsid w:val="002968D8"/>
    <w:rsid w:val="002A1427"/>
    <w:rsid w:val="002A5BBA"/>
    <w:rsid w:val="002A7BCE"/>
    <w:rsid w:val="002B44BA"/>
    <w:rsid w:val="002B452D"/>
    <w:rsid w:val="002B6F57"/>
    <w:rsid w:val="002C291D"/>
    <w:rsid w:val="002C2EF8"/>
    <w:rsid w:val="002C3B10"/>
    <w:rsid w:val="002C5462"/>
    <w:rsid w:val="002C548E"/>
    <w:rsid w:val="002C580C"/>
    <w:rsid w:val="002C6946"/>
    <w:rsid w:val="002C6D82"/>
    <w:rsid w:val="002C702A"/>
    <w:rsid w:val="002C7AC0"/>
    <w:rsid w:val="002D04EB"/>
    <w:rsid w:val="002D0C5C"/>
    <w:rsid w:val="002D116D"/>
    <w:rsid w:val="002D140C"/>
    <w:rsid w:val="002D23DF"/>
    <w:rsid w:val="002D3DE3"/>
    <w:rsid w:val="002D4B5E"/>
    <w:rsid w:val="002D7265"/>
    <w:rsid w:val="002D7C47"/>
    <w:rsid w:val="002E054B"/>
    <w:rsid w:val="002E05E6"/>
    <w:rsid w:val="002E2DEC"/>
    <w:rsid w:val="002E3D54"/>
    <w:rsid w:val="002F1D55"/>
    <w:rsid w:val="002F28FD"/>
    <w:rsid w:val="002F490D"/>
    <w:rsid w:val="002F7C7B"/>
    <w:rsid w:val="00301349"/>
    <w:rsid w:val="003027D8"/>
    <w:rsid w:val="00302BC7"/>
    <w:rsid w:val="003046AF"/>
    <w:rsid w:val="003049B3"/>
    <w:rsid w:val="00306F0A"/>
    <w:rsid w:val="0030781A"/>
    <w:rsid w:val="00311BF2"/>
    <w:rsid w:val="00313BE8"/>
    <w:rsid w:val="00315D12"/>
    <w:rsid w:val="00316DF5"/>
    <w:rsid w:val="00316F7E"/>
    <w:rsid w:val="00317880"/>
    <w:rsid w:val="00317D96"/>
    <w:rsid w:val="003251B2"/>
    <w:rsid w:val="00326CE9"/>
    <w:rsid w:val="0032711F"/>
    <w:rsid w:val="003305C5"/>
    <w:rsid w:val="00333E16"/>
    <w:rsid w:val="003348A1"/>
    <w:rsid w:val="00334F51"/>
    <w:rsid w:val="003353C2"/>
    <w:rsid w:val="00335745"/>
    <w:rsid w:val="00336F7A"/>
    <w:rsid w:val="00340CD8"/>
    <w:rsid w:val="003418C2"/>
    <w:rsid w:val="003434FA"/>
    <w:rsid w:val="003447F4"/>
    <w:rsid w:val="003466C2"/>
    <w:rsid w:val="00353CE4"/>
    <w:rsid w:val="00353EBD"/>
    <w:rsid w:val="00354F5C"/>
    <w:rsid w:val="00355162"/>
    <w:rsid w:val="003553DF"/>
    <w:rsid w:val="00355E0C"/>
    <w:rsid w:val="00362F43"/>
    <w:rsid w:val="003642B4"/>
    <w:rsid w:val="00364301"/>
    <w:rsid w:val="00364523"/>
    <w:rsid w:val="00364DAC"/>
    <w:rsid w:val="00364DD9"/>
    <w:rsid w:val="003659FC"/>
    <w:rsid w:val="00366517"/>
    <w:rsid w:val="0037188E"/>
    <w:rsid w:val="00371BF8"/>
    <w:rsid w:val="00372BD2"/>
    <w:rsid w:val="003738B0"/>
    <w:rsid w:val="0037507A"/>
    <w:rsid w:val="003755BE"/>
    <w:rsid w:val="00377E2D"/>
    <w:rsid w:val="00380D48"/>
    <w:rsid w:val="0038112E"/>
    <w:rsid w:val="00384427"/>
    <w:rsid w:val="0038520C"/>
    <w:rsid w:val="003854AB"/>
    <w:rsid w:val="003857AA"/>
    <w:rsid w:val="00387237"/>
    <w:rsid w:val="00387B21"/>
    <w:rsid w:val="003919F5"/>
    <w:rsid w:val="00392310"/>
    <w:rsid w:val="00393C12"/>
    <w:rsid w:val="00393D4E"/>
    <w:rsid w:val="003969C2"/>
    <w:rsid w:val="00397C23"/>
    <w:rsid w:val="003A17E9"/>
    <w:rsid w:val="003A6F97"/>
    <w:rsid w:val="003B0248"/>
    <w:rsid w:val="003B13A1"/>
    <w:rsid w:val="003B27D5"/>
    <w:rsid w:val="003B2CDC"/>
    <w:rsid w:val="003B33ED"/>
    <w:rsid w:val="003B3806"/>
    <w:rsid w:val="003B4F34"/>
    <w:rsid w:val="003B4F91"/>
    <w:rsid w:val="003B54CA"/>
    <w:rsid w:val="003B5F5C"/>
    <w:rsid w:val="003B653C"/>
    <w:rsid w:val="003B782F"/>
    <w:rsid w:val="003C0A81"/>
    <w:rsid w:val="003C0F6E"/>
    <w:rsid w:val="003C2AB4"/>
    <w:rsid w:val="003C3B71"/>
    <w:rsid w:val="003C5571"/>
    <w:rsid w:val="003C65D4"/>
    <w:rsid w:val="003C6E0E"/>
    <w:rsid w:val="003C76C6"/>
    <w:rsid w:val="003C7B81"/>
    <w:rsid w:val="003D0BC6"/>
    <w:rsid w:val="003D177E"/>
    <w:rsid w:val="003D1829"/>
    <w:rsid w:val="003D2D7F"/>
    <w:rsid w:val="003D2F7F"/>
    <w:rsid w:val="003D3DA3"/>
    <w:rsid w:val="003D4268"/>
    <w:rsid w:val="003D653F"/>
    <w:rsid w:val="003D7906"/>
    <w:rsid w:val="003D7A03"/>
    <w:rsid w:val="003D7C3B"/>
    <w:rsid w:val="003D7D4E"/>
    <w:rsid w:val="003E00B0"/>
    <w:rsid w:val="003E28F0"/>
    <w:rsid w:val="003E3CFF"/>
    <w:rsid w:val="003E4053"/>
    <w:rsid w:val="003E4140"/>
    <w:rsid w:val="003F16B9"/>
    <w:rsid w:val="003F32AE"/>
    <w:rsid w:val="003F3EAC"/>
    <w:rsid w:val="003F554D"/>
    <w:rsid w:val="003F7B68"/>
    <w:rsid w:val="00400E63"/>
    <w:rsid w:val="00401233"/>
    <w:rsid w:val="0040187D"/>
    <w:rsid w:val="00404184"/>
    <w:rsid w:val="004116D7"/>
    <w:rsid w:val="004117A8"/>
    <w:rsid w:val="00417D4F"/>
    <w:rsid w:val="00417D77"/>
    <w:rsid w:val="00420A29"/>
    <w:rsid w:val="004217B7"/>
    <w:rsid w:val="00422A29"/>
    <w:rsid w:val="0042408F"/>
    <w:rsid w:val="004262A0"/>
    <w:rsid w:val="0043257F"/>
    <w:rsid w:val="0043266C"/>
    <w:rsid w:val="00433964"/>
    <w:rsid w:val="00436089"/>
    <w:rsid w:val="00442732"/>
    <w:rsid w:val="00442E1F"/>
    <w:rsid w:val="0044301C"/>
    <w:rsid w:val="00443374"/>
    <w:rsid w:val="004456C9"/>
    <w:rsid w:val="00445CDA"/>
    <w:rsid w:val="00446915"/>
    <w:rsid w:val="00450D0E"/>
    <w:rsid w:val="00452FB5"/>
    <w:rsid w:val="00453A51"/>
    <w:rsid w:val="004544C7"/>
    <w:rsid w:val="004547E9"/>
    <w:rsid w:val="00455BD4"/>
    <w:rsid w:val="004600EE"/>
    <w:rsid w:val="004607BF"/>
    <w:rsid w:val="0046157F"/>
    <w:rsid w:val="0046259A"/>
    <w:rsid w:val="00463815"/>
    <w:rsid w:val="00463EA9"/>
    <w:rsid w:val="004651C6"/>
    <w:rsid w:val="004656DD"/>
    <w:rsid w:val="00465D07"/>
    <w:rsid w:val="0047128C"/>
    <w:rsid w:val="00472C52"/>
    <w:rsid w:val="00473322"/>
    <w:rsid w:val="00474133"/>
    <w:rsid w:val="00475815"/>
    <w:rsid w:val="00475D7F"/>
    <w:rsid w:val="004769BB"/>
    <w:rsid w:val="00476EFC"/>
    <w:rsid w:val="00480A3D"/>
    <w:rsid w:val="00481708"/>
    <w:rsid w:val="00481ECA"/>
    <w:rsid w:val="004822B3"/>
    <w:rsid w:val="00483EBD"/>
    <w:rsid w:val="00487000"/>
    <w:rsid w:val="0048706F"/>
    <w:rsid w:val="0049181F"/>
    <w:rsid w:val="00493B95"/>
    <w:rsid w:val="00494372"/>
    <w:rsid w:val="004954C1"/>
    <w:rsid w:val="00496517"/>
    <w:rsid w:val="00497D1A"/>
    <w:rsid w:val="00497E28"/>
    <w:rsid w:val="004A2166"/>
    <w:rsid w:val="004A30A1"/>
    <w:rsid w:val="004A39E7"/>
    <w:rsid w:val="004A3E5F"/>
    <w:rsid w:val="004A4893"/>
    <w:rsid w:val="004A52A3"/>
    <w:rsid w:val="004A5972"/>
    <w:rsid w:val="004A7A39"/>
    <w:rsid w:val="004B057C"/>
    <w:rsid w:val="004B1743"/>
    <w:rsid w:val="004B1E94"/>
    <w:rsid w:val="004B214C"/>
    <w:rsid w:val="004B4FEB"/>
    <w:rsid w:val="004B51C0"/>
    <w:rsid w:val="004B5B61"/>
    <w:rsid w:val="004B5F54"/>
    <w:rsid w:val="004B6150"/>
    <w:rsid w:val="004B6E1D"/>
    <w:rsid w:val="004C22C6"/>
    <w:rsid w:val="004C34E5"/>
    <w:rsid w:val="004C363B"/>
    <w:rsid w:val="004C374E"/>
    <w:rsid w:val="004C3DF2"/>
    <w:rsid w:val="004C4217"/>
    <w:rsid w:val="004C434A"/>
    <w:rsid w:val="004C43EB"/>
    <w:rsid w:val="004C60C1"/>
    <w:rsid w:val="004D06E4"/>
    <w:rsid w:val="004D2237"/>
    <w:rsid w:val="004D3B8B"/>
    <w:rsid w:val="004D57D3"/>
    <w:rsid w:val="004D5E0B"/>
    <w:rsid w:val="004E12B9"/>
    <w:rsid w:val="004E3F7B"/>
    <w:rsid w:val="004E539F"/>
    <w:rsid w:val="004E723E"/>
    <w:rsid w:val="004E75F8"/>
    <w:rsid w:val="004E7CC8"/>
    <w:rsid w:val="004F1A93"/>
    <w:rsid w:val="004F1DFE"/>
    <w:rsid w:val="004F1E3C"/>
    <w:rsid w:val="004F20A9"/>
    <w:rsid w:val="004F31EF"/>
    <w:rsid w:val="004F3D80"/>
    <w:rsid w:val="004F4937"/>
    <w:rsid w:val="004F70CD"/>
    <w:rsid w:val="00500189"/>
    <w:rsid w:val="00500C1B"/>
    <w:rsid w:val="00500DD1"/>
    <w:rsid w:val="005029D0"/>
    <w:rsid w:val="0050325A"/>
    <w:rsid w:val="00503529"/>
    <w:rsid w:val="00504C7C"/>
    <w:rsid w:val="00505123"/>
    <w:rsid w:val="00507EF8"/>
    <w:rsid w:val="0051259C"/>
    <w:rsid w:val="00517576"/>
    <w:rsid w:val="00517992"/>
    <w:rsid w:val="0052008E"/>
    <w:rsid w:val="00520405"/>
    <w:rsid w:val="00522D68"/>
    <w:rsid w:val="00524162"/>
    <w:rsid w:val="00524568"/>
    <w:rsid w:val="005250A0"/>
    <w:rsid w:val="00526E61"/>
    <w:rsid w:val="00527D00"/>
    <w:rsid w:val="005319BE"/>
    <w:rsid w:val="00531C3A"/>
    <w:rsid w:val="00532DD1"/>
    <w:rsid w:val="00533652"/>
    <w:rsid w:val="00533996"/>
    <w:rsid w:val="00534978"/>
    <w:rsid w:val="00535756"/>
    <w:rsid w:val="00535C91"/>
    <w:rsid w:val="00535F83"/>
    <w:rsid w:val="0053713B"/>
    <w:rsid w:val="00537CC4"/>
    <w:rsid w:val="00541076"/>
    <w:rsid w:val="00541B0D"/>
    <w:rsid w:val="00542074"/>
    <w:rsid w:val="0054386F"/>
    <w:rsid w:val="00543941"/>
    <w:rsid w:val="00543CB4"/>
    <w:rsid w:val="005459D4"/>
    <w:rsid w:val="00545A09"/>
    <w:rsid w:val="005462A5"/>
    <w:rsid w:val="00547B2A"/>
    <w:rsid w:val="00551682"/>
    <w:rsid w:val="0055256F"/>
    <w:rsid w:val="005550F5"/>
    <w:rsid w:val="00557179"/>
    <w:rsid w:val="005607D8"/>
    <w:rsid w:val="00560E2E"/>
    <w:rsid w:val="005612D0"/>
    <w:rsid w:val="0056320E"/>
    <w:rsid w:val="00563452"/>
    <w:rsid w:val="0056608E"/>
    <w:rsid w:val="0056662E"/>
    <w:rsid w:val="00566713"/>
    <w:rsid w:val="00566AB5"/>
    <w:rsid w:val="00566E93"/>
    <w:rsid w:val="00566EE0"/>
    <w:rsid w:val="00567CDD"/>
    <w:rsid w:val="00570671"/>
    <w:rsid w:val="005709CB"/>
    <w:rsid w:val="00571FC5"/>
    <w:rsid w:val="00574B2C"/>
    <w:rsid w:val="00577CD7"/>
    <w:rsid w:val="005811AF"/>
    <w:rsid w:val="00583E3D"/>
    <w:rsid w:val="00584ACD"/>
    <w:rsid w:val="00585549"/>
    <w:rsid w:val="00587656"/>
    <w:rsid w:val="005913BD"/>
    <w:rsid w:val="00593D63"/>
    <w:rsid w:val="0059443B"/>
    <w:rsid w:val="00594AC9"/>
    <w:rsid w:val="00595E83"/>
    <w:rsid w:val="005978BB"/>
    <w:rsid w:val="00597C23"/>
    <w:rsid w:val="005A230E"/>
    <w:rsid w:val="005A2B78"/>
    <w:rsid w:val="005A45ED"/>
    <w:rsid w:val="005A523D"/>
    <w:rsid w:val="005A6051"/>
    <w:rsid w:val="005A64D1"/>
    <w:rsid w:val="005A700D"/>
    <w:rsid w:val="005B0154"/>
    <w:rsid w:val="005B30AF"/>
    <w:rsid w:val="005B6447"/>
    <w:rsid w:val="005B6AFC"/>
    <w:rsid w:val="005B748D"/>
    <w:rsid w:val="005C21A0"/>
    <w:rsid w:val="005C32AA"/>
    <w:rsid w:val="005C3FEE"/>
    <w:rsid w:val="005C54D3"/>
    <w:rsid w:val="005C7E04"/>
    <w:rsid w:val="005C7E12"/>
    <w:rsid w:val="005D04C8"/>
    <w:rsid w:val="005D1F71"/>
    <w:rsid w:val="005D2402"/>
    <w:rsid w:val="005D7358"/>
    <w:rsid w:val="005E1615"/>
    <w:rsid w:val="005E2D76"/>
    <w:rsid w:val="005E2FB7"/>
    <w:rsid w:val="005E38C5"/>
    <w:rsid w:val="005E69B3"/>
    <w:rsid w:val="005E7FE7"/>
    <w:rsid w:val="005F02F1"/>
    <w:rsid w:val="005F17D0"/>
    <w:rsid w:val="005F232F"/>
    <w:rsid w:val="005F25AD"/>
    <w:rsid w:val="005F27A3"/>
    <w:rsid w:val="005F369C"/>
    <w:rsid w:val="005F4487"/>
    <w:rsid w:val="005F5235"/>
    <w:rsid w:val="005F59F2"/>
    <w:rsid w:val="005F5C97"/>
    <w:rsid w:val="005F61FF"/>
    <w:rsid w:val="005F62EB"/>
    <w:rsid w:val="005F65FA"/>
    <w:rsid w:val="005F6B17"/>
    <w:rsid w:val="005F6C5E"/>
    <w:rsid w:val="005F6F09"/>
    <w:rsid w:val="005F7FC4"/>
    <w:rsid w:val="0060035E"/>
    <w:rsid w:val="00602A14"/>
    <w:rsid w:val="00603463"/>
    <w:rsid w:val="0060407C"/>
    <w:rsid w:val="00604FE6"/>
    <w:rsid w:val="00605889"/>
    <w:rsid w:val="00605F62"/>
    <w:rsid w:val="00606BC0"/>
    <w:rsid w:val="00610082"/>
    <w:rsid w:val="00611549"/>
    <w:rsid w:val="00611A1A"/>
    <w:rsid w:val="00611FA6"/>
    <w:rsid w:val="00612784"/>
    <w:rsid w:val="006129BB"/>
    <w:rsid w:val="00615BD8"/>
    <w:rsid w:val="00616494"/>
    <w:rsid w:val="0061688F"/>
    <w:rsid w:val="00616E91"/>
    <w:rsid w:val="00620C07"/>
    <w:rsid w:val="00621393"/>
    <w:rsid w:val="00621FFA"/>
    <w:rsid w:val="006231D2"/>
    <w:rsid w:val="00623508"/>
    <w:rsid w:val="006239F9"/>
    <w:rsid w:val="0062538D"/>
    <w:rsid w:val="00625BE6"/>
    <w:rsid w:val="00626AA2"/>
    <w:rsid w:val="00630691"/>
    <w:rsid w:val="00630EEE"/>
    <w:rsid w:val="006329C3"/>
    <w:rsid w:val="006348D8"/>
    <w:rsid w:val="00635B19"/>
    <w:rsid w:val="0063663D"/>
    <w:rsid w:val="00641C83"/>
    <w:rsid w:val="00651C98"/>
    <w:rsid w:val="00652733"/>
    <w:rsid w:val="00652D23"/>
    <w:rsid w:val="00653311"/>
    <w:rsid w:val="0065451E"/>
    <w:rsid w:val="00654E33"/>
    <w:rsid w:val="00654FFC"/>
    <w:rsid w:val="00655B93"/>
    <w:rsid w:val="00655D7B"/>
    <w:rsid w:val="00656C7D"/>
    <w:rsid w:val="00657A15"/>
    <w:rsid w:val="006617E0"/>
    <w:rsid w:val="00662CC6"/>
    <w:rsid w:val="00665857"/>
    <w:rsid w:val="0066639D"/>
    <w:rsid w:val="00666833"/>
    <w:rsid w:val="00670928"/>
    <w:rsid w:val="00672D7E"/>
    <w:rsid w:val="00672EB3"/>
    <w:rsid w:val="00672FFD"/>
    <w:rsid w:val="006740E2"/>
    <w:rsid w:val="0067477C"/>
    <w:rsid w:val="00674E02"/>
    <w:rsid w:val="006758A3"/>
    <w:rsid w:val="00676732"/>
    <w:rsid w:val="006771AF"/>
    <w:rsid w:val="00677948"/>
    <w:rsid w:val="006826BC"/>
    <w:rsid w:val="00686824"/>
    <w:rsid w:val="00686A4C"/>
    <w:rsid w:val="00687082"/>
    <w:rsid w:val="00690759"/>
    <w:rsid w:val="006909DF"/>
    <w:rsid w:val="006945FA"/>
    <w:rsid w:val="0069478B"/>
    <w:rsid w:val="00695BC3"/>
    <w:rsid w:val="006963AF"/>
    <w:rsid w:val="0069678C"/>
    <w:rsid w:val="0069733A"/>
    <w:rsid w:val="00697786"/>
    <w:rsid w:val="006A1E7F"/>
    <w:rsid w:val="006A2383"/>
    <w:rsid w:val="006A2EC4"/>
    <w:rsid w:val="006A3B10"/>
    <w:rsid w:val="006A6248"/>
    <w:rsid w:val="006A7D5B"/>
    <w:rsid w:val="006B055D"/>
    <w:rsid w:val="006B26F9"/>
    <w:rsid w:val="006B4378"/>
    <w:rsid w:val="006B43C7"/>
    <w:rsid w:val="006B50EA"/>
    <w:rsid w:val="006C0381"/>
    <w:rsid w:val="006C0395"/>
    <w:rsid w:val="006C0721"/>
    <w:rsid w:val="006C0F30"/>
    <w:rsid w:val="006C1B0C"/>
    <w:rsid w:val="006C1FBD"/>
    <w:rsid w:val="006C4600"/>
    <w:rsid w:val="006C4880"/>
    <w:rsid w:val="006C66C2"/>
    <w:rsid w:val="006C6C11"/>
    <w:rsid w:val="006D1426"/>
    <w:rsid w:val="006D165A"/>
    <w:rsid w:val="006D25D4"/>
    <w:rsid w:val="006D3A3B"/>
    <w:rsid w:val="006D56D8"/>
    <w:rsid w:val="006D5F26"/>
    <w:rsid w:val="006D6506"/>
    <w:rsid w:val="006D6898"/>
    <w:rsid w:val="006E0662"/>
    <w:rsid w:val="006E1117"/>
    <w:rsid w:val="006E1280"/>
    <w:rsid w:val="006E1351"/>
    <w:rsid w:val="006E16BF"/>
    <w:rsid w:val="006E28CF"/>
    <w:rsid w:val="006E2905"/>
    <w:rsid w:val="006E2AF2"/>
    <w:rsid w:val="006E2CB0"/>
    <w:rsid w:val="006E2CD7"/>
    <w:rsid w:val="006E2DA5"/>
    <w:rsid w:val="006E3C5E"/>
    <w:rsid w:val="006E694F"/>
    <w:rsid w:val="006E6A90"/>
    <w:rsid w:val="006E6EC3"/>
    <w:rsid w:val="006E758C"/>
    <w:rsid w:val="006F394A"/>
    <w:rsid w:val="006F5CEF"/>
    <w:rsid w:val="006F64B1"/>
    <w:rsid w:val="00700027"/>
    <w:rsid w:val="00701C3D"/>
    <w:rsid w:val="00701C5A"/>
    <w:rsid w:val="00701D65"/>
    <w:rsid w:val="00701DCF"/>
    <w:rsid w:val="00702144"/>
    <w:rsid w:val="00702F05"/>
    <w:rsid w:val="00702FA0"/>
    <w:rsid w:val="00703958"/>
    <w:rsid w:val="00703FC2"/>
    <w:rsid w:val="00704154"/>
    <w:rsid w:val="007042B1"/>
    <w:rsid w:val="00706239"/>
    <w:rsid w:val="00707A93"/>
    <w:rsid w:val="00707BE2"/>
    <w:rsid w:val="00710725"/>
    <w:rsid w:val="0071102B"/>
    <w:rsid w:val="00712920"/>
    <w:rsid w:val="0071370D"/>
    <w:rsid w:val="00713C00"/>
    <w:rsid w:val="00715945"/>
    <w:rsid w:val="00716292"/>
    <w:rsid w:val="00717F0B"/>
    <w:rsid w:val="007201B6"/>
    <w:rsid w:val="00721F4E"/>
    <w:rsid w:val="00721FB0"/>
    <w:rsid w:val="00723006"/>
    <w:rsid w:val="0072324B"/>
    <w:rsid w:val="0072608F"/>
    <w:rsid w:val="00727D41"/>
    <w:rsid w:val="00731E8A"/>
    <w:rsid w:val="00731F28"/>
    <w:rsid w:val="00732069"/>
    <w:rsid w:val="00732465"/>
    <w:rsid w:val="00732EDC"/>
    <w:rsid w:val="0073580B"/>
    <w:rsid w:val="007358FD"/>
    <w:rsid w:val="00736439"/>
    <w:rsid w:val="0073687E"/>
    <w:rsid w:val="0073706E"/>
    <w:rsid w:val="00737953"/>
    <w:rsid w:val="00741107"/>
    <w:rsid w:val="007422DF"/>
    <w:rsid w:val="007457D9"/>
    <w:rsid w:val="00746140"/>
    <w:rsid w:val="007466EB"/>
    <w:rsid w:val="00746968"/>
    <w:rsid w:val="00746AA4"/>
    <w:rsid w:val="00746F50"/>
    <w:rsid w:val="007500E1"/>
    <w:rsid w:val="00752507"/>
    <w:rsid w:val="0075295C"/>
    <w:rsid w:val="0075378D"/>
    <w:rsid w:val="00754C00"/>
    <w:rsid w:val="00755158"/>
    <w:rsid w:val="0075553E"/>
    <w:rsid w:val="007574E8"/>
    <w:rsid w:val="0076018C"/>
    <w:rsid w:val="00760805"/>
    <w:rsid w:val="00761651"/>
    <w:rsid w:val="007630ED"/>
    <w:rsid w:val="007637D1"/>
    <w:rsid w:val="00764979"/>
    <w:rsid w:val="00764A75"/>
    <w:rsid w:val="00764B1A"/>
    <w:rsid w:val="00765311"/>
    <w:rsid w:val="00765D9A"/>
    <w:rsid w:val="00766B96"/>
    <w:rsid w:val="007671B1"/>
    <w:rsid w:val="0076721B"/>
    <w:rsid w:val="007700BB"/>
    <w:rsid w:val="00770B01"/>
    <w:rsid w:val="00770F32"/>
    <w:rsid w:val="00771D52"/>
    <w:rsid w:val="00772F54"/>
    <w:rsid w:val="00774726"/>
    <w:rsid w:val="00776319"/>
    <w:rsid w:val="00776908"/>
    <w:rsid w:val="00777173"/>
    <w:rsid w:val="00781B92"/>
    <w:rsid w:val="00783686"/>
    <w:rsid w:val="00783A27"/>
    <w:rsid w:val="00783F3A"/>
    <w:rsid w:val="00785B76"/>
    <w:rsid w:val="00786481"/>
    <w:rsid w:val="00790090"/>
    <w:rsid w:val="0079026D"/>
    <w:rsid w:val="0079159C"/>
    <w:rsid w:val="007922B8"/>
    <w:rsid w:val="00793E05"/>
    <w:rsid w:val="00793E06"/>
    <w:rsid w:val="00795D38"/>
    <w:rsid w:val="007960FD"/>
    <w:rsid w:val="007968C5"/>
    <w:rsid w:val="00797406"/>
    <w:rsid w:val="007A1A01"/>
    <w:rsid w:val="007A342E"/>
    <w:rsid w:val="007A48A3"/>
    <w:rsid w:val="007A5577"/>
    <w:rsid w:val="007B03DE"/>
    <w:rsid w:val="007B262F"/>
    <w:rsid w:val="007B46FF"/>
    <w:rsid w:val="007B530A"/>
    <w:rsid w:val="007B638A"/>
    <w:rsid w:val="007B679B"/>
    <w:rsid w:val="007B6A81"/>
    <w:rsid w:val="007B7599"/>
    <w:rsid w:val="007C0175"/>
    <w:rsid w:val="007C08F8"/>
    <w:rsid w:val="007C1E20"/>
    <w:rsid w:val="007C2E88"/>
    <w:rsid w:val="007C33AD"/>
    <w:rsid w:val="007C43DD"/>
    <w:rsid w:val="007C4454"/>
    <w:rsid w:val="007C4528"/>
    <w:rsid w:val="007C4910"/>
    <w:rsid w:val="007C5521"/>
    <w:rsid w:val="007C55A6"/>
    <w:rsid w:val="007C7936"/>
    <w:rsid w:val="007D01C3"/>
    <w:rsid w:val="007D2E67"/>
    <w:rsid w:val="007D36E5"/>
    <w:rsid w:val="007D3AA7"/>
    <w:rsid w:val="007D4161"/>
    <w:rsid w:val="007D49C7"/>
    <w:rsid w:val="007D5335"/>
    <w:rsid w:val="007D5F5B"/>
    <w:rsid w:val="007D625F"/>
    <w:rsid w:val="007D6CE7"/>
    <w:rsid w:val="007E08E5"/>
    <w:rsid w:val="007E444E"/>
    <w:rsid w:val="007E5EC8"/>
    <w:rsid w:val="007E6589"/>
    <w:rsid w:val="007E675F"/>
    <w:rsid w:val="007E7424"/>
    <w:rsid w:val="007E753F"/>
    <w:rsid w:val="007F0042"/>
    <w:rsid w:val="007F1885"/>
    <w:rsid w:val="007F6A69"/>
    <w:rsid w:val="007F6EF8"/>
    <w:rsid w:val="007F71A0"/>
    <w:rsid w:val="007F74F3"/>
    <w:rsid w:val="008026C4"/>
    <w:rsid w:val="00805125"/>
    <w:rsid w:val="00805F09"/>
    <w:rsid w:val="00806747"/>
    <w:rsid w:val="008078B3"/>
    <w:rsid w:val="00811429"/>
    <w:rsid w:val="00813216"/>
    <w:rsid w:val="00813BDC"/>
    <w:rsid w:val="00816719"/>
    <w:rsid w:val="00816725"/>
    <w:rsid w:val="00816F1F"/>
    <w:rsid w:val="008172D6"/>
    <w:rsid w:val="0081778C"/>
    <w:rsid w:val="00817DFA"/>
    <w:rsid w:val="00820C34"/>
    <w:rsid w:val="00820CC6"/>
    <w:rsid w:val="00820EB5"/>
    <w:rsid w:val="00820FC8"/>
    <w:rsid w:val="00821C23"/>
    <w:rsid w:val="00822351"/>
    <w:rsid w:val="00825AE6"/>
    <w:rsid w:val="0082638E"/>
    <w:rsid w:val="008327D7"/>
    <w:rsid w:val="00835F74"/>
    <w:rsid w:val="00840313"/>
    <w:rsid w:val="00841B31"/>
    <w:rsid w:val="00842094"/>
    <w:rsid w:val="00843348"/>
    <w:rsid w:val="008435A3"/>
    <w:rsid w:val="008437AD"/>
    <w:rsid w:val="0084498E"/>
    <w:rsid w:val="00845473"/>
    <w:rsid w:val="008462FF"/>
    <w:rsid w:val="00846E84"/>
    <w:rsid w:val="00847292"/>
    <w:rsid w:val="008501A3"/>
    <w:rsid w:val="00850387"/>
    <w:rsid w:val="0085083A"/>
    <w:rsid w:val="008508BE"/>
    <w:rsid w:val="008509AB"/>
    <w:rsid w:val="00850ABC"/>
    <w:rsid w:val="0085154F"/>
    <w:rsid w:val="0085215F"/>
    <w:rsid w:val="0085298C"/>
    <w:rsid w:val="00852A3E"/>
    <w:rsid w:val="00852C94"/>
    <w:rsid w:val="00854650"/>
    <w:rsid w:val="0085529A"/>
    <w:rsid w:val="008559C4"/>
    <w:rsid w:val="00856548"/>
    <w:rsid w:val="008610E4"/>
    <w:rsid w:val="008645B3"/>
    <w:rsid w:val="008651E5"/>
    <w:rsid w:val="00866084"/>
    <w:rsid w:val="0086745E"/>
    <w:rsid w:val="00872C10"/>
    <w:rsid w:val="00872F09"/>
    <w:rsid w:val="00873560"/>
    <w:rsid w:val="0087397F"/>
    <w:rsid w:val="00874214"/>
    <w:rsid w:val="0087583C"/>
    <w:rsid w:val="00876321"/>
    <w:rsid w:val="0087746E"/>
    <w:rsid w:val="00877A14"/>
    <w:rsid w:val="00877E40"/>
    <w:rsid w:val="00880954"/>
    <w:rsid w:val="00881673"/>
    <w:rsid w:val="00881A7D"/>
    <w:rsid w:val="00883BB0"/>
    <w:rsid w:val="00883C33"/>
    <w:rsid w:val="00884229"/>
    <w:rsid w:val="0088478C"/>
    <w:rsid w:val="00884A8F"/>
    <w:rsid w:val="0088670A"/>
    <w:rsid w:val="00886955"/>
    <w:rsid w:val="00887E3F"/>
    <w:rsid w:val="0089009F"/>
    <w:rsid w:val="00893426"/>
    <w:rsid w:val="00893F9D"/>
    <w:rsid w:val="008948BF"/>
    <w:rsid w:val="008975D5"/>
    <w:rsid w:val="008A0464"/>
    <w:rsid w:val="008A13D4"/>
    <w:rsid w:val="008A27AD"/>
    <w:rsid w:val="008A37E7"/>
    <w:rsid w:val="008A3CFC"/>
    <w:rsid w:val="008A63A8"/>
    <w:rsid w:val="008A6EA4"/>
    <w:rsid w:val="008B1318"/>
    <w:rsid w:val="008B1CC2"/>
    <w:rsid w:val="008B449D"/>
    <w:rsid w:val="008B59CE"/>
    <w:rsid w:val="008B68E6"/>
    <w:rsid w:val="008C1539"/>
    <w:rsid w:val="008C222E"/>
    <w:rsid w:val="008C48A7"/>
    <w:rsid w:val="008C586E"/>
    <w:rsid w:val="008C5C32"/>
    <w:rsid w:val="008C5E70"/>
    <w:rsid w:val="008C6BAA"/>
    <w:rsid w:val="008C7935"/>
    <w:rsid w:val="008D150A"/>
    <w:rsid w:val="008D4146"/>
    <w:rsid w:val="008D56D2"/>
    <w:rsid w:val="008D6F30"/>
    <w:rsid w:val="008E1606"/>
    <w:rsid w:val="008E3879"/>
    <w:rsid w:val="008E415A"/>
    <w:rsid w:val="008E4317"/>
    <w:rsid w:val="008E45DE"/>
    <w:rsid w:val="008E5557"/>
    <w:rsid w:val="008E64FB"/>
    <w:rsid w:val="008E6709"/>
    <w:rsid w:val="008E7C50"/>
    <w:rsid w:val="008F02EA"/>
    <w:rsid w:val="008F179C"/>
    <w:rsid w:val="008F1CF3"/>
    <w:rsid w:val="008F268D"/>
    <w:rsid w:val="008F595C"/>
    <w:rsid w:val="008F5D83"/>
    <w:rsid w:val="008F6387"/>
    <w:rsid w:val="008F66ED"/>
    <w:rsid w:val="008F6917"/>
    <w:rsid w:val="008F6D75"/>
    <w:rsid w:val="009006E0"/>
    <w:rsid w:val="009038A2"/>
    <w:rsid w:val="0090391A"/>
    <w:rsid w:val="00903F43"/>
    <w:rsid w:val="00905205"/>
    <w:rsid w:val="0090638B"/>
    <w:rsid w:val="00906528"/>
    <w:rsid w:val="00910540"/>
    <w:rsid w:val="009113C2"/>
    <w:rsid w:val="0091162B"/>
    <w:rsid w:val="00912869"/>
    <w:rsid w:val="0091648D"/>
    <w:rsid w:val="00917A44"/>
    <w:rsid w:val="00917AEC"/>
    <w:rsid w:val="00917E67"/>
    <w:rsid w:val="0092104B"/>
    <w:rsid w:val="00921FE4"/>
    <w:rsid w:val="00925D06"/>
    <w:rsid w:val="00925F4E"/>
    <w:rsid w:val="00930CA6"/>
    <w:rsid w:val="00932FF9"/>
    <w:rsid w:val="009335F3"/>
    <w:rsid w:val="00933B5F"/>
    <w:rsid w:val="00934907"/>
    <w:rsid w:val="009355E3"/>
    <w:rsid w:val="0093596A"/>
    <w:rsid w:val="00937499"/>
    <w:rsid w:val="009377A7"/>
    <w:rsid w:val="00942F27"/>
    <w:rsid w:val="00944360"/>
    <w:rsid w:val="00945078"/>
    <w:rsid w:val="009467E5"/>
    <w:rsid w:val="00946DC8"/>
    <w:rsid w:val="00946F51"/>
    <w:rsid w:val="009472B4"/>
    <w:rsid w:val="00947618"/>
    <w:rsid w:val="00947D4E"/>
    <w:rsid w:val="00951032"/>
    <w:rsid w:val="0095108D"/>
    <w:rsid w:val="009510AB"/>
    <w:rsid w:val="00951C8B"/>
    <w:rsid w:val="00952306"/>
    <w:rsid w:val="009533D9"/>
    <w:rsid w:val="00954F8D"/>
    <w:rsid w:val="009570D1"/>
    <w:rsid w:val="00957F2F"/>
    <w:rsid w:val="009601FE"/>
    <w:rsid w:val="00960DB8"/>
    <w:rsid w:val="009613BF"/>
    <w:rsid w:val="00963A2E"/>
    <w:rsid w:val="00965A52"/>
    <w:rsid w:val="00967324"/>
    <w:rsid w:val="00967B1A"/>
    <w:rsid w:val="00967FB0"/>
    <w:rsid w:val="0097104A"/>
    <w:rsid w:val="00971643"/>
    <w:rsid w:val="00972A5B"/>
    <w:rsid w:val="00974133"/>
    <w:rsid w:val="00975B15"/>
    <w:rsid w:val="00975E9F"/>
    <w:rsid w:val="00977279"/>
    <w:rsid w:val="00977A0D"/>
    <w:rsid w:val="00977ED1"/>
    <w:rsid w:val="009801A3"/>
    <w:rsid w:val="009802EA"/>
    <w:rsid w:val="00980555"/>
    <w:rsid w:val="0098432D"/>
    <w:rsid w:val="00986A0B"/>
    <w:rsid w:val="00986CC0"/>
    <w:rsid w:val="00986D0E"/>
    <w:rsid w:val="00987DC0"/>
    <w:rsid w:val="00987FA9"/>
    <w:rsid w:val="00990769"/>
    <w:rsid w:val="009914B4"/>
    <w:rsid w:val="009932BF"/>
    <w:rsid w:val="0099483D"/>
    <w:rsid w:val="00995E94"/>
    <w:rsid w:val="0099630A"/>
    <w:rsid w:val="00996C74"/>
    <w:rsid w:val="00996F3B"/>
    <w:rsid w:val="00997FC4"/>
    <w:rsid w:val="009A5794"/>
    <w:rsid w:val="009A5A15"/>
    <w:rsid w:val="009A7D26"/>
    <w:rsid w:val="009B015D"/>
    <w:rsid w:val="009B2CA8"/>
    <w:rsid w:val="009B3B86"/>
    <w:rsid w:val="009B46B9"/>
    <w:rsid w:val="009B5532"/>
    <w:rsid w:val="009B6A14"/>
    <w:rsid w:val="009C01C1"/>
    <w:rsid w:val="009C0523"/>
    <w:rsid w:val="009C265C"/>
    <w:rsid w:val="009C33FA"/>
    <w:rsid w:val="009C35E6"/>
    <w:rsid w:val="009C3B10"/>
    <w:rsid w:val="009C3D8C"/>
    <w:rsid w:val="009C3EE1"/>
    <w:rsid w:val="009C40E3"/>
    <w:rsid w:val="009C5282"/>
    <w:rsid w:val="009C5DB8"/>
    <w:rsid w:val="009C5FDC"/>
    <w:rsid w:val="009C603C"/>
    <w:rsid w:val="009C61C9"/>
    <w:rsid w:val="009C6FB8"/>
    <w:rsid w:val="009C77E9"/>
    <w:rsid w:val="009C7D66"/>
    <w:rsid w:val="009D040D"/>
    <w:rsid w:val="009D0800"/>
    <w:rsid w:val="009D1588"/>
    <w:rsid w:val="009D20C9"/>
    <w:rsid w:val="009D21C1"/>
    <w:rsid w:val="009D25A9"/>
    <w:rsid w:val="009D38E1"/>
    <w:rsid w:val="009D41CB"/>
    <w:rsid w:val="009D46B3"/>
    <w:rsid w:val="009D515D"/>
    <w:rsid w:val="009D57FA"/>
    <w:rsid w:val="009D59F1"/>
    <w:rsid w:val="009D5AAA"/>
    <w:rsid w:val="009D631E"/>
    <w:rsid w:val="009D748C"/>
    <w:rsid w:val="009D7F6E"/>
    <w:rsid w:val="009E14E6"/>
    <w:rsid w:val="009E7D09"/>
    <w:rsid w:val="009F1075"/>
    <w:rsid w:val="009F172C"/>
    <w:rsid w:val="009F17A2"/>
    <w:rsid w:val="009F18EE"/>
    <w:rsid w:val="009F2C43"/>
    <w:rsid w:val="009F2FE1"/>
    <w:rsid w:val="009F3871"/>
    <w:rsid w:val="009F647E"/>
    <w:rsid w:val="009F7123"/>
    <w:rsid w:val="00A010C1"/>
    <w:rsid w:val="00A05B46"/>
    <w:rsid w:val="00A07634"/>
    <w:rsid w:val="00A11280"/>
    <w:rsid w:val="00A11F82"/>
    <w:rsid w:val="00A1302E"/>
    <w:rsid w:val="00A160B3"/>
    <w:rsid w:val="00A1695F"/>
    <w:rsid w:val="00A17A0F"/>
    <w:rsid w:val="00A2029B"/>
    <w:rsid w:val="00A215E7"/>
    <w:rsid w:val="00A23F77"/>
    <w:rsid w:val="00A252B0"/>
    <w:rsid w:val="00A253BF"/>
    <w:rsid w:val="00A25B74"/>
    <w:rsid w:val="00A264B0"/>
    <w:rsid w:val="00A2750E"/>
    <w:rsid w:val="00A27732"/>
    <w:rsid w:val="00A30276"/>
    <w:rsid w:val="00A302BB"/>
    <w:rsid w:val="00A3325C"/>
    <w:rsid w:val="00A3340E"/>
    <w:rsid w:val="00A33E11"/>
    <w:rsid w:val="00A34B1A"/>
    <w:rsid w:val="00A360E1"/>
    <w:rsid w:val="00A36DD4"/>
    <w:rsid w:val="00A37A44"/>
    <w:rsid w:val="00A4093C"/>
    <w:rsid w:val="00A40C24"/>
    <w:rsid w:val="00A41171"/>
    <w:rsid w:val="00A418EF"/>
    <w:rsid w:val="00A42A56"/>
    <w:rsid w:val="00A44CFA"/>
    <w:rsid w:val="00A452A2"/>
    <w:rsid w:val="00A456FA"/>
    <w:rsid w:val="00A468DE"/>
    <w:rsid w:val="00A46DFF"/>
    <w:rsid w:val="00A46F37"/>
    <w:rsid w:val="00A474B6"/>
    <w:rsid w:val="00A47F27"/>
    <w:rsid w:val="00A51543"/>
    <w:rsid w:val="00A51BA6"/>
    <w:rsid w:val="00A526B5"/>
    <w:rsid w:val="00A53284"/>
    <w:rsid w:val="00A5432A"/>
    <w:rsid w:val="00A54F60"/>
    <w:rsid w:val="00A55597"/>
    <w:rsid w:val="00A55B58"/>
    <w:rsid w:val="00A57C01"/>
    <w:rsid w:val="00A613AB"/>
    <w:rsid w:val="00A62223"/>
    <w:rsid w:val="00A64D1E"/>
    <w:rsid w:val="00A64F34"/>
    <w:rsid w:val="00A65440"/>
    <w:rsid w:val="00A72DF4"/>
    <w:rsid w:val="00A74299"/>
    <w:rsid w:val="00A75476"/>
    <w:rsid w:val="00A75A09"/>
    <w:rsid w:val="00A75BC5"/>
    <w:rsid w:val="00A831DB"/>
    <w:rsid w:val="00A84679"/>
    <w:rsid w:val="00A84880"/>
    <w:rsid w:val="00A85DC9"/>
    <w:rsid w:val="00A86407"/>
    <w:rsid w:val="00A86B66"/>
    <w:rsid w:val="00A8758D"/>
    <w:rsid w:val="00A913A5"/>
    <w:rsid w:val="00A918E4"/>
    <w:rsid w:val="00A945F4"/>
    <w:rsid w:val="00A946AE"/>
    <w:rsid w:val="00A946D7"/>
    <w:rsid w:val="00A97DFB"/>
    <w:rsid w:val="00AA29DF"/>
    <w:rsid w:val="00AA2F2B"/>
    <w:rsid w:val="00AA351A"/>
    <w:rsid w:val="00AA48A3"/>
    <w:rsid w:val="00AA4CCD"/>
    <w:rsid w:val="00AA5E7E"/>
    <w:rsid w:val="00AA6913"/>
    <w:rsid w:val="00AA7507"/>
    <w:rsid w:val="00AB3658"/>
    <w:rsid w:val="00AB45FC"/>
    <w:rsid w:val="00AB496F"/>
    <w:rsid w:val="00AB52A5"/>
    <w:rsid w:val="00AB5CF5"/>
    <w:rsid w:val="00AB6561"/>
    <w:rsid w:val="00AC037F"/>
    <w:rsid w:val="00AC094A"/>
    <w:rsid w:val="00AC0E63"/>
    <w:rsid w:val="00AC255E"/>
    <w:rsid w:val="00AC26D1"/>
    <w:rsid w:val="00AC3A7E"/>
    <w:rsid w:val="00AC4FD1"/>
    <w:rsid w:val="00AC532E"/>
    <w:rsid w:val="00AC7875"/>
    <w:rsid w:val="00AC7E69"/>
    <w:rsid w:val="00AD0C90"/>
    <w:rsid w:val="00AD1755"/>
    <w:rsid w:val="00AD1BFA"/>
    <w:rsid w:val="00AD4EA0"/>
    <w:rsid w:val="00AD5AF0"/>
    <w:rsid w:val="00AD62CD"/>
    <w:rsid w:val="00AD6FB3"/>
    <w:rsid w:val="00AE033A"/>
    <w:rsid w:val="00AE261A"/>
    <w:rsid w:val="00AE33D4"/>
    <w:rsid w:val="00AE3DC0"/>
    <w:rsid w:val="00AE6A27"/>
    <w:rsid w:val="00AE7937"/>
    <w:rsid w:val="00AF2AC7"/>
    <w:rsid w:val="00AF2C27"/>
    <w:rsid w:val="00AF3D77"/>
    <w:rsid w:val="00AF4F45"/>
    <w:rsid w:val="00AF506E"/>
    <w:rsid w:val="00AF6349"/>
    <w:rsid w:val="00AF67C3"/>
    <w:rsid w:val="00AF6EF8"/>
    <w:rsid w:val="00AF78F4"/>
    <w:rsid w:val="00B00529"/>
    <w:rsid w:val="00B02892"/>
    <w:rsid w:val="00B058C9"/>
    <w:rsid w:val="00B05AD5"/>
    <w:rsid w:val="00B06505"/>
    <w:rsid w:val="00B067FD"/>
    <w:rsid w:val="00B07B84"/>
    <w:rsid w:val="00B07C70"/>
    <w:rsid w:val="00B12531"/>
    <w:rsid w:val="00B1264D"/>
    <w:rsid w:val="00B127D9"/>
    <w:rsid w:val="00B12AD8"/>
    <w:rsid w:val="00B1341B"/>
    <w:rsid w:val="00B1618C"/>
    <w:rsid w:val="00B16F2C"/>
    <w:rsid w:val="00B1738F"/>
    <w:rsid w:val="00B17743"/>
    <w:rsid w:val="00B201DF"/>
    <w:rsid w:val="00B21B91"/>
    <w:rsid w:val="00B21D26"/>
    <w:rsid w:val="00B2301B"/>
    <w:rsid w:val="00B23E45"/>
    <w:rsid w:val="00B24343"/>
    <w:rsid w:val="00B24E3B"/>
    <w:rsid w:val="00B26036"/>
    <w:rsid w:val="00B2712A"/>
    <w:rsid w:val="00B3092E"/>
    <w:rsid w:val="00B31F99"/>
    <w:rsid w:val="00B3209B"/>
    <w:rsid w:val="00B32C37"/>
    <w:rsid w:val="00B32D4C"/>
    <w:rsid w:val="00B3365F"/>
    <w:rsid w:val="00B33E8E"/>
    <w:rsid w:val="00B35305"/>
    <w:rsid w:val="00B35DF6"/>
    <w:rsid w:val="00B3621A"/>
    <w:rsid w:val="00B368F8"/>
    <w:rsid w:val="00B36DD2"/>
    <w:rsid w:val="00B37EC3"/>
    <w:rsid w:val="00B422B4"/>
    <w:rsid w:val="00B43B9D"/>
    <w:rsid w:val="00B44534"/>
    <w:rsid w:val="00B508FB"/>
    <w:rsid w:val="00B52827"/>
    <w:rsid w:val="00B55158"/>
    <w:rsid w:val="00B55578"/>
    <w:rsid w:val="00B57E22"/>
    <w:rsid w:val="00B6043D"/>
    <w:rsid w:val="00B61006"/>
    <w:rsid w:val="00B620F6"/>
    <w:rsid w:val="00B625E5"/>
    <w:rsid w:val="00B627E0"/>
    <w:rsid w:val="00B65033"/>
    <w:rsid w:val="00B65BC3"/>
    <w:rsid w:val="00B661EA"/>
    <w:rsid w:val="00B67283"/>
    <w:rsid w:val="00B707AB"/>
    <w:rsid w:val="00B719B0"/>
    <w:rsid w:val="00B71C51"/>
    <w:rsid w:val="00B71CE5"/>
    <w:rsid w:val="00B7224A"/>
    <w:rsid w:val="00B7234F"/>
    <w:rsid w:val="00B73207"/>
    <w:rsid w:val="00B737D6"/>
    <w:rsid w:val="00B7401E"/>
    <w:rsid w:val="00B74161"/>
    <w:rsid w:val="00B75AD7"/>
    <w:rsid w:val="00B75B06"/>
    <w:rsid w:val="00B76236"/>
    <w:rsid w:val="00B76C31"/>
    <w:rsid w:val="00B7743E"/>
    <w:rsid w:val="00B77627"/>
    <w:rsid w:val="00B77FF0"/>
    <w:rsid w:val="00B81062"/>
    <w:rsid w:val="00B82FBA"/>
    <w:rsid w:val="00B8355F"/>
    <w:rsid w:val="00B87000"/>
    <w:rsid w:val="00B87B0B"/>
    <w:rsid w:val="00B917C8"/>
    <w:rsid w:val="00B919EE"/>
    <w:rsid w:val="00B9204B"/>
    <w:rsid w:val="00B92137"/>
    <w:rsid w:val="00B92576"/>
    <w:rsid w:val="00B95081"/>
    <w:rsid w:val="00B97240"/>
    <w:rsid w:val="00BA1133"/>
    <w:rsid w:val="00BA18FB"/>
    <w:rsid w:val="00BA326B"/>
    <w:rsid w:val="00BA4E84"/>
    <w:rsid w:val="00BA520A"/>
    <w:rsid w:val="00BA5353"/>
    <w:rsid w:val="00BA67A6"/>
    <w:rsid w:val="00BB0D03"/>
    <w:rsid w:val="00BB1180"/>
    <w:rsid w:val="00BB1345"/>
    <w:rsid w:val="00BB137D"/>
    <w:rsid w:val="00BB3373"/>
    <w:rsid w:val="00BB38B7"/>
    <w:rsid w:val="00BB652A"/>
    <w:rsid w:val="00BB652E"/>
    <w:rsid w:val="00BB659B"/>
    <w:rsid w:val="00BC0647"/>
    <w:rsid w:val="00BC2936"/>
    <w:rsid w:val="00BC3606"/>
    <w:rsid w:val="00BC4582"/>
    <w:rsid w:val="00BC4775"/>
    <w:rsid w:val="00BC4A38"/>
    <w:rsid w:val="00BC4D9D"/>
    <w:rsid w:val="00BC52E8"/>
    <w:rsid w:val="00BC5708"/>
    <w:rsid w:val="00BC6A39"/>
    <w:rsid w:val="00BC6D77"/>
    <w:rsid w:val="00BD0ABD"/>
    <w:rsid w:val="00BD1820"/>
    <w:rsid w:val="00BD3B3A"/>
    <w:rsid w:val="00BD457C"/>
    <w:rsid w:val="00BD56DC"/>
    <w:rsid w:val="00BD5821"/>
    <w:rsid w:val="00BD690F"/>
    <w:rsid w:val="00BD7DE9"/>
    <w:rsid w:val="00BE0DC9"/>
    <w:rsid w:val="00BE25EE"/>
    <w:rsid w:val="00BE3F55"/>
    <w:rsid w:val="00BE62BB"/>
    <w:rsid w:val="00BF0A5B"/>
    <w:rsid w:val="00BF0D3B"/>
    <w:rsid w:val="00BF1377"/>
    <w:rsid w:val="00BF2C0E"/>
    <w:rsid w:val="00BF5AB7"/>
    <w:rsid w:val="00BF6895"/>
    <w:rsid w:val="00BF7ED8"/>
    <w:rsid w:val="00C01273"/>
    <w:rsid w:val="00C022FE"/>
    <w:rsid w:val="00C02912"/>
    <w:rsid w:val="00C02EF2"/>
    <w:rsid w:val="00C03881"/>
    <w:rsid w:val="00C03F4F"/>
    <w:rsid w:val="00C051B6"/>
    <w:rsid w:val="00C06170"/>
    <w:rsid w:val="00C07084"/>
    <w:rsid w:val="00C072A0"/>
    <w:rsid w:val="00C0741E"/>
    <w:rsid w:val="00C075F9"/>
    <w:rsid w:val="00C0780B"/>
    <w:rsid w:val="00C07C4F"/>
    <w:rsid w:val="00C105D5"/>
    <w:rsid w:val="00C10CFF"/>
    <w:rsid w:val="00C12382"/>
    <w:rsid w:val="00C13A81"/>
    <w:rsid w:val="00C13B99"/>
    <w:rsid w:val="00C14AE6"/>
    <w:rsid w:val="00C14FF6"/>
    <w:rsid w:val="00C156AB"/>
    <w:rsid w:val="00C16C83"/>
    <w:rsid w:val="00C172FB"/>
    <w:rsid w:val="00C17C81"/>
    <w:rsid w:val="00C20530"/>
    <w:rsid w:val="00C21D32"/>
    <w:rsid w:val="00C232AF"/>
    <w:rsid w:val="00C23E1C"/>
    <w:rsid w:val="00C23F31"/>
    <w:rsid w:val="00C2581E"/>
    <w:rsid w:val="00C275B6"/>
    <w:rsid w:val="00C27A3E"/>
    <w:rsid w:val="00C32507"/>
    <w:rsid w:val="00C337E4"/>
    <w:rsid w:val="00C3444E"/>
    <w:rsid w:val="00C356FD"/>
    <w:rsid w:val="00C373CC"/>
    <w:rsid w:val="00C421AE"/>
    <w:rsid w:val="00C437DF"/>
    <w:rsid w:val="00C449AB"/>
    <w:rsid w:val="00C44A0A"/>
    <w:rsid w:val="00C44A6B"/>
    <w:rsid w:val="00C44ED0"/>
    <w:rsid w:val="00C45A8A"/>
    <w:rsid w:val="00C4604F"/>
    <w:rsid w:val="00C46090"/>
    <w:rsid w:val="00C46847"/>
    <w:rsid w:val="00C52143"/>
    <w:rsid w:val="00C53FBA"/>
    <w:rsid w:val="00C5474F"/>
    <w:rsid w:val="00C5506D"/>
    <w:rsid w:val="00C56248"/>
    <w:rsid w:val="00C56CB3"/>
    <w:rsid w:val="00C60EDB"/>
    <w:rsid w:val="00C63D74"/>
    <w:rsid w:val="00C665A8"/>
    <w:rsid w:val="00C709AC"/>
    <w:rsid w:val="00C720BC"/>
    <w:rsid w:val="00C72333"/>
    <w:rsid w:val="00C727E8"/>
    <w:rsid w:val="00C7373B"/>
    <w:rsid w:val="00C73C24"/>
    <w:rsid w:val="00C74460"/>
    <w:rsid w:val="00C74FDF"/>
    <w:rsid w:val="00C75557"/>
    <w:rsid w:val="00C76C8E"/>
    <w:rsid w:val="00C76FC5"/>
    <w:rsid w:val="00C815D4"/>
    <w:rsid w:val="00C819BC"/>
    <w:rsid w:val="00C848AD"/>
    <w:rsid w:val="00C84E07"/>
    <w:rsid w:val="00C859EB"/>
    <w:rsid w:val="00C861DF"/>
    <w:rsid w:val="00C90DFF"/>
    <w:rsid w:val="00C91C44"/>
    <w:rsid w:val="00C93AFE"/>
    <w:rsid w:val="00C96148"/>
    <w:rsid w:val="00C961E2"/>
    <w:rsid w:val="00C9638B"/>
    <w:rsid w:val="00C977B1"/>
    <w:rsid w:val="00CA1344"/>
    <w:rsid w:val="00CA29EA"/>
    <w:rsid w:val="00CA36E5"/>
    <w:rsid w:val="00CA3F72"/>
    <w:rsid w:val="00CA4B4D"/>
    <w:rsid w:val="00CA4C46"/>
    <w:rsid w:val="00CA62B0"/>
    <w:rsid w:val="00CA656A"/>
    <w:rsid w:val="00CA7530"/>
    <w:rsid w:val="00CA7CB5"/>
    <w:rsid w:val="00CB02B3"/>
    <w:rsid w:val="00CB05BD"/>
    <w:rsid w:val="00CB18F7"/>
    <w:rsid w:val="00CB19EE"/>
    <w:rsid w:val="00CB24A8"/>
    <w:rsid w:val="00CB2ABC"/>
    <w:rsid w:val="00CB48F2"/>
    <w:rsid w:val="00CB6108"/>
    <w:rsid w:val="00CB698D"/>
    <w:rsid w:val="00CB73A2"/>
    <w:rsid w:val="00CB782A"/>
    <w:rsid w:val="00CC322A"/>
    <w:rsid w:val="00CC415B"/>
    <w:rsid w:val="00CC4B7E"/>
    <w:rsid w:val="00CC4B90"/>
    <w:rsid w:val="00CC7899"/>
    <w:rsid w:val="00CD06B8"/>
    <w:rsid w:val="00CD06F7"/>
    <w:rsid w:val="00CD070D"/>
    <w:rsid w:val="00CD0826"/>
    <w:rsid w:val="00CD1149"/>
    <w:rsid w:val="00CD16E4"/>
    <w:rsid w:val="00CD2332"/>
    <w:rsid w:val="00CD251F"/>
    <w:rsid w:val="00CD3A33"/>
    <w:rsid w:val="00CD451D"/>
    <w:rsid w:val="00CD4583"/>
    <w:rsid w:val="00CD4E43"/>
    <w:rsid w:val="00CD4F07"/>
    <w:rsid w:val="00CD73E0"/>
    <w:rsid w:val="00CD795A"/>
    <w:rsid w:val="00CE0200"/>
    <w:rsid w:val="00CE0E1E"/>
    <w:rsid w:val="00CE22CB"/>
    <w:rsid w:val="00CE41DE"/>
    <w:rsid w:val="00CE6838"/>
    <w:rsid w:val="00CE717B"/>
    <w:rsid w:val="00CE7DA5"/>
    <w:rsid w:val="00CF028F"/>
    <w:rsid w:val="00CF0F86"/>
    <w:rsid w:val="00CF265B"/>
    <w:rsid w:val="00CF506F"/>
    <w:rsid w:val="00CF549F"/>
    <w:rsid w:val="00CF5B35"/>
    <w:rsid w:val="00CF5DD2"/>
    <w:rsid w:val="00CF7581"/>
    <w:rsid w:val="00CF7BF6"/>
    <w:rsid w:val="00D00018"/>
    <w:rsid w:val="00D0343C"/>
    <w:rsid w:val="00D040CC"/>
    <w:rsid w:val="00D0707A"/>
    <w:rsid w:val="00D07501"/>
    <w:rsid w:val="00D10551"/>
    <w:rsid w:val="00D1089F"/>
    <w:rsid w:val="00D1126E"/>
    <w:rsid w:val="00D1147D"/>
    <w:rsid w:val="00D11D4F"/>
    <w:rsid w:val="00D130F7"/>
    <w:rsid w:val="00D13DDF"/>
    <w:rsid w:val="00D156C5"/>
    <w:rsid w:val="00D20203"/>
    <w:rsid w:val="00D2097F"/>
    <w:rsid w:val="00D21D7B"/>
    <w:rsid w:val="00D23D14"/>
    <w:rsid w:val="00D23F7D"/>
    <w:rsid w:val="00D25A28"/>
    <w:rsid w:val="00D324B7"/>
    <w:rsid w:val="00D35B6C"/>
    <w:rsid w:val="00D418A0"/>
    <w:rsid w:val="00D4242A"/>
    <w:rsid w:val="00D43919"/>
    <w:rsid w:val="00D43B2D"/>
    <w:rsid w:val="00D4426C"/>
    <w:rsid w:val="00D44552"/>
    <w:rsid w:val="00D4463C"/>
    <w:rsid w:val="00D4729D"/>
    <w:rsid w:val="00D473EC"/>
    <w:rsid w:val="00D47488"/>
    <w:rsid w:val="00D47856"/>
    <w:rsid w:val="00D47ACD"/>
    <w:rsid w:val="00D47D9D"/>
    <w:rsid w:val="00D51487"/>
    <w:rsid w:val="00D51908"/>
    <w:rsid w:val="00D51CEE"/>
    <w:rsid w:val="00D53D79"/>
    <w:rsid w:val="00D546DD"/>
    <w:rsid w:val="00D563B3"/>
    <w:rsid w:val="00D56AE8"/>
    <w:rsid w:val="00D60CC9"/>
    <w:rsid w:val="00D63940"/>
    <w:rsid w:val="00D63D50"/>
    <w:rsid w:val="00D6422F"/>
    <w:rsid w:val="00D73724"/>
    <w:rsid w:val="00D74997"/>
    <w:rsid w:val="00D7556E"/>
    <w:rsid w:val="00D759A9"/>
    <w:rsid w:val="00D7717B"/>
    <w:rsid w:val="00D81631"/>
    <w:rsid w:val="00D81C09"/>
    <w:rsid w:val="00D83174"/>
    <w:rsid w:val="00D83720"/>
    <w:rsid w:val="00D84271"/>
    <w:rsid w:val="00D842A0"/>
    <w:rsid w:val="00D85A5F"/>
    <w:rsid w:val="00D86557"/>
    <w:rsid w:val="00D8674B"/>
    <w:rsid w:val="00D873BE"/>
    <w:rsid w:val="00D877B6"/>
    <w:rsid w:val="00D90010"/>
    <w:rsid w:val="00D90757"/>
    <w:rsid w:val="00D91475"/>
    <w:rsid w:val="00D91A4B"/>
    <w:rsid w:val="00D94FB7"/>
    <w:rsid w:val="00D9512D"/>
    <w:rsid w:val="00D966C2"/>
    <w:rsid w:val="00D96AEF"/>
    <w:rsid w:val="00D97A68"/>
    <w:rsid w:val="00D97B4E"/>
    <w:rsid w:val="00DA0218"/>
    <w:rsid w:val="00DA02EB"/>
    <w:rsid w:val="00DA1C50"/>
    <w:rsid w:val="00DA437A"/>
    <w:rsid w:val="00DA4597"/>
    <w:rsid w:val="00DA47E2"/>
    <w:rsid w:val="00DA48B5"/>
    <w:rsid w:val="00DA649E"/>
    <w:rsid w:val="00DA7CEE"/>
    <w:rsid w:val="00DB0A28"/>
    <w:rsid w:val="00DB2532"/>
    <w:rsid w:val="00DB2674"/>
    <w:rsid w:val="00DB2A1C"/>
    <w:rsid w:val="00DB2C7D"/>
    <w:rsid w:val="00DB3CCF"/>
    <w:rsid w:val="00DB4401"/>
    <w:rsid w:val="00DB58A2"/>
    <w:rsid w:val="00DB5ECA"/>
    <w:rsid w:val="00DB6FB5"/>
    <w:rsid w:val="00DC110C"/>
    <w:rsid w:val="00DC2E25"/>
    <w:rsid w:val="00DC4AB2"/>
    <w:rsid w:val="00DC614C"/>
    <w:rsid w:val="00DD0B00"/>
    <w:rsid w:val="00DD27D5"/>
    <w:rsid w:val="00DD31C1"/>
    <w:rsid w:val="00DD36E3"/>
    <w:rsid w:val="00DD59D6"/>
    <w:rsid w:val="00DD75D9"/>
    <w:rsid w:val="00DD7D1B"/>
    <w:rsid w:val="00DD7EA1"/>
    <w:rsid w:val="00DE0941"/>
    <w:rsid w:val="00DE0F64"/>
    <w:rsid w:val="00DE17D5"/>
    <w:rsid w:val="00DE19A4"/>
    <w:rsid w:val="00DE3A2C"/>
    <w:rsid w:val="00DE53B6"/>
    <w:rsid w:val="00DE5449"/>
    <w:rsid w:val="00DE684C"/>
    <w:rsid w:val="00DE6FA4"/>
    <w:rsid w:val="00DE7F24"/>
    <w:rsid w:val="00DF0399"/>
    <w:rsid w:val="00DF15DE"/>
    <w:rsid w:val="00DF20C4"/>
    <w:rsid w:val="00DF4302"/>
    <w:rsid w:val="00DF4383"/>
    <w:rsid w:val="00DF57BE"/>
    <w:rsid w:val="00DF6827"/>
    <w:rsid w:val="00DF732A"/>
    <w:rsid w:val="00E003B7"/>
    <w:rsid w:val="00E0042F"/>
    <w:rsid w:val="00E008BE"/>
    <w:rsid w:val="00E02DB3"/>
    <w:rsid w:val="00E03FC0"/>
    <w:rsid w:val="00E05F68"/>
    <w:rsid w:val="00E0629E"/>
    <w:rsid w:val="00E0721C"/>
    <w:rsid w:val="00E0787B"/>
    <w:rsid w:val="00E10793"/>
    <w:rsid w:val="00E1088D"/>
    <w:rsid w:val="00E11E63"/>
    <w:rsid w:val="00E11FFC"/>
    <w:rsid w:val="00E12F83"/>
    <w:rsid w:val="00E132DF"/>
    <w:rsid w:val="00E141D7"/>
    <w:rsid w:val="00E146BA"/>
    <w:rsid w:val="00E17001"/>
    <w:rsid w:val="00E202FE"/>
    <w:rsid w:val="00E2095B"/>
    <w:rsid w:val="00E20A5E"/>
    <w:rsid w:val="00E21F28"/>
    <w:rsid w:val="00E22A11"/>
    <w:rsid w:val="00E23971"/>
    <w:rsid w:val="00E255D7"/>
    <w:rsid w:val="00E270F8"/>
    <w:rsid w:val="00E27253"/>
    <w:rsid w:val="00E310A1"/>
    <w:rsid w:val="00E314ED"/>
    <w:rsid w:val="00E32D4E"/>
    <w:rsid w:val="00E32E4C"/>
    <w:rsid w:val="00E340FA"/>
    <w:rsid w:val="00E35E5C"/>
    <w:rsid w:val="00E40B9F"/>
    <w:rsid w:val="00E42377"/>
    <w:rsid w:val="00E46564"/>
    <w:rsid w:val="00E46F8E"/>
    <w:rsid w:val="00E47122"/>
    <w:rsid w:val="00E472C6"/>
    <w:rsid w:val="00E476DA"/>
    <w:rsid w:val="00E508C5"/>
    <w:rsid w:val="00E513D8"/>
    <w:rsid w:val="00E52FAE"/>
    <w:rsid w:val="00E53421"/>
    <w:rsid w:val="00E54632"/>
    <w:rsid w:val="00E57570"/>
    <w:rsid w:val="00E60455"/>
    <w:rsid w:val="00E61B3E"/>
    <w:rsid w:val="00E62894"/>
    <w:rsid w:val="00E64491"/>
    <w:rsid w:val="00E65834"/>
    <w:rsid w:val="00E671C3"/>
    <w:rsid w:val="00E703C4"/>
    <w:rsid w:val="00E70BE9"/>
    <w:rsid w:val="00E724BB"/>
    <w:rsid w:val="00E73710"/>
    <w:rsid w:val="00E738DC"/>
    <w:rsid w:val="00E74DFD"/>
    <w:rsid w:val="00E774E1"/>
    <w:rsid w:val="00E77758"/>
    <w:rsid w:val="00E80524"/>
    <w:rsid w:val="00E80FCC"/>
    <w:rsid w:val="00E81101"/>
    <w:rsid w:val="00E82A7A"/>
    <w:rsid w:val="00E86AEB"/>
    <w:rsid w:val="00E8708F"/>
    <w:rsid w:val="00E911FF"/>
    <w:rsid w:val="00E92686"/>
    <w:rsid w:val="00E96A64"/>
    <w:rsid w:val="00E97032"/>
    <w:rsid w:val="00EA065E"/>
    <w:rsid w:val="00EA2B54"/>
    <w:rsid w:val="00EA2ECD"/>
    <w:rsid w:val="00EA32F8"/>
    <w:rsid w:val="00EA4740"/>
    <w:rsid w:val="00EA4CD4"/>
    <w:rsid w:val="00EA7BF4"/>
    <w:rsid w:val="00EA7D4F"/>
    <w:rsid w:val="00EB0215"/>
    <w:rsid w:val="00EB2BD0"/>
    <w:rsid w:val="00EB354E"/>
    <w:rsid w:val="00EB45DE"/>
    <w:rsid w:val="00EB4BA1"/>
    <w:rsid w:val="00EB4E41"/>
    <w:rsid w:val="00EB5820"/>
    <w:rsid w:val="00EB681B"/>
    <w:rsid w:val="00EB6EC8"/>
    <w:rsid w:val="00EB7192"/>
    <w:rsid w:val="00EB75B7"/>
    <w:rsid w:val="00EB77B8"/>
    <w:rsid w:val="00EB77D6"/>
    <w:rsid w:val="00EC09E2"/>
    <w:rsid w:val="00EC09FA"/>
    <w:rsid w:val="00EC0BEF"/>
    <w:rsid w:val="00EC0BFE"/>
    <w:rsid w:val="00EC0C4A"/>
    <w:rsid w:val="00EC16E0"/>
    <w:rsid w:val="00EC179B"/>
    <w:rsid w:val="00EC1A3A"/>
    <w:rsid w:val="00EC1EB3"/>
    <w:rsid w:val="00EC35AF"/>
    <w:rsid w:val="00EC3A80"/>
    <w:rsid w:val="00EC437A"/>
    <w:rsid w:val="00EC6741"/>
    <w:rsid w:val="00EC67D1"/>
    <w:rsid w:val="00EC6ADD"/>
    <w:rsid w:val="00EC7315"/>
    <w:rsid w:val="00ED15E2"/>
    <w:rsid w:val="00ED3875"/>
    <w:rsid w:val="00EE2F9E"/>
    <w:rsid w:val="00EE328A"/>
    <w:rsid w:val="00EE3315"/>
    <w:rsid w:val="00EE45EA"/>
    <w:rsid w:val="00EE4805"/>
    <w:rsid w:val="00EE511D"/>
    <w:rsid w:val="00EE5234"/>
    <w:rsid w:val="00EE5FA1"/>
    <w:rsid w:val="00EE6150"/>
    <w:rsid w:val="00EF0652"/>
    <w:rsid w:val="00EF072B"/>
    <w:rsid w:val="00EF1147"/>
    <w:rsid w:val="00EF1A89"/>
    <w:rsid w:val="00EF26EA"/>
    <w:rsid w:val="00EF280A"/>
    <w:rsid w:val="00EF2D1D"/>
    <w:rsid w:val="00EF74E1"/>
    <w:rsid w:val="00EF7C68"/>
    <w:rsid w:val="00F002F7"/>
    <w:rsid w:val="00F01D60"/>
    <w:rsid w:val="00F02889"/>
    <w:rsid w:val="00F03840"/>
    <w:rsid w:val="00F061D5"/>
    <w:rsid w:val="00F0675F"/>
    <w:rsid w:val="00F0698A"/>
    <w:rsid w:val="00F07BB7"/>
    <w:rsid w:val="00F1057F"/>
    <w:rsid w:val="00F108D7"/>
    <w:rsid w:val="00F10E07"/>
    <w:rsid w:val="00F11BA2"/>
    <w:rsid w:val="00F12584"/>
    <w:rsid w:val="00F1365C"/>
    <w:rsid w:val="00F13E83"/>
    <w:rsid w:val="00F14179"/>
    <w:rsid w:val="00F202F6"/>
    <w:rsid w:val="00F20D5A"/>
    <w:rsid w:val="00F2233B"/>
    <w:rsid w:val="00F22EBD"/>
    <w:rsid w:val="00F2336F"/>
    <w:rsid w:val="00F23AD5"/>
    <w:rsid w:val="00F23C2C"/>
    <w:rsid w:val="00F25EE1"/>
    <w:rsid w:val="00F3210A"/>
    <w:rsid w:val="00F33125"/>
    <w:rsid w:val="00F34006"/>
    <w:rsid w:val="00F35101"/>
    <w:rsid w:val="00F353F2"/>
    <w:rsid w:val="00F354D8"/>
    <w:rsid w:val="00F40220"/>
    <w:rsid w:val="00F403F3"/>
    <w:rsid w:val="00F40449"/>
    <w:rsid w:val="00F4158C"/>
    <w:rsid w:val="00F41B18"/>
    <w:rsid w:val="00F43192"/>
    <w:rsid w:val="00F43400"/>
    <w:rsid w:val="00F447D0"/>
    <w:rsid w:val="00F44C62"/>
    <w:rsid w:val="00F4598D"/>
    <w:rsid w:val="00F459CE"/>
    <w:rsid w:val="00F47ED9"/>
    <w:rsid w:val="00F52B9C"/>
    <w:rsid w:val="00F52D27"/>
    <w:rsid w:val="00F53935"/>
    <w:rsid w:val="00F5511A"/>
    <w:rsid w:val="00F558C4"/>
    <w:rsid w:val="00F562C3"/>
    <w:rsid w:val="00F56EED"/>
    <w:rsid w:val="00F572F8"/>
    <w:rsid w:val="00F62FC5"/>
    <w:rsid w:val="00F63E9D"/>
    <w:rsid w:val="00F645A6"/>
    <w:rsid w:val="00F6479D"/>
    <w:rsid w:val="00F64AA5"/>
    <w:rsid w:val="00F65BF0"/>
    <w:rsid w:val="00F65E9D"/>
    <w:rsid w:val="00F66A51"/>
    <w:rsid w:val="00F67085"/>
    <w:rsid w:val="00F67F81"/>
    <w:rsid w:val="00F704AC"/>
    <w:rsid w:val="00F73283"/>
    <w:rsid w:val="00F73C0E"/>
    <w:rsid w:val="00F751E6"/>
    <w:rsid w:val="00F75EE7"/>
    <w:rsid w:val="00F77957"/>
    <w:rsid w:val="00F815A0"/>
    <w:rsid w:val="00F815FF"/>
    <w:rsid w:val="00F81A03"/>
    <w:rsid w:val="00F81E57"/>
    <w:rsid w:val="00F82A5C"/>
    <w:rsid w:val="00F82BDB"/>
    <w:rsid w:val="00F83EED"/>
    <w:rsid w:val="00F86160"/>
    <w:rsid w:val="00F86C93"/>
    <w:rsid w:val="00F925C2"/>
    <w:rsid w:val="00F92AF2"/>
    <w:rsid w:val="00F92EF2"/>
    <w:rsid w:val="00F972A7"/>
    <w:rsid w:val="00FA151E"/>
    <w:rsid w:val="00FA2898"/>
    <w:rsid w:val="00FA3C0A"/>
    <w:rsid w:val="00FA465E"/>
    <w:rsid w:val="00FA51CF"/>
    <w:rsid w:val="00FA58EE"/>
    <w:rsid w:val="00FA5B7E"/>
    <w:rsid w:val="00FA6E27"/>
    <w:rsid w:val="00FB10D9"/>
    <w:rsid w:val="00FB11BD"/>
    <w:rsid w:val="00FB278F"/>
    <w:rsid w:val="00FB29B2"/>
    <w:rsid w:val="00FB4ABA"/>
    <w:rsid w:val="00FB532C"/>
    <w:rsid w:val="00FB6DD3"/>
    <w:rsid w:val="00FC466D"/>
    <w:rsid w:val="00FC498E"/>
    <w:rsid w:val="00FC67DF"/>
    <w:rsid w:val="00FC6A3A"/>
    <w:rsid w:val="00FC7BD1"/>
    <w:rsid w:val="00FD1F25"/>
    <w:rsid w:val="00FD3586"/>
    <w:rsid w:val="00FD36CE"/>
    <w:rsid w:val="00FD53EB"/>
    <w:rsid w:val="00FD6F0B"/>
    <w:rsid w:val="00FE01A2"/>
    <w:rsid w:val="00FE04DB"/>
    <w:rsid w:val="00FE05E1"/>
    <w:rsid w:val="00FE0D4C"/>
    <w:rsid w:val="00FE10F2"/>
    <w:rsid w:val="00FE15D7"/>
    <w:rsid w:val="00FE4B9E"/>
    <w:rsid w:val="00FE4E0B"/>
    <w:rsid w:val="00FE54E8"/>
    <w:rsid w:val="00FE5CAA"/>
    <w:rsid w:val="00FE6CF6"/>
    <w:rsid w:val="00FE6E43"/>
    <w:rsid w:val="00FE7821"/>
    <w:rsid w:val="00FF04E9"/>
    <w:rsid w:val="00FF1D12"/>
    <w:rsid w:val="00FF55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920D5"/>
  <w15:docId w15:val="{BCF15FAE-200E-47CE-857F-480A107F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E9F"/>
    <w:pPr>
      <w:spacing w:after="200" w:line="276" w:lineRule="auto"/>
    </w:pPr>
    <w:rPr>
      <w:sz w:val="22"/>
      <w:szCs w:val="22"/>
    </w:rPr>
  </w:style>
  <w:style w:type="paragraph" w:styleId="Heading1">
    <w:name w:val="heading 1"/>
    <w:basedOn w:val="Normal"/>
    <w:next w:val="Normal"/>
    <w:link w:val="Heading1Char"/>
    <w:uiPriority w:val="99"/>
    <w:qFormat/>
    <w:rsid w:val="00835F74"/>
    <w:pPr>
      <w:keepNext/>
      <w:spacing w:after="0" w:line="240" w:lineRule="auto"/>
      <w:outlineLvl w:val="0"/>
    </w:pPr>
    <w:rPr>
      <w:rFonts w:ascii="Times New Roman" w:eastAsia="Times New Roman" w:hAnsi="Times New Roman"/>
      <w:sz w:val="24"/>
      <w:szCs w:val="20"/>
    </w:rPr>
  </w:style>
  <w:style w:type="paragraph" w:styleId="Heading2">
    <w:name w:val="heading 2"/>
    <w:basedOn w:val="Normal"/>
    <w:next w:val="Normal"/>
    <w:link w:val="Heading2Char"/>
    <w:uiPriority w:val="99"/>
    <w:qFormat/>
    <w:rsid w:val="00835F74"/>
    <w:pPr>
      <w:keepNext/>
      <w:spacing w:after="0" w:line="240" w:lineRule="auto"/>
      <w:outlineLvl w:val="1"/>
    </w:pPr>
    <w:rPr>
      <w:rFonts w:ascii="Times New Roman" w:eastAsia="Times New Roman" w:hAnsi="Times New Roman"/>
      <w:b/>
      <w:bCs/>
      <w:sz w:val="24"/>
      <w:szCs w:val="20"/>
    </w:rPr>
  </w:style>
  <w:style w:type="paragraph" w:styleId="Heading3">
    <w:name w:val="heading 3"/>
    <w:basedOn w:val="Normal"/>
    <w:next w:val="Normal"/>
    <w:link w:val="Heading3Char"/>
    <w:uiPriority w:val="99"/>
    <w:qFormat/>
    <w:rsid w:val="004656DD"/>
    <w:pPr>
      <w:keepNext/>
      <w:spacing w:before="240" w:after="120" w:line="280" w:lineRule="exact"/>
      <w:outlineLvl w:val="2"/>
    </w:pPr>
    <w:rPr>
      <w:rFonts w:ascii="Arial" w:eastAsia="Times New Roman" w:hAnsi="Arial" w:cs="Arial"/>
      <w:b/>
      <w:bCs/>
      <w:sz w:val="24"/>
      <w:szCs w:val="24"/>
    </w:rPr>
  </w:style>
  <w:style w:type="paragraph" w:styleId="Heading4">
    <w:name w:val="heading 4"/>
    <w:basedOn w:val="Normal"/>
    <w:next w:val="Normal"/>
    <w:link w:val="Heading4Char"/>
    <w:uiPriority w:val="99"/>
    <w:unhideWhenUsed/>
    <w:qFormat/>
    <w:rsid w:val="00770F3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unhideWhenUsed/>
    <w:qFormat/>
    <w:rsid w:val="00770F3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unhideWhenUsed/>
    <w:qFormat/>
    <w:rsid w:val="008C5C3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rsid w:val="006A1E7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qFormat/>
    <w:rsid w:val="004656DD"/>
    <w:pPr>
      <w:spacing w:before="240" w:after="60" w:line="240" w:lineRule="auto"/>
      <w:outlineLvl w:val="7"/>
    </w:pPr>
    <w:rPr>
      <w:rFonts w:ascii="Arial" w:eastAsia="Times New Roman" w:hAnsi="Arial" w:cs="Arial"/>
      <w:i/>
      <w:iCs/>
      <w:sz w:val="20"/>
      <w:szCs w:val="20"/>
    </w:rPr>
  </w:style>
  <w:style w:type="paragraph" w:styleId="Heading9">
    <w:name w:val="heading 9"/>
    <w:basedOn w:val="Normal"/>
    <w:next w:val="Normal"/>
    <w:link w:val="Heading9Char"/>
    <w:uiPriority w:val="99"/>
    <w:qFormat/>
    <w:rsid w:val="004656DD"/>
    <w:pPr>
      <w:spacing w:before="240" w:after="60" w:line="240" w:lineRule="auto"/>
      <w:outlineLvl w:val="8"/>
    </w:pPr>
    <w:rPr>
      <w:rFonts w:ascii="Arial" w:eastAsia="Times New Roman"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47F27"/>
    <w:pPr>
      <w:spacing w:after="0" w:line="240" w:lineRule="auto"/>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F32A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F32AE"/>
    <w:rPr>
      <w:rFonts w:ascii="Tahoma" w:hAnsi="Tahoma" w:cs="Tahoma"/>
      <w:sz w:val="16"/>
      <w:szCs w:val="16"/>
    </w:rPr>
  </w:style>
  <w:style w:type="character" w:customStyle="1" w:styleId="Heading1Char">
    <w:name w:val="Heading 1 Char"/>
    <w:basedOn w:val="DefaultParagraphFont"/>
    <w:link w:val="Heading1"/>
    <w:uiPriority w:val="99"/>
    <w:rsid w:val="00835F74"/>
    <w:rPr>
      <w:rFonts w:ascii="Times New Roman" w:eastAsia="Times New Roman" w:hAnsi="Times New Roman"/>
      <w:sz w:val="24"/>
    </w:rPr>
  </w:style>
  <w:style w:type="character" w:customStyle="1" w:styleId="Heading2Char">
    <w:name w:val="Heading 2 Char"/>
    <w:basedOn w:val="DefaultParagraphFont"/>
    <w:link w:val="Heading2"/>
    <w:uiPriority w:val="99"/>
    <w:rsid w:val="00835F74"/>
    <w:rPr>
      <w:rFonts w:ascii="Times New Roman" w:eastAsia="Times New Roman" w:hAnsi="Times New Roman"/>
      <w:b/>
      <w:bCs/>
      <w:sz w:val="24"/>
    </w:rPr>
  </w:style>
  <w:style w:type="character" w:customStyle="1" w:styleId="Heading4Char">
    <w:name w:val="Heading 4 Char"/>
    <w:basedOn w:val="DefaultParagraphFont"/>
    <w:link w:val="Heading4"/>
    <w:uiPriority w:val="99"/>
    <w:rsid w:val="00770F32"/>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9"/>
    <w:rsid w:val="00770F32"/>
    <w:rPr>
      <w:rFonts w:asciiTheme="majorHAnsi" w:eastAsiaTheme="majorEastAsia" w:hAnsiTheme="majorHAnsi" w:cstheme="majorBidi"/>
      <w:color w:val="243F60" w:themeColor="accent1" w:themeShade="7F"/>
      <w:sz w:val="22"/>
      <w:szCs w:val="22"/>
    </w:rPr>
  </w:style>
  <w:style w:type="paragraph" w:styleId="FootnoteText">
    <w:name w:val="footnote text"/>
    <w:basedOn w:val="Normal"/>
    <w:link w:val="FootnoteTextChar"/>
    <w:uiPriority w:val="99"/>
    <w:rsid w:val="005B6AFC"/>
    <w:pPr>
      <w:spacing w:after="0" w:line="240" w:lineRule="auto"/>
    </w:pPr>
    <w:rPr>
      <w:rFonts w:ascii="Times New Roman" w:eastAsia="Times New Roman" w:hAnsi="Times New Roman"/>
      <w:sz w:val="20"/>
      <w:szCs w:val="20"/>
      <w:lang w:val="en-AU"/>
    </w:rPr>
  </w:style>
  <w:style w:type="character" w:customStyle="1" w:styleId="FootnoteTextChar">
    <w:name w:val="Footnote Text Char"/>
    <w:basedOn w:val="DefaultParagraphFont"/>
    <w:link w:val="FootnoteText"/>
    <w:uiPriority w:val="99"/>
    <w:rsid w:val="005B6AFC"/>
    <w:rPr>
      <w:rFonts w:ascii="Times New Roman" w:eastAsia="Times New Roman" w:hAnsi="Times New Roman"/>
      <w:lang w:val="en-AU"/>
    </w:rPr>
  </w:style>
  <w:style w:type="character" w:styleId="FootnoteReference">
    <w:name w:val="footnote reference"/>
    <w:basedOn w:val="DefaultParagraphFont"/>
    <w:uiPriority w:val="99"/>
    <w:rsid w:val="005B6AFC"/>
    <w:rPr>
      <w:rFonts w:cs="Times New Roman"/>
      <w:vertAlign w:val="superscript"/>
    </w:rPr>
  </w:style>
  <w:style w:type="paragraph" w:customStyle="1" w:styleId="Default">
    <w:name w:val="Default"/>
    <w:rsid w:val="005B6AFC"/>
    <w:pPr>
      <w:autoSpaceDE w:val="0"/>
      <w:autoSpaceDN w:val="0"/>
      <w:adjustRightInd w:val="0"/>
    </w:pPr>
    <w:rPr>
      <w:rFonts w:ascii="Times New Roman" w:eastAsia="Times New Roman" w:hAnsi="Times New Roman"/>
      <w:color w:val="000000"/>
      <w:sz w:val="24"/>
      <w:szCs w:val="24"/>
      <w:lang w:val="en-GB" w:eastAsia="en-GB"/>
    </w:rPr>
  </w:style>
  <w:style w:type="paragraph" w:customStyle="1" w:styleId="Bijlagebullets">
    <w:name w:val="Bijlage bullets"/>
    <w:basedOn w:val="Normal"/>
    <w:autoRedefine/>
    <w:rsid w:val="005B6AFC"/>
    <w:pPr>
      <w:numPr>
        <w:numId w:val="2"/>
      </w:numPr>
      <w:spacing w:before="240" w:after="120" w:line="360" w:lineRule="auto"/>
      <w:ind w:left="935" w:hanging="357"/>
      <w:jc w:val="both"/>
    </w:pPr>
    <w:rPr>
      <w:rFonts w:ascii="Arial" w:eastAsia="SimSun" w:hAnsi="Arial" w:cs="Arial"/>
      <w:sz w:val="16"/>
      <w:szCs w:val="24"/>
      <w:lang w:val="en-GB" w:eastAsia="zh-CN"/>
    </w:rPr>
  </w:style>
  <w:style w:type="paragraph" w:styleId="BodyText2">
    <w:name w:val="Body Text 2"/>
    <w:basedOn w:val="Normal"/>
    <w:link w:val="BodyText2Char"/>
    <w:uiPriority w:val="99"/>
    <w:rsid w:val="005B6AFC"/>
    <w:pPr>
      <w:tabs>
        <w:tab w:val="left" w:pos="1134"/>
      </w:tabs>
      <w:spacing w:after="0" w:line="240" w:lineRule="auto"/>
    </w:pPr>
    <w:rPr>
      <w:rFonts w:ascii="Macedonian Tms" w:eastAsia="Times New Roman" w:hAnsi="Macedonian Tms"/>
      <w:sz w:val="24"/>
      <w:szCs w:val="20"/>
    </w:rPr>
  </w:style>
  <w:style w:type="character" w:customStyle="1" w:styleId="BodyText2Char">
    <w:name w:val="Body Text 2 Char"/>
    <w:basedOn w:val="DefaultParagraphFont"/>
    <w:link w:val="BodyText2"/>
    <w:uiPriority w:val="99"/>
    <w:rsid w:val="005B6AFC"/>
    <w:rPr>
      <w:rFonts w:ascii="Macedonian Tms" w:eastAsia="Times New Roman" w:hAnsi="Macedonian Tms"/>
      <w:sz w:val="24"/>
    </w:rPr>
  </w:style>
  <w:style w:type="paragraph" w:styleId="BodyText">
    <w:name w:val="Body Text"/>
    <w:basedOn w:val="Normal"/>
    <w:link w:val="BodyTextChar"/>
    <w:uiPriority w:val="99"/>
    <w:unhideWhenUsed/>
    <w:rsid w:val="005B6AFC"/>
    <w:pPr>
      <w:spacing w:after="120" w:line="240" w:lineRule="auto"/>
    </w:pPr>
    <w:rPr>
      <w:rFonts w:ascii="Times New Roman" w:eastAsia="Times New Roman" w:hAnsi="Times New Roman"/>
      <w:sz w:val="20"/>
      <w:szCs w:val="20"/>
      <w:lang w:val="en-AU"/>
    </w:rPr>
  </w:style>
  <w:style w:type="character" w:customStyle="1" w:styleId="BodyTextChar">
    <w:name w:val="Body Text Char"/>
    <w:basedOn w:val="DefaultParagraphFont"/>
    <w:link w:val="BodyText"/>
    <w:uiPriority w:val="99"/>
    <w:rsid w:val="005B6AFC"/>
    <w:rPr>
      <w:rFonts w:ascii="Times New Roman" w:eastAsia="Times New Roman" w:hAnsi="Times New Roman"/>
      <w:lang w:val="en-AU"/>
    </w:rPr>
  </w:style>
  <w:style w:type="character" w:customStyle="1" w:styleId="Heading7Char">
    <w:name w:val="Heading 7 Char"/>
    <w:basedOn w:val="DefaultParagraphFont"/>
    <w:link w:val="Heading7"/>
    <w:uiPriority w:val="99"/>
    <w:rsid w:val="006A1E7F"/>
    <w:rPr>
      <w:rFonts w:asciiTheme="majorHAnsi" w:eastAsiaTheme="majorEastAsia" w:hAnsiTheme="majorHAnsi" w:cstheme="majorBidi"/>
      <w:i/>
      <w:iCs/>
      <w:color w:val="404040" w:themeColor="text1" w:themeTint="BF"/>
      <w:sz w:val="22"/>
      <w:szCs w:val="22"/>
    </w:rPr>
  </w:style>
  <w:style w:type="paragraph" w:styleId="Footer">
    <w:name w:val="footer"/>
    <w:basedOn w:val="Normal"/>
    <w:link w:val="FooterChar"/>
    <w:uiPriority w:val="99"/>
    <w:rsid w:val="006A1E7F"/>
    <w:pPr>
      <w:tabs>
        <w:tab w:val="center" w:pos="4320"/>
        <w:tab w:val="right" w:pos="8640"/>
      </w:tabs>
      <w:spacing w:after="0" w:line="240" w:lineRule="auto"/>
    </w:pPr>
    <w:rPr>
      <w:rFonts w:ascii="Times New Roman" w:eastAsia="Times New Roman" w:hAnsi="Times New Roman"/>
      <w:sz w:val="20"/>
      <w:szCs w:val="20"/>
      <w:lang w:val="en-AU"/>
    </w:rPr>
  </w:style>
  <w:style w:type="character" w:customStyle="1" w:styleId="FooterChar">
    <w:name w:val="Footer Char"/>
    <w:basedOn w:val="DefaultParagraphFont"/>
    <w:link w:val="Footer"/>
    <w:uiPriority w:val="99"/>
    <w:rsid w:val="006A1E7F"/>
    <w:rPr>
      <w:rFonts w:ascii="Times New Roman" w:eastAsia="Times New Roman" w:hAnsi="Times New Roman"/>
      <w:lang w:val="en-AU"/>
    </w:rPr>
  </w:style>
  <w:style w:type="paragraph" w:customStyle="1" w:styleId="a">
    <w:name w:val="Вбуйкь"/>
    <w:basedOn w:val="Normal"/>
    <w:next w:val="Normal"/>
    <w:rsid w:val="006A1E7F"/>
    <w:pPr>
      <w:autoSpaceDE w:val="0"/>
      <w:autoSpaceDN w:val="0"/>
      <w:adjustRightInd w:val="0"/>
      <w:spacing w:before="240" w:after="0" w:line="240" w:lineRule="auto"/>
    </w:pPr>
    <w:rPr>
      <w:rFonts w:ascii="Arial" w:eastAsia="Times New Roman" w:hAnsi="Arial"/>
      <w:sz w:val="24"/>
      <w:szCs w:val="24"/>
      <w:lang w:val="en-GB" w:eastAsia="en-GB"/>
    </w:rPr>
  </w:style>
  <w:style w:type="character" w:customStyle="1" w:styleId="Heading6Char">
    <w:name w:val="Heading 6 Char"/>
    <w:basedOn w:val="DefaultParagraphFont"/>
    <w:link w:val="Heading6"/>
    <w:uiPriority w:val="99"/>
    <w:rsid w:val="008C5C32"/>
    <w:rPr>
      <w:rFonts w:asciiTheme="majorHAnsi" w:eastAsiaTheme="majorEastAsia" w:hAnsiTheme="majorHAnsi" w:cstheme="majorBidi"/>
      <w:i/>
      <w:iCs/>
      <w:color w:val="243F60" w:themeColor="accent1" w:themeShade="7F"/>
      <w:sz w:val="22"/>
      <w:szCs w:val="22"/>
    </w:rPr>
  </w:style>
  <w:style w:type="paragraph" w:styleId="Title">
    <w:name w:val="Title"/>
    <w:basedOn w:val="Normal"/>
    <w:link w:val="TitleChar"/>
    <w:uiPriority w:val="99"/>
    <w:qFormat/>
    <w:rsid w:val="000F30BC"/>
    <w:pPr>
      <w:autoSpaceDE w:val="0"/>
      <w:autoSpaceDN w:val="0"/>
      <w:adjustRightInd w:val="0"/>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uiPriority w:val="99"/>
    <w:rsid w:val="000F30BC"/>
    <w:rPr>
      <w:rFonts w:ascii="Times New Roman" w:eastAsia="Times New Roman" w:hAnsi="Times New Roman"/>
      <w:b/>
      <w:bCs/>
      <w:sz w:val="24"/>
      <w:szCs w:val="24"/>
    </w:rPr>
  </w:style>
  <w:style w:type="paragraph" w:styleId="CommentText">
    <w:name w:val="annotation text"/>
    <w:basedOn w:val="Normal"/>
    <w:link w:val="CommentTextChar"/>
    <w:uiPriority w:val="99"/>
    <w:semiHidden/>
    <w:unhideWhenUsed/>
    <w:rsid w:val="00DD75D9"/>
    <w:pPr>
      <w:spacing w:after="0" w:line="240" w:lineRule="auto"/>
    </w:pPr>
    <w:rPr>
      <w:rFonts w:ascii="Times New Roman" w:eastAsia="Times New Roman" w:hAnsi="Times New Roman"/>
      <w:sz w:val="20"/>
      <w:szCs w:val="20"/>
      <w:lang w:val="en-AU"/>
    </w:rPr>
  </w:style>
  <w:style w:type="character" w:customStyle="1" w:styleId="CommentTextChar">
    <w:name w:val="Comment Text Char"/>
    <w:basedOn w:val="DefaultParagraphFont"/>
    <w:link w:val="CommentText"/>
    <w:uiPriority w:val="99"/>
    <w:semiHidden/>
    <w:rsid w:val="00DD75D9"/>
    <w:rPr>
      <w:rFonts w:ascii="Times New Roman" w:eastAsia="Times New Roman" w:hAnsi="Times New Roman"/>
      <w:lang w:val="en-AU"/>
    </w:rPr>
  </w:style>
  <w:style w:type="paragraph" w:styleId="CommentSubject">
    <w:name w:val="annotation subject"/>
    <w:basedOn w:val="CommentText"/>
    <w:next w:val="CommentText"/>
    <w:link w:val="CommentSubjectChar"/>
    <w:uiPriority w:val="99"/>
    <w:semiHidden/>
    <w:rsid w:val="00DD75D9"/>
    <w:rPr>
      <w:b/>
      <w:bCs/>
    </w:rPr>
  </w:style>
  <w:style w:type="character" w:customStyle="1" w:styleId="CommentSubjectChar">
    <w:name w:val="Comment Subject Char"/>
    <w:basedOn w:val="CommentTextChar"/>
    <w:link w:val="CommentSubject"/>
    <w:uiPriority w:val="99"/>
    <w:semiHidden/>
    <w:rsid w:val="00DD75D9"/>
    <w:rPr>
      <w:rFonts w:ascii="Times New Roman" w:eastAsia="Times New Roman" w:hAnsi="Times New Roman"/>
      <w:b/>
      <w:bCs/>
      <w:lang w:val="en-AU"/>
    </w:rPr>
  </w:style>
  <w:style w:type="character" w:customStyle="1" w:styleId="Heading3Char">
    <w:name w:val="Heading 3 Char"/>
    <w:basedOn w:val="DefaultParagraphFont"/>
    <w:link w:val="Heading3"/>
    <w:uiPriority w:val="99"/>
    <w:rsid w:val="004656DD"/>
    <w:rPr>
      <w:rFonts w:ascii="Arial" w:eastAsia="Times New Roman" w:hAnsi="Arial" w:cs="Arial"/>
      <w:b/>
      <w:bCs/>
      <w:sz w:val="24"/>
      <w:szCs w:val="24"/>
    </w:rPr>
  </w:style>
  <w:style w:type="character" w:customStyle="1" w:styleId="Heading8Char">
    <w:name w:val="Heading 8 Char"/>
    <w:basedOn w:val="DefaultParagraphFont"/>
    <w:link w:val="Heading8"/>
    <w:uiPriority w:val="99"/>
    <w:rsid w:val="004656DD"/>
    <w:rPr>
      <w:rFonts w:ascii="Arial" w:eastAsia="Times New Roman" w:hAnsi="Arial" w:cs="Arial"/>
      <w:i/>
      <w:iCs/>
    </w:rPr>
  </w:style>
  <w:style w:type="character" w:customStyle="1" w:styleId="Heading9Char">
    <w:name w:val="Heading 9 Char"/>
    <w:basedOn w:val="DefaultParagraphFont"/>
    <w:link w:val="Heading9"/>
    <w:uiPriority w:val="99"/>
    <w:rsid w:val="004656DD"/>
    <w:rPr>
      <w:rFonts w:ascii="Arial" w:eastAsia="Times New Roman" w:hAnsi="Arial" w:cs="Arial"/>
      <w:i/>
      <w:iCs/>
      <w:sz w:val="18"/>
      <w:szCs w:val="18"/>
    </w:rPr>
  </w:style>
  <w:style w:type="numbering" w:customStyle="1" w:styleId="NoList1">
    <w:name w:val="No List1"/>
    <w:next w:val="NoList"/>
    <w:uiPriority w:val="99"/>
    <w:semiHidden/>
    <w:unhideWhenUsed/>
    <w:rsid w:val="004656DD"/>
  </w:style>
  <w:style w:type="paragraph" w:styleId="EnvelopeAddress">
    <w:name w:val="envelope address"/>
    <w:basedOn w:val="Normal"/>
    <w:uiPriority w:val="99"/>
    <w:rsid w:val="004656DD"/>
    <w:pPr>
      <w:framePr w:w="7920" w:h="1980" w:hRule="exact" w:hSpace="180" w:wrap="auto" w:hAnchor="page" w:xAlign="center" w:yAlign="bottom"/>
      <w:spacing w:after="0" w:line="240" w:lineRule="auto"/>
      <w:ind w:left="1440"/>
    </w:pPr>
    <w:rPr>
      <w:rFonts w:ascii="Arial" w:eastAsia="Times New Roman" w:hAnsi="Arial" w:cs="Arial"/>
      <w:caps/>
      <w:sz w:val="24"/>
      <w:szCs w:val="24"/>
    </w:rPr>
  </w:style>
  <w:style w:type="paragraph" w:customStyle="1" w:styleId="fDTLogo">
    <w:name w:val="f_D&amp;T_Logo"/>
    <w:basedOn w:val="Normal"/>
    <w:uiPriority w:val="99"/>
    <w:rsid w:val="004656DD"/>
    <w:pPr>
      <w:framePr w:wrap="notBeside" w:vAnchor="page" w:hAnchor="page" w:x="1191" w:y="908"/>
      <w:spacing w:after="0" w:line="240" w:lineRule="auto"/>
    </w:pPr>
    <w:rPr>
      <w:rFonts w:ascii="CG Times (WN)" w:eastAsia="Times New Roman" w:hAnsi="CG Times (WN)" w:cs="CG Times (WN)"/>
      <w:sz w:val="24"/>
      <w:szCs w:val="24"/>
    </w:rPr>
  </w:style>
  <w:style w:type="paragraph" w:customStyle="1" w:styleId="fDTTLogo">
    <w:name w:val="f_DTT_Logo"/>
    <w:basedOn w:val="Normal"/>
    <w:uiPriority w:val="99"/>
    <w:rsid w:val="004656DD"/>
    <w:pPr>
      <w:framePr w:wrap="notBeside" w:vAnchor="page" w:hAnchor="page" w:x="1701" w:y="14346"/>
      <w:spacing w:after="0" w:line="240" w:lineRule="auto"/>
    </w:pPr>
    <w:rPr>
      <w:rFonts w:ascii="CG Times (WN)" w:eastAsia="Times New Roman" w:hAnsi="CG Times (WN)" w:cs="CG Times (WN)"/>
      <w:sz w:val="24"/>
      <w:szCs w:val="24"/>
    </w:rPr>
  </w:style>
  <w:style w:type="paragraph" w:customStyle="1" w:styleId="HangingIndent1">
    <w:name w:val="Hanging Indent 1"/>
    <w:basedOn w:val="BodyText"/>
    <w:uiPriority w:val="99"/>
    <w:rsid w:val="004656DD"/>
  </w:style>
  <w:style w:type="paragraph" w:customStyle="1" w:styleId="HangingIndent2">
    <w:name w:val="Hanging Indent 2"/>
    <w:basedOn w:val="BodyText"/>
    <w:uiPriority w:val="99"/>
    <w:rsid w:val="004656DD"/>
  </w:style>
  <w:style w:type="paragraph" w:customStyle="1" w:styleId="HangingIndent3">
    <w:name w:val="Hanging Indent 3"/>
    <w:basedOn w:val="BodyText"/>
    <w:uiPriority w:val="99"/>
    <w:rsid w:val="004656DD"/>
  </w:style>
  <w:style w:type="paragraph" w:customStyle="1" w:styleId="HangingIndent4">
    <w:name w:val="Hanging Indent 4"/>
    <w:basedOn w:val="BodyText"/>
    <w:uiPriority w:val="99"/>
    <w:rsid w:val="004656DD"/>
  </w:style>
  <w:style w:type="paragraph" w:customStyle="1" w:styleId="HangingIndent5">
    <w:name w:val="Hanging Indent 5"/>
    <w:basedOn w:val="BodyText"/>
    <w:uiPriority w:val="99"/>
    <w:rsid w:val="004656DD"/>
  </w:style>
  <w:style w:type="paragraph" w:styleId="Header">
    <w:name w:val="header"/>
    <w:aliases w:val="hd"/>
    <w:basedOn w:val="BodyText"/>
    <w:link w:val="HeaderChar"/>
    <w:uiPriority w:val="99"/>
    <w:rsid w:val="004656DD"/>
    <w:pPr>
      <w:tabs>
        <w:tab w:val="center" w:pos="4680"/>
        <w:tab w:val="right" w:pos="9360"/>
      </w:tabs>
      <w:spacing w:after="240"/>
    </w:pPr>
    <w:rPr>
      <w:sz w:val="24"/>
      <w:szCs w:val="24"/>
      <w:lang w:val="en-US"/>
    </w:rPr>
  </w:style>
  <w:style w:type="character" w:customStyle="1" w:styleId="HeaderChar">
    <w:name w:val="Header Char"/>
    <w:aliases w:val="hd Char"/>
    <w:basedOn w:val="DefaultParagraphFont"/>
    <w:link w:val="Header"/>
    <w:uiPriority w:val="99"/>
    <w:rsid w:val="004656DD"/>
    <w:rPr>
      <w:rFonts w:ascii="Times New Roman" w:eastAsia="Times New Roman" w:hAnsi="Times New Roman"/>
      <w:sz w:val="24"/>
      <w:szCs w:val="24"/>
    </w:rPr>
  </w:style>
  <w:style w:type="paragraph" w:styleId="List">
    <w:name w:val="List"/>
    <w:basedOn w:val="HangingIndent1"/>
    <w:uiPriority w:val="99"/>
    <w:rsid w:val="004656DD"/>
    <w:pPr>
      <w:spacing w:after="240"/>
      <w:ind w:left="360" w:hanging="360"/>
    </w:pPr>
    <w:rPr>
      <w:sz w:val="24"/>
      <w:szCs w:val="24"/>
      <w:lang w:val="en-US"/>
    </w:rPr>
  </w:style>
  <w:style w:type="paragraph" w:styleId="List2">
    <w:name w:val="List 2"/>
    <w:basedOn w:val="HangingIndent2"/>
    <w:uiPriority w:val="99"/>
    <w:rsid w:val="004656DD"/>
    <w:pPr>
      <w:spacing w:after="240"/>
      <w:ind w:left="720" w:hanging="360"/>
    </w:pPr>
    <w:rPr>
      <w:sz w:val="24"/>
      <w:szCs w:val="24"/>
      <w:lang w:val="en-US"/>
    </w:rPr>
  </w:style>
  <w:style w:type="paragraph" w:styleId="List3">
    <w:name w:val="List 3"/>
    <w:basedOn w:val="HangingIndent3"/>
    <w:uiPriority w:val="99"/>
    <w:rsid w:val="004656DD"/>
    <w:pPr>
      <w:spacing w:after="240"/>
      <w:ind w:left="1080" w:hanging="360"/>
    </w:pPr>
    <w:rPr>
      <w:sz w:val="24"/>
      <w:szCs w:val="24"/>
      <w:lang w:val="en-US"/>
    </w:rPr>
  </w:style>
  <w:style w:type="paragraph" w:styleId="List4">
    <w:name w:val="List 4"/>
    <w:basedOn w:val="HangingIndent4"/>
    <w:uiPriority w:val="99"/>
    <w:rsid w:val="004656DD"/>
    <w:pPr>
      <w:spacing w:after="240"/>
      <w:ind w:left="1440" w:hanging="360"/>
    </w:pPr>
    <w:rPr>
      <w:sz w:val="24"/>
      <w:szCs w:val="24"/>
      <w:lang w:val="en-US"/>
    </w:rPr>
  </w:style>
  <w:style w:type="paragraph" w:styleId="List5">
    <w:name w:val="List 5"/>
    <w:basedOn w:val="HangingIndent5"/>
    <w:uiPriority w:val="99"/>
    <w:rsid w:val="004656DD"/>
    <w:pPr>
      <w:spacing w:after="240"/>
      <w:ind w:left="1800" w:hanging="360"/>
    </w:pPr>
    <w:rPr>
      <w:sz w:val="24"/>
      <w:szCs w:val="24"/>
      <w:lang w:val="en-US"/>
    </w:rPr>
  </w:style>
  <w:style w:type="paragraph" w:styleId="ListBullet">
    <w:name w:val="List Bullet"/>
    <w:basedOn w:val="HangingIndent1"/>
    <w:uiPriority w:val="99"/>
    <w:rsid w:val="004656DD"/>
    <w:pPr>
      <w:numPr>
        <w:numId w:val="3"/>
      </w:numPr>
      <w:tabs>
        <w:tab w:val="clear" w:pos="360"/>
      </w:tabs>
      <w:spacing w:after="240"/>
    </w:pPr>
    <w:rPr>
      <w:sz w:val="24"/>
      <w:szCs w:val="24"/>
      <w:lang w:val="en-US"/>
    </w:rPr>
  </w:style>
  <w:style w:type="paragraph" w:styleId="ListBullet2">
    <w:name w:val="List Bullet 2"/>
    <w:basedOn w:val="HangingIndent2"/>
    <w:uiPriority w:val="99"/>
    <w:rsid w:val="004656DD"/>
    <w:pPr>
      <w:numPr>
        <w:numId w:val="4"/>
      </w:numPr>
      <w:spacing w:after="240"/>
    </w:pPr>
    <w:rPr>
      <w:sz w:val="24"/>
      <w:szCs w:val="24"/>
      <w:lang w:val="en-US"/>
    </w:rPr>
  </w:style>
  <w:style w:type="paragraph" w:styleId="ListBullet3">
    <w:name w:val="List Bullet 3"/>
    <w:basedOn w:val="HangingIndent3"/>
    <w:uiPriority w:val="99"/>
    <w:rsid w:val="004656DD"/>
    <w:pPr>
      <w:numPr>
        <w:numId w:val="5"/>
      </w:numPr>
      <w:spacing w:after="240"/>
    </w:pPr>
    <w:rPr>
      <w:sz w:val="24"/>
      <w:szCs w:val="24"/>
      <w:lang w:val="en-US"/>
    </w:rPr>
  </w:style>
  <w:style w:type="paragraph" w:styleId="ListBullet4">
    <w:name w:val="List Bullet 4"/>
    <w:basedOn w:val="HangingIndent4"/>
    <w:uiPriority w:val="99"/>
    <w:rsid w:val="004656DD"/>
    <w:pPr>
      <w:numPr>
        <w:numId w:val="6"/>
      </w:numPr>
      <w:spacing w:after="240"/>
    </w:pPr>
    <w:rPr>
      <w:sz w:val="24"/>
      <w:szCs w:val="24"/>
      <w:lang w:val="en-US"/>
    </w:rPr>
  </w:style>
  <w:style w:type="paragraph" w:styleId="ListBullet5">
    <w:name w:val="List Bullet 5"/>
    <w:basedOn w:val="HangingIndent5"/>
    <w:uiPriority w:val="99"/>
    <w:rsid w:val="004656DD"/>
    <w:pPr>
      <w:numPr>
        <w:numId w:val="7"/>
      </w:numPr>
      <w:spacing w:after="240"/>
    </w:pPr>
    <w:rPr>
      <w:sz w:val="24"/>
      <w:szCs w:val="24"/>
      <w:lang w:val="en-US"/>
    </w:rPr>
  </w:style>
  <w:style w:type="paragraph" w:styleId="ListContinue">
    <w:name w:val="List Continue"/>
    <w:basedOn w:val="BodyText2"/>
    <w:uiPriority w:val="99"/>
    <w:rsid w:val="004656DD"/>
    <w:pPr>
      <w:tabs>
        <w:tab w:val="clear" w:pos="1134"/>
      </w:tabs>
      <w:spacing w:after="240"/>
      <w:ind w:left="360"/>
    </w:pPr>
    <w:rPr>
      <w:rFonts w:ascii="Times New Roman" w:hAnsi="Times New Roman"/>
      <w:szCs w:val="24"/>
    </w:rPr>
  </w:style>
  <w:style w:type="paragraph" w:styleId="NormalIndent">
    <w:name w:val="Normal Indent"/>
    <w:basedOn w:val="Normal"/>
    <w:uiPriority w:val="99"/>
    <w:rsid w:val="004656DD"/>
    <w:pPr>
      <w:spacing w:after="0" w:line="240" w:lineRule="auto"/>
      <w:ind w:left="360"/>
    </w:pPr>
    <w:rPr>
      <w:rFonts w:ascii="Times New Roman" w:eastAsia="Times New Roman" w:hAnsi="Times New Roman"/>
      <w:sz w:val="24"/>
      <w:szCs w:val="24"/>
    </w:rPr>
  </w:style>
  <w:style w:type="paragraph" w:styleId="ListContinue2">
    <w:name w:val="List Continue 2"/>
    <w:basedOn w:val="BodyText2"/>
    <w:uiPriority w:val="99"/>
    <w:rsid w:val="004656DD"/>
    <w:pPr>
      <w:tabs>
        <w:tab w:val="clear" w:pos="1134"/>
      </w:tabs>
      <w:spacing w:after="240"/>
      <w:ind w:left="720"/>
    </w:pPr>
    <w:rPr>
      <w:rFonts w:ascii="Times New Roman" w:hAnsi="Times New Roman"/>
      <w:szCs w:val="24"/>
    </w:rPr>
  </w:style>
  <w:style w:type="paragraph" w:styleId="ListContinue3">
    <w:name w:val="List Continue 3"/>
    <w:basedOn w:val="BodyText2"/>
    <w:uiPriority w:val="99"/>
    <w:rsid w:val="004656DD"/>
    <w:pPr>
      <w:tabs>
        <w:tab w:val="clear" w:pos="1134"/>
      </w:tabs>
      <w:spacing w:after="240"/>
      <w:ind w:left="1080"/>
    </w:pPr>
    <w:rPr>
      <w:rFonts w:ascii="Times New Roman" w:hAnsi="Times New Roman"/>
      <w:szCs w:val="24"/>
    </w:rPr>
  </w:style>
  <w:style w:type="paragraph" w:styleId="ListContinue4">
    <w:name w:val="List Continue 4"/>
    <w:basedOn w:val="BodyText2"/>
    <w:uiPriority w:val="99"/>
    <w:rsid w:val="004656DD"/>
    <w:pPr>
      <w:tabs>
        <w:tab w:val="clear" w:pos="1134"/>
      </w:tabs>
      <w:spacing w:after="240"/>
      <w:ind w:left="1440"/>
    </w:pPr>
    <w:rPr>
      <w:rFonts w:ascii="Times New Roman" w:hAnsi="Times New Roman"/>
      <w:szCs w:val="24"/>
    </w:rPr>
  </w:style>
  <w:style w:type="paragraph" w:styleId="ListContinue5">
    <w:name w:val="List Continue 5"/>
    <w:basedOn w:val="BodyText2"/>
    <w:uiPriority w:val="99"/>
    <w:rsid w:val="004656DD"/>
    <w:pPr>
      <w:tabs>
        <w:tab w:val="clear" w:pos="1134"/>
      </w:tabs>
      <w:spacing w:after="240"/>
      <w:ind w:left="1800"/>
    </w:pPr>
    <w:rPr>
      <w:rFonts w:ascii="Times New Roman" w:hAnsi="Times New Roman"/>
      <w:szCs w:val="24"/>
    </w:rPr>
  </w:style>
  <w:style w:type="paragraph" w:styleId="ListNumber">
    <w:name w:val="List Number"/>
    <w:basedOn w:val="HangingIndent1"/>
    <w:uiPriority w:val="99"/>
    <w:rsid w:val="004656DD"/>
    <w:pPr>
      <w:numPr>
        <w:numId w:val="8"/>
      </w:numPr>
      <w:tabs>
        <w:tab w:val="clear" w:pos="360"/>
      </w:tabs>
      <w:spacing w:after="240"/>
    </w:pPr>
    <w:rPr>
      <w:sz w:val="24"/>
      <w:szCs w:val="24"/>
      <w:lang w:val="en-US"/>
    </w:rPr>
  </w:style>
  <w:style w:type="paragraph" w:styleId="ListNumber2">
    <w:name w:val="List Number 2"/>
    <w:basedOn w:val="HangingIndent2"/>
    <w:uiPriority w:val="99"/>
    <w:rsid w:val="004656DD"/>
    <w:pPr>
      <w:numPr>
        <w:numId w:val="9"/>
      </w:numPr>
      <w:spacing w:after="240"/>
    </w:pPr>
    <w:rPr>
      <w:sz w:val="24"/>
      <w:szCs w:val="24"/>
      <w:lang w:val="en-US"/>
    </w:rPr>
  </w:style>
  <w:style w:type="paragraph" w:styleId="ListNumber3">
    <w:name w:val="List Number 3"/>
    <w:basedOn w:val="HangingIndent3"/>
    <w:uiPriority w:val="99"/>
    <w:rsid w:val="004656DD"/>
    <w:pPr>
      <w:numPr>
        <w:numId w:val="10"/>
      </w:numPr>
      <w:spacing w:after="240"/>
    </w:pPr>
    <w:rPr>
      <w:sz w:val="24"/>
      <w:szCs w:val="24"/>
      <w:lang w:val="en-US"/>
    </w:rPr>
  </w:style>
  <w:style w:type="paragraph" w:styleId="ListNumber4">
    <w:name w:val="List Number 4"/>
    <w:basedOn w:val="HangingIndent4"/>
    <w:uiPriority w:val="99"/>
    <w:rsid w:val="004656DD"/>
    <w:pPr>
      <w:numPr>
        <w:numId w:val="11"/>
      </w:numPr>
      <w:spacing w:after="240"/>
    </w:pPr>
    <w:rPr>
      <w:sz w:val="24"/>
      <w:szCs w:val="24"/>
      <w:lang w:val="en-US"/>
    </w:rPr>
  </w:style>
  <w:style w:type="paragraph" w:styleId="ListNumber5">
    <w:name w:val="List Number 5"/>
    <w:basedOn w:val="HangingIndent5"/>
    <w:uiPriority w:val="99"/>
    <w:rsid w:val="004656DD"/>
    <w:pPr>
      <w:numPr>
        <w:numId w:val="12"/>
      </w:numPr>
      <w:spacing w:after="240"/>
    </w:pPr>
    <w:rPr>
      <w:sz w:val="24"/>
      <w:szCs w:val="24"/>
      <w:lang w:val="en-US"/>
    </w:rPr>
  </w:style>
  <w:style w:type="paragraph" w:styleId="MacroText">
    <w:name w:val="macro"/>
    <w:link w:val="MacroTextChar"/>
    <w:uiPriority w:val="99"/>
    <w:semiHidden/>
    <w:rsid w:val="004656D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uiPriority w:val="99"/>
    <w:semiHidden/>
    <w:rsid w:val="004656DD"/>
    <w:rPr>
      <w:rFonts w:ascii="Courier New" w:eastAsia="Times New Roman" w:hAnsi="Courier New" w:cs="Courier New"/>
    </w:rPr>
  </w:style>
  <w:style w:type="paragraph" w:styleId="Signature">
    <w:name w:val="Signature"/>
    <w:basedOn w:val="BodyText"/>
    <w:next w:val="BodyText"/>
    <w:link w:val="SignatureChar"/>
    <w:uiPriority w:val="99"/>
    <w:rsid w:val="004656DD"/>
    <w:pPr>
      <w:spacing w:after="240"/>
    </w:pPr>
    <w:rPr>
      <w:sz w:val="24"/>
      <w:szCs w:val="24"/>
      <w:lang w:val="en-US"/>
    </w:rPr>
  </w:style>
  <w:style w:type="character" w:customStyle="1" w:styleId="SignatureChar">
    <w:name w:val="Signature Char"/>
    <w:basedOn w:val="DefaultParagraphFont"/>
    <w:link w:val="Signature"/>
    <w:uiPriority w:val="99"/>
    <w:rsid w:val="004656DD"/>
    <w:rPr>
      <w:rFonts w:ascii="Times New Roman" w:eastAsia="Times New Roman" w:hAnsi="Times New Roman"/>
      <w:sz w:val="24"/>
      <w:szCs w:val="24"/>
    </w:rPr>
  </w:style>
  <w:style w:type="paragraph" w:styleId="TOAHeading">
    <w:name w:val="toa heading"/>
    <w:basedOn w:val="Normal"/>
    <w:next w:val="Normal"/>
    <w:uiPriority w:val="99"/>
    <w:semiHidden/>
    <w:rsid w:val="004656DD"/>
    <w:pPr>
      <w:keepNext/>
      <w:spacing w:after="360" w:line="240" w:lineRule="auto"/>
    </w:pPr>
    <w:rPr>
      <w:rFonts w:ascii="Times New Roman" w:eastAsia="Times New Roman" w:hAnsi="Times New Roman"/>
      <w:b/>
      <w:bCs/>
      <w:i/>
      <w:iCs/>
      <w:kern w:val="28"/>
      <w:sz w:val="72"/>
      <w:szCs w:val="72"/>
    </w:rPr>
  </w:style>
  <w:style w:type="paragraph" w:styleId="EnvelopeReturn">
    <w:name w:val="envelope return"/>
    <w:basedOn w:val="Normal"/>
    <w:uiPriority w:val="99"/>
    <w:rsid w:val="004656DD"/>
    <w:pPr>
      <w:spacing w:after="0" w:line="240" w:lineRule="auto"/>
    </w:pPr>
    <w:rPr>
      <w:rFonts w:ascii="Arial" w:eastAsia="Times New Roman" w:hAnsi="Arial" w:cs="Arial"/>
      <w:sz w:val="24"/>
      <w:szCs w:val="24"/>
    </w:rPr>
  </w:style>
  <w:style w:type="paragraph" w:styleId="Closing">
    <w:name w:val="Closing"/>
    <w:basedOn w:val="BodyText"/>
    <w:next w:val="Signature"/>
    <w:link w:val="ClosingChar"/>
    <w:uiPriority w:val="99"/>
    <w:rsid w:val="004656DD"/>
    <w:pPr>
      <w:spacing w:after="860"/>
    </w:pPr>
    <w:rPr>
      <w:sz w:val="24"/>
      <w:szCs w:val="24"/>
      <w:lang w:val="en-US"/>
    </w:rPr>
  </w:style>
  <w:style w:type="character" w:customStyle="1" w:styleId="ClosingChar">
    <w:name w:val="Closing Char"/>
    <w:basedOn w:val="DefaultParagraphFont"/>
    <w:link w:val="Closing"/>
    <w:uiPriority w:val="99"/>
    <w:rsid w:val="004656DD"/>
    <w:rPr>
      <w:rFonts w:ascii="Times New Roman" w:eastAsia="Times New Roman" w:hAnsi="Times New Roman"/>
      <w:sz w:val="24"/>
      <w:szCs w:val="24"/>
    </w:rPr>
  </w:style>
  <w:style w:type="character" w:styleId="LineNumber">
    <w:name w:val="line number"/>
    <w:uiPriority w:val="99"/>
    <w:rsid w:val="004656DD"/>
    <w:rPr>
      <w:rFonts w:ascii="Arial" w:hAnsi="Arial" w:cs="Arial"/>
      <w:sz w:val="16"/>
      <w:szCs w:val="16"/>
    </w:rPr>
  </w:style>
  <w:style w:type="paragraph" w:styleId="MessageHeader">
    <w:name w:val="Message Header"/>
    <w:basedOn w:val="BodyText"/>
    <w:link w:val="MessageHeaderChar"/>
    <w:uiPriority w:val="99"/>
    <w:rsid w:val="004656DD"/>
    <w:pPr>
      <w:spacing w:after="240"/>
      <w:ind w:left="1080" w:hanging="1080"/>
    </w:pPr>
    <w:rPr>
      <w:rFonts w:ascii="Arial" w:hAnsi="Arial" w:cs="Arial"/>
      <w:b/>
      <w:bCs/>
      <w:sz w:val="24"/>
      <w:szCs w:val="24"/>
      <w:lang w:val="en-US"/>
    </w:rPr>
  </w:style>
  <w:style w:type="character" w:customStyle="1" w:styleId="MessageHeaderChar">
    <w:name w:val="Message Header Char"/>
    <w:basedOn w:val="DefaultParagraphFont"/>
    <w:link w:val="MessageHeader"/>
    <w:uiPriority w:val="99"/>
    <w:rsid w:val="004656DD"/>
    <w:rPr>
      <w:rFonts w:ascii="Arial" w:eastAsia="Times New Roman" w:hAnsi="Arial" w:cs="Arial"/>
      <w:b/>
      <w:bCs/>
      <w:sz w:val="24"/>
      <w:szCs w:val="24"/>
    </w:rPr>
  </w:style>
  <w:style w:type="character" w:styleId="PageNumber">
    <w:name w:val="page number"/>
    <w:basedOn w:val="DefaultParagraphFont"/>
    <w:uiPriority w:val="99"/>
    <w:rsid w:val="004656DD"/>
  </w:style>
  <w:style w:type="paragraph" w:styleId="Subtitle">
    <w:name w:val="Subtitle"/>
    <w:basedOn w:val="Heading2"/>
    <w:next w:val="BodyText"/>
    <w:link w:val="SubtitleChar"/>
    <w:uiPriority w:val="99"/>
    <w:qFormat/>
    <w:rsid w:val="004656DD"/>
    <w:pPr>
      <w:pBdr>
        <w:top w:val="single" w:sz="6" w:space="1" w:color="auto"/>
      </w:pBdr>
      <w:spacing w:before="480" w:after="120" w:line="320" w:lineRule="exact"/>
      <w:outlineLvl w:val="9"/>
    </w:pPr>
    <w:rPr>
      <w:rFonts w:ascii="Arial" w:hAnsi="Arial" w:cs="Arial"/>
      <w:sz w:val="28"/>
      <w:szCs w:val="28"/>
    </w:rPr>
  </w:style>
  <w:style w:type="character" w:customStyle="1" w:styleId="SubtitleChar">
    <w:name w:val="Subtitle Char"/>
    <w:basedOn w:val="DefaultParagraphFont"/>
    <w:link w:val="Subtitle"/>
    <w:uiPriority w:val="99"/>
    <w:rsid w:val="004656DD"/>
    <w:rPr>
      <w:rFonts w:ascii="Arial" w:eastAsia="Times New Roman" w:hAnsi="Arial" w:cs="Arial"/>
      <w:b/>
      <w:bCs/>
      <w:sz w:val="28"/>
      <w:szCs w:val="28"/>
    </w:rPr>
  </w:style>
  <w:style w:type="paragraph" w:styleId="BodyText3">
    <w:name w:val="Body Text 3"/>
    <w:basedOn w:val="Normal"/>
    <w:link w:val="BodyText3Char"/>
    <w:uiPriority w:val="99"/>
    <w:rsid w:val="004656DD"/>
    <w:pPr>
      <w:tabs>
        <w:tab w:val="left" w:pos="-1890"/>
      </w:tabs>
      <w:spacing w:after="0" w:line="240" w:lineRule="auto"/>
      <w:jc w:val="both"/>
    </w:pPr>
    <w:rPr>
      <w:rFonts w:ascii="Times New Roman" w:eastAsia="Times New Roman" w:hAnsi="Times New Roman"/>
      <w:sz w:val="20"/>
      <w:szCs w:val="20"/>
    </w:rPr>
  </w:style>
  <w:style w:type="character" w:customStyle="1" w:styleId="BodyText3Char">
    <w:name w:val="Body Text 3 Char"/>
    <w:basedOn w:val="DefaultParagraphFont"/>
    <w:link w:val="BodyText3"/>
    <w:uiPriority w:val="99"/>
    <w:rsid w:val="004656DD"/>
    <w:rPr>
      <w:rFonts w:ascii="Times New Roman" w:eastAsia="Times New Roman" w:hAnsi="Times New Roman"/>
    </w:rPr>
  </w:style>
  <w:style w:type="paragraph" w:styleId="BodyTextIndent">
    <w:name w:val="Body Text Indent"/>
    <w:basedOn w:val="Normal"/>
    <w:link w:val="BodyTextIndentChar"/>
    <w:uiPriority w:val="99"/>
    <w:rsid w:val="004656DD"/>
    <w:pPr>
      <w:spacing w:after="0" w:line="240" w:lineRule="auto"/>
      <w:ind w:left="720"/>
      <w:jc w:val="both"/>
    </w:pPr>
    <w:rPr>
      <w:rFonts w:ascii="Times New Roman" w:eastAsia="Times New Roman" w:hAnsi="Times New Roman"/>
      <w:b/>
      <w:bCs/>
      <w:sz w:val="20"/>
      <w:szCs w:val="20"/>
      <w:u w:val="single"/>
    </w:rPr>
  </w:style>
  <w:style w:type="character" w:customStyle="1" w:styleId="BodyTextIndentChar">
    <w:name w:val="Body Text Indent Char"/>
    <w:basedOn w:val="DefaultParagraphFont"/>
    <w:link w:val="BodyTextIndent"/>
    <w:uiPriority w:val="99"/>
    <w:rsid w:val="004656DD"/>
    <w:rPr>
      <w:rFonts w:ascii="Times New Roman" w:eastAsia="Times New Roman" w:hAnsi="Times New Roman"/>
      <w:b/>
      <w:bCs/>
      <w:u w:val="single"/>
    </w:rPr>
  </w:style>
  <w:style w:type="paragraph" w:styleId="BodyTextIndent2">
    <w:name w:val="Body Text Indent 2"/>
    <w:aliases w:val="uvlaka 2,  uvlaka 2"/>
    <w:basedOn w:val="Normal"/>
    <w:link w:val="BodyTextIndent2Char"/>
    <w:uiPriority w:val="99"/>
    <w:rsid w:val="004656DD"/>
    <w:pP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pPr>
    <w:rPr>
      <w:rFonts w:ascii="Times New Roman" w:eastAsia="Times New Roman" w:hAnsi="Times New Roman"/>
      <w:color w:val="FF0000"/>
      <w:sz w:val="20"/>
      <w:szCs w:val="20"/>
    </w:rPr>
  </w:style>
  <w:style w:type="character" w:customStyle="1" w:styleId="BodyTextIndent2Char">
    <w:name w:val="Body Text Indent 2 Char"/>
    <w:aliases w:val="uvlaka 2 Char,  uvlaka 2 Char"/>
    <w:basedOn w:val="DefaultParagraphFont"/>
    <w:link w:val="BodyTextIndent2"/>
    <w:uiPriority w:val="99"/>
    <w:rsid w:val="004656DD"/>
    <w:rPr>
      <w:rFonts w:ascii="Times New Roman" w:eastAsia="Times New Roman" w:hAnsi="Times New Roman"/>
      <w:color w:val="FF0000"/>
    </w:rPr>
  </w:style>
  <w:style w:type="paragraph" w:styleId="BodyTextIndent3">
    <w:name w:val="Body Text Indent 3"/>
    <w:basedOn w:val="Normal"/>
    <w:link w:val="BodyTextIndent3Char"/>
    <w:uiPriority w:val="99"/>
    <w:rsid w:val="004656DD"/>
    <w:pPr>
      <w:spacing w:after="0" w:line="240" w:lineRule="auto"/>
      <w:ind w:left="720"/>
    </w:pPr>
    <w:rPr>
      <w:rFonts w:ascii="Times New Roman" w:eastAsia="Times New Roman" w:hAnsi="Times New Roman"/>
      <w:sz w:val="20"/>
      <w:szCs w:val="20"/>
    </w:rPr>
  </w:style>
  <w:style w:type="character" w:customStyle="1" w:styleId="BodyTextIndent3Char">
    <w:name w:val="Body Text Indent 3 Char"/>
    <w:basedOn w:val="DefaultParagraphFont"/>
    <w:link w:val="BodyTextIndent3"/>
    <w:uiPriority w:val="99"/>
    <w:rsid w:val="004656DD"/>
    <w:rPr>
      <w:rFonts w:ascii="Times New Roman" w:eastAsia="Times New Roman" w:hAnsi="Times New Roman"/>
    </w:rPr>
  </w:style>
  <w:style w:type="paragraph" w:styleId="BlockText">
    <w:name w:val="Block Text"/>
    <w:basedOn w:val="Normal"/>
    <w:uiPriority w:val="99"/>
    <w:rsid w:val="004656DD"/>
    <w:pPr>
      <w:spacing w:after="0" w:line="240" w:lineRule="auto"/>
      <w:ind w:left="630" w:right="-18" w:hanging="630"/>
      <w:jc w:val="both"/>
    </w:pPr>
    <w:rPr>
      <w:rFonts w:ascii="Times New Roman" w:eastAsia="Times New Roman" w:hAnsi="Times New Roman"/>
      <w:sz w:val="20"/>
      <w:szCs w:val="20"/>
    </w:rPr>
  </w:style>
  <w:style w:type="paragraph" w:customStyle="1" w:styleId="xl24">
    <w:name w:val="xl24"/>
    <w:basedOn w:val="Normal"/>
    <w:uiPriority w:val="99"/>
    <w:rsid w:val="004656DD"/>
    <w:pPr>
      <w:spacing w:before="100" w:beforeAutospacing="1" w:after="100" w:afterAutospacing="1" w:line="240" w:lineRule="auto"/>
    </w:pPr>
    <w:rPr>
      <w:rFonts w:ascii="TimesRoman" w:eastAsia="Times New Roman" w:hAnsi="TimesRoman" w:cs="TimesRoman"/>
      <w:sz w:val="20"/>
      <w:szCs w:val="20"/>
    </w:rPr>
  </w:style>
  <w:style w:type="paragraph" w:customStyle="1" w:styleId="xl25">
    <w:name w:val="xl25"/>
    <w:basedOn w:val="Normal"/>
    <w:uiPriority w:val="99"/>
    <w:rsid w:val="004656DD"/>
    <w:pPr>
      <w:spacing w:before="100" w:beforeAutospacing="1" w:after="100" w:afterAutospacing="1" w:line="240" w:lineRule="auto"/>
    </w:pPr>
    <w:rPr>
      <w:rFonts w:ascii="TimesRoman" w:eastAsia="Times New Roman" w:hAnsi="TimesRoman" w:cs="TimesRoman"/>
      <w:b/>
      <w:bCs/>
      <w:sz w:val="20"/>
      <w:szCs w:val="20"/>
    </w:rPr>
  </w:style>
  <w:style w:type="paragraph" w:customStyle="1" w:styleId="xl26">
    <w:name w:val="xl26"/>
    <w:basedOn w:val="Normal"/>
    <w:uiPriority w:val="99"/>
    <w:rsid w:val="004656DD"/>
    <w:pPr>
      <w:spacing w:before="100" w:beforeAutospacing="1" w:after="100" w:afterAutospacing="1" w:line="240" w:lineRule="auto"/>
      <w:jc w:val="center"/>
    </w:pPr>
    <w:rPr>
      <w:rFonts w:ascii="TimesRoman" w:eastAsia="Times New Roman" w:hAnsi="TimesRoman" w:cs="TimesRoman"/>
      <w:sz w:val="20"/>
      <w:szCs w:val="20"/>
    </w:rPr>
  </w:style>
  <w:style w:type="paragraph" w:customStyle="1" w:styleId="xl27">
    <w:name w:val="xl27"/>
    <w:basedOn w:val="Normal"/>
    <w:uiPriority w:val="99"/>
    <w:rsid w:val="004656DD"/>
    <w:pPr>
      <w:spacing w:before="100" w:beforeAutospacing="1" w:after="100" w:afterAutospacing="1" w:line="240" w:lineRule="auto"/>
      <w:jc w:val="center"/>
    </w:pPr>
    <w:rPr>
      <w:rFonts w:ascii="TimesRoman" w:eastAsia="Times New Roman" w:hAnsi="TimesRoman" w:cs="TimesRoman"/>
      <w:sz w:val="20"/>
      <w:szCs w:val="20"/>
    </w:rPr>
  </w:style>
  <w:style w:type="paragraph" w:customStyle="1" w:styleId="xl28">
    <w:name w:val="xl28"/>
    <w:basedOn w:val="Normal"/>
    <w:uiPriority w:val="99"/>
    <w:rsid w:val="004656DD"/>
    <w:pPr>
      <w:spacing w:before="100" w:beforeAutospacing="1" w:after="100" w:afterAutospacing="1" w:line="240" w:lineRule="auto"/>
    </w:pPr>
    <w:rPr>
      <w:rFonts w:ascii="TimesRoman" w:eastAsia="Times New Roman" w:hAnsi="TimesRoman" w:cs="TimesRoman"/>
      <w:sz w:val="20"/>
      <w:szCs w:val="20"/>
    </w:rPr>
  </w:style>
  <w:style w:type="paragraph" w:customStyle="1" w:styleId="xl29">
    <w:name w:val="xl29"/>
    <w:basedOn w:val="Normal"/>
    <w:uiPriority w:val="99"/>
    <w:rsid w:val="004656DD"/>
    <w:pPr>
      <w:pBdr>
        <w:top w:val="single" w:sz="4" w:space="0" w:color="000000"/>
      </w:pBdr>
      <w:spacing w:before="100" w:beforeAutospacing="1" w:after="100" w:afterAutospacing="1" w:line="240" w:lineRule="auto"/>
    </w:pPr>
    <w:rPr>
      <w:rFonts w:ascii="TimesRoman" w:eastAsia="Times New Roman" w:hAnsi="TimesRoman" w:cs="TimesRoman"/>
      <w:sz w:val="20"/>
      <w:szCs w:val="20"/>
    </w:rPr>
  </w:style>
  <w:style w:type="paragraph" w:customStyle="1" w:styleId="xl30">
    <w:name w:val="xl30"/>
    <w:basedOn w:val="Normal"/>
    <w:uiPriority w:val="99"/>
    <w:rsid w:val="004656DD"/>
    <w:pPr>
      <w:pBdr>
        <w:top w:val="double" w:sz="6" w:space="0" w:color="000000"/>
      </w:pBdr>
      <w:spacing w:before="100" w:beforeAutospacing="1" w:after="100" w:afterAutospacing="1" w:line="240" w:lineRule="auto"/>
    </w:pPr>
    <w:rPr>
      <w:rFonts w:ascii="TimesRoman" w:eastAsia="Times New Roman" w:hAnsi="TimesRoman" w:cs="TimesRoman"/>
      <w:sz w:val="20"/>
      <w:szCs w:val="20"/>
    </w:rPr>
  </w:style>
  <w:style w:type="paragraph" w:customStyle="1" w:styleId="xl31">
    <w:name w:val="xl31"/>
    <w:basedOn w:val="Normal"/>
    <w:uiPriority w:val="99"/>
    <w:rsid w:val="004656DD"/>
    <w:pPr>
      <w:spacing w:before="100" w:beforeAutospacing="1" w:after="100" w:afterAutospacing="1" w:line="240" w:lineRule="auto"/>
    </w:pPr>
    <w:rPr>
      <w:rFonts w:ascii="TimesRoman" w:eastAsia="Times New Roman" w:hAnsi="TimesRoman" w:cs="TimesRoman"/>
      <w:color w:val="FF0000"/>
      <w:sz w:val="20"/>
      <w:szCs w:val="20"/>
    </w:rPr>
  </w:style>
  <w:style w:type="paragraph" w:customStyle="1" w:styleId="xl32">
    <w:name w:val="xl32"/>
    <w:basedOn w:val="Normal"/>
    <w:uiPriority w:val="99"/>
    <w:rsid w:val="004656DD"/>
    <w:pPr>
      <w:spacing w:before="100" w:beforeAutospacing="1" w:after="100" w:afterAutospacing="1" w:line="240" w:lineRule="auto"/>
    </w:pPr>
    <w:rPr>
      <w:rFonts w:ascii="TimesRoman" w:eastAsia="Times New Roman" w:hAnsi="TimesRoman" w:cs="TimesRoman"/>
      <w:b/>
      <w:bCs/>
      <w:color w:val="000000"/>
      <w:sz w:val="20"/>
      <w:szCs w:val="20"/>
    </w:rPr>
  </w:style>
  <w:style w:type="paragraph" w:customStyle="1" w:styleId="xl33">
    <w:name w:val="xl33"/>
    <w:basedOn w:val="Normal"/>
    <w:uiPriority w:val="99"/>
    <w:rsid w:val="004656DD"/>
    <w:pPr>
      <w:pBdr>
        <w:bottom w:val="double" w:sz="6" w:space="0" w:color="auto"/>
      </w:pBdr>
      <w:spacing w:before="100" w:beforeAutospacing="1" w:after="100" w:afterAutospacing="1" w:line="240" w:lineRule="auto"/>
    </w:pPr>
    <w:rPr>
      <w:rFonts w:ascii="TimesRoman" w:eastAsia="Times New Roman" w:hAnsi="TimesRoman" w:cs="TimesRoman"/>
      <w:sz w:val="20"/>
      <w:szCs w:val="20"/>
    </w:rPr>
  </w:style>
  <w:style w:type="paragraph" w:customStyle="1" w:styleId="xl34">
    <w:name w:val="xl34"/>
    <w:basedOn w:val="Normal"/>
    <w:uiPriority w:val="99"/>
    <w:rsid w:val="004656DD"/>
    <w:pPr>
      <w:pBdr>
        <w:bottom w:val="double" w:sz="6" w:space="0" w:color="000000"/>
      </w:pBdr>
      <w:spacing w:before="100" w:beforeAutospacing="1" w:after="100" w:afterAutospacing="1" w:line="240" w:lineRule="auto"/>
    </w:pPr>
    <w:rPr>
      <w:rFonts w:ascii="TimesRoman" w:eastAsia="Times New Roman" w:hAnsi="TimesRoman" w:cs="TimesRoman"/>
      <w:sz w:val="20"/>
      <w:szCs w:val="20"/>
    </w:rPr>
  </w:style>
  <w:style w:type="paragraph" w:customStyle="1" w:styleId="xl35">
    <w:name w:val="xl35"/>
    <w:basedOn w:val="Normal"/>
    <w:uiPriority w:val="99"/>
    <w:rsid w:val="004656DD"/>
    <w:pPr>
      <w:pBdr>
        <w:bottom w:val="single" w:sz="4" w:space="0" w:color="000000"/>
      </w:pBdr>
      <w:spacing w:before="100" w:beforeAutospacing="1" w:after="100" w:afterAutospacing="1" w:line="240" w:lineRule="auto"/>
    </w:pPr>
    <w:rPr>
      <w:rFonts w:ascii="TimesRoman" w:eastAsia="Times New Roman" w:hAnsi="TimesRoman" w:cs="TimesRoman"/>
      <w:sz w:val="20"/>
      <w:szCs w:val="20"/>
    </w:rPr>
  </w:style>
  <w:style w:type="paragraph" w:customStyle="1" w:styleId="BodyText22">
    <w:name w:val="Body Text 22"/>
    <w:basedOn w:val="Normal"/>
    <w:uiPriority w:val="99"/>
    <w:rsid w:val="004656DD"/>
    <w:pPr>
      <w:widowControl w:val="0"/>
      <w:spacing w:after="0" w:line="240" w:lineRule="auto"/>
      <w:ind w:left="720"/>
      <w:jc w:val="both"/>
    </w:pPr>
    <w:rPr>
      <w:rFonts w:ascii="Times New Roman" w:eastAsia="Times New Roman" w:hAnsi="Times New Roman"/>
      <w:color w:val="000000"/>
      <w:sz w:val="20"/>
      <w:szCs w:val="20"/>
    </w:rPr>
  </w:style>
  <w:style w:type="paragraph" w:customStyle="1" w:styleId="performed">
    <w:name w:val="performed"/>
    <w:basedOn w:val="Normal"/>
    <w:uiPriority w:val="99"/>
    <w:rsid w:val="004656DD"/>
    <w:pPr>
      <w:keepNext/>
      <w:keepLines/>
      <w:spacing w:before="120" w:after="0" w:line="240" w:lineRule="auto"/>
      <w:jc w:val="center"/>
    </w:pPr>
    <w:rPr>
      <w:rFonts w:ascii="Times New Roman" w:eastAsia="Times New Roman" w:hAnsi="Times New Roman"/>
    </w:rPr>
  </w:style>
  <w:style w:type="paragraph" w:customStyle="1" w:styleId="BodyText23">
    <w:name w:val="Body Text 23"/>
    <w:basedOn w:val="Normal"/>
    <w:uiPriority w:val="99"/>
    <w:rsid w:val="004656DD"/>
    <w:pPr>
      <w:widowControl w:val="0"/>
      <w:tabs>
        <w:tab w:val="left" w:pos="0"/>
        <w:tab w:val="left" w:pos="821"/>
        <w:tab w:val="left" w:pos="1728"/>
        <w:tab w:val="left" w:pos="2448"/>
        <w:tab w:val="left" w:pos="3168"/>
        <w:tab w:val="left" w:pos="3888"/>
        <w:tab w:val="left" w:pos="4608"/>
        <w:tab w:val="left" w:pos="5328"/>
        <w:tab w:val="left" w:pos="6048"/>
        <w:tab w:val="left" w:pos="6768"/>
      </w:tabs>
      <w:spacing w:after="0" w:line="240" w:lineRule="auto"/>
      <w:jc w:val="both"/>
    </w:pPr>
    <w:rPr>
      <w:rFonts w:ascii="Times New Roman" w:eastAsia="Times New Roman" w:hAnsi="Times New Roman"/>
    </w:rPr>
  </w:style>
  <w:style w:type="character" w:styleId="CommentReference">
    <w:name w:val="annotation reference"/>
    <w:uiPriority w:val="99"/>
    <w:semiHidden/>
    <w:rsid w:val="004656DD"/>
    <w:rPr>
      <w:sz w:val="16"/>
      <w:szCs w:val="16"/>
    </w:rPr>
  </w:style>
  <w:style w:type="paragraph" w:customStyle="1" w:styleId="BodyText21">
    <w:name w:val="Body Text 21"/>
    <w:basedOn w:val="Normal"/>
    <w:uiPriority w:val="99"/>
    <w:rsid w:val="004656DD"/>
    <w:pPr>
      <w:widowControl w:val="0"/>
      <w:overflowPunct w:val="0"/>
      <w:autoSpaceDE w:val="0"/>
      <w:autoSpaceDN w:val="0"/>
      <w:adjustRightInd w:val="0"/>
      <w:spacing w:after="0" w:line="240" w:lineRule="auto"/>
      <w:ind w:firstLine="720"/>
      <w:jc w:val="both"/>
      <w:textAlignment w:val="baseline"/>
    </w:pPr>
    <w:rPr>
      <w:rFonts w:ascii="MAC C Times" w:eastAsia="Times New Roman" w:hAnsi="MAC C Times" w:cs="MAC C Times"/>
    </w:rPr>
  </w:style>
  <w:style w:type="paragraph" w:customStyle="1" w:styleId="xl37">
    <w:name w:val="xl37"/>
    <w:basedOn w:val="Normal"/>
    <w:uiPriority w:val="99"/>
    <w:rsid w:val="004656DD"/>
    <w:pPr>
      <w:spacing w:before="100" w:beforeAutospacing="1" w:after="100" w:afterAutospacing="1" w:line="240" w:lineRule="auto"/>
    </w:pPr>
    <w:rPr>
      <w:rFonts w:ascii="Times New Roman" w:eastAsia="Arial Unicode MS" w:hAnsi="Times New Roman"/>
      <w:sz w:val="21"/>
      <w:szCs w:val="21"/>
    </w:rPr>
  </w:style>
  <w:style w:type="paragraph" w:styleId="Caption">
    <w:name w:val="caption"/>
    <w:basedOn w:val="Normal"/>
    <w:next w:val="Normal"/>
    <w:uiPriority w:val="99"/>
    <w:qFormat/>
    <w:rsid w:val="004656DD"/>
    <w:pPr>
      <w:spacing w:before="120" w:after="120" w:line="240" w:lineRule="auto"/>
    </w:pPr>
    <w:rPr>
      <w:rFonts w:ascii="Times New Roman" w:eastAsia="Times New Roman" w:hAnsi="Times New Roman"/>
      <w:b/>
      <w:bCs/>
      <w:sz w:val="20"/>
      <w:szCs w:val="20"/>
    </w:rPr>
  </w:style>
  <w:style w:type="paragraph" w:customStyle="1" w:styleId="Indent">
    <w:name w:val="Indent"/>
    <w:rsid w:val="004656DD"/>
    <w:pPr>
      <w:widowControl w:val="0"/>
      <w:autoSpaceDE w:val="0"/>
      <w:autoSpaceDN w:val="0"/>
      <w:adjustRightInd w:val="0"/>
      <w:spacing w:after="120"/>
      <w:ind w:left="540"/>
    </w:pPr>
    <w:rPr>
      <w:rFonts w:ascii="Arial" w:eastAsia="Times New Roman" w:hAnsi="Arial" w:cs="Arial"/>
      <w:sz w:val="24"/>
      <w:szCs w:val="24"/>
    </w:rPr>
  </w:style>
  <w:style w:type="paragraph" w:customStyle="1" w:styleId="CM153">
    <w:name w:val="CM153"/>
    <w:basedOn w:val="Normal"/>
    <w:next w:val="Normal"/>
    <w:uiPriority w:val="99"/>
    <w:rsid w:val="004656DD"/>
    <w:pPr>
      <w:widowControl w:val="0"/>
      <w:autoSpaceDE w:val="0"/>
      <w:autoSpaceDN w:val="0"/>
      <w:adjustRightInd w:val="0"/>
      <w:spacing w:after="170" w:line="240" w:lineRule="auto"/>
    </w:pPr>
    <w:rPr>
      <w:rFonts w:ascii="Garamond Three" w:eastAsia="Times New Roman" w:hAnsi="Garamond Three" w:cs="Garamond Three"/>
      <w:sz w:val="24"/>
      <w:szCs w:val="24"/>
    </w:rPr>
  </w:style>
  <w:style w:type="paragraph" w:customStyle="1" w:styleId="CM18">
    <w:name w:val="CM18"/>
    <w:basedOn w:val="Normal"/>
    <w:next w:val="Normal"/>
    <w:uiPriority w:val="99"/>
    <w:rsid w:val="004656DD"/>
    <w:pPr>
      <w:widowControl w:val="0"/>
      <w:autoSpaceDE w:val="0"/>
      <w:autoSpaceDN w:val="0"/>
      <w:adjustRightInd w:val="0"/>
      <w:spacing w:after="0" w:line="223" w:lineRule="atLeast"/>
    </w:pPr>
    <w:rPr>
      <w:rFonts w:ascii="Garamond Three" w:eastAsia="Times New Roman" w:hAnsi="Garamond Three" w:cs="Garamond Three"/>
      <w:sz w:val="24"/>
      <w:szCs w:val="24"/>
    </w:rPr>
  </w:style>
  <w:style w:type="paragraph" w:customStyle="1" w:styleId="Normalen">
    <w:name w:val="Normalen"/>
    <w:basedOn w:val="Normal"/>
    <w:uiPriority w:val="99"/>
    <w:rsid w:val="004656DD"/>
    <w:pPr>
      <w:spacing w:after="0" w:line="240" w:lineRule="auto"/>
      <w:ind w:firstLine="720"/>
      <w:jc w:val="both"/>
    </w:pPr>
    <w:rPr>
      <w:rFonts w:ascii="MakCirT" w:eastAsia="Times New Roman" w:hAnsi="MakCirT" w:cs="MakCirT"/>
      <w:sz w:val="24"/>
      <w:szCs w:val="24"/>
    </w:rPr>
  </w:style>
  <w:style w:type="table" w:styleId="TableGrid">
    <w:name w:val="Table Grid"/>
    <w:basedOn w:val="TableNormal"/>
    <w:uiPriority w:val="99"/>
    <w:rsid w:val="00465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Justified">
    <w:name w:val="Style Justified"/>
    <w:basedOn w:val="Normal"/>
    <w:uiPriority w:val="99"/>
    <w:rsid w:val="004656DD"/>
    <w:pPr>
      <w:spacing w:after="0" w:line="240" w:lineRule="auto"/>
      <w:jc w:val="both"/>
    </w:pPr>
    <w:rPr>
      <w:rFonts w:ascii="MAC C Times" w:eastAsia="Times New Roman" w:hAnsi="MAC C Times" w:cs="MAC C Times"/>
      <w:sz w:val="24"/>
      <w:szCs w:val="24"/>
      <w:lang w:val="en-GB" w:eastAsia="en-GB"/>
    </w:rPr>
  </w:style>
  <w:style w:type="paragraph" w:styleId="BodyTextFirstIndent2">
    <w:name w:val="Body Text First Indent 2"/>
    <w:basedOn w:val="BodyTextIndent"/>
    <w:link w:val="BodyTextFirstIndent2Char"/>
    <w:uiPriority w:val="99"/>
    <w:rsid w:val="004656DD"/>
    <w:pPr>
      <w:spacing w:after="120"/>
      <w:ind w:left="283" w:firstLine="210"/>
      <w:jc w:val="left"/>
    </w:pPr>
    <w:rPr>
      <w:b w:val="0"/>
      <w:bCs w:val="0"/>
      <w:sz w:val="24"/>
      <w:szCs w:val="24"/>
      <w:u w:val="none"/>
    </w:rPr>
  </w:style>
  <w:style w:type="character" w:customStyle="1" w:styleId="BodyTextFirstIndent2Char">
    <w:name w:val="Body Text First Indent 2 Char"/>
    <w:basedOn w:val="BodyTextIndentChar"/>
    <w:link w:val="BodyTextFirstIndent2"/>
    <w:uiPriority w:val="99"/>
    <w:rsid w:val="004656DD"/>
    <w:rPr>
      <w:rFonts w:ascii="Times New Roman" w:eastAsia="Times New Roman" w:hAnsi="Times New Roman"/>
      <w:b/>
      <w:bCs/>
      <w:sz w:val="24"/>
      <w:szCs w:val="24"/>
      <w:u w:val="single"/>
    </w:rPr>
  </w:style>
  <w:style w:type="paragraph" w:customStyle="1" w:styleId="CharCharCharChar">
    <w:name w:val="Char Char Char Char"/>
    <w:basedOn w:val="Normal"/>
    <w:uiPriority w:val="99"/>
    <w:rsid w:val="004656DD"/>
    <w:pPr>
      <w:spacing w:after="160" w:line="240" w:lineRule="exact"/>
      <w:jc w:val="both"/>
    </w:pPr>
    <w:rPr>
      <w:rFonts w:ascii="Arial" w:eastAsia="Batang" w:hAnsi="Arial" w:cs="Arial"/>
      <w:color w:val="003366"/>
      <w:sz w:val="20"/>
      <w:szCs w:val="20"/>
    </w:rPr>
  </w:style>
  <w:style w:type="paragraph" w:styleId="Revision">
    <w:name w:val="Revision"/>
    <w:hidden/>
    <w:uiPriority w:val="99"/>
    <w:semiHidden/>
    <w:rsid w:val="004656DD"/>
    <w:rPr>
      <w:rFonts w:ascii="Times New Roman" w:eastAsia="Times New Roman" w:hAnsi="Times New Roman"/>
      <w:sz w:val="24"/>
      <w:szCs w:val="24"/>
    </w:rPr>
  </w:style>
  <w:style w:type="paragraph" w:customStyle="1" w:styleId="Text">
    <w:name w:val="Text"/>
    <w:basedOn w:val="Normal"/>
    <w:rsid w:val="004656DD"/>
    <w:pPr>
      <w:widowControl w:val="0"/>
      <w:autoSpaceDE w:val="0"/>
      <w:autoSpaceDN w:val="0"/>
      <w:spacing w:before="60" w:after="120"/>
      <w:ind w:left="720"/>
      <w:jc w:val="both"/>
    </w:pPr>
    <w:rPr>
      <w:rFonts w:ascii="MAC C Swiss" w:hAnsi="MAC C Swiss"/>
      <w:lang w:val="mk-MK"/>
    </w:rPr>
  </w:style>
  <w:style w:type="paragraph" w:customStyle="1" w:styleId="PwCAddress">
    <w:name w:val="PwC Address"/>
    <w:basedOn w:val="Normal"/>
    <w:link w:val="PwCAddressChar"/>
    <w:qFormat/>
    <w:rsid w:val="004656DD"/>
    <w:pPr>
      <w:spacing w:after="0" w:line="200" w:lineRule="atLeast"/>
    </w:pPr>
    <w:rPr>
      <w:rFonts w:ascii="Georgia" w:hAnsi="Georgia"/>
      <w:i/>
      <w:noProof/>
      <w:sz w:val="18"/>
      <w:lang w:val="en-GB" w:eastAsia="en-GB"/>
    </w:rPr>
  </w:style>
  <w:style w:type="character" w:customStyle="1" w:styleId="PwCAddressChar">
    <w:name w:val="PwC Address Char"/>
    <w:link w:val="PwCAddress"/>
    <w:rsid w:val="004656DD"/>
    <w:rPr>
      <w:rFonts w:ascii="Georgia" w:hAnsi="Georgia"/>
      <w:i/>
      <w:noProof/>
      <w:sz w:val="18"/>
      <w:szCs w:val="22"/>
      <w:lang w:val="en-GB" w:eastAsia="en-GB"/>
    </w:rPr>
  </w:style>
  <w:style w:type="paragraph" w:customStyle="1" w:styleId="BlockNumbered">
    <w:name w:val="Block Numbered"/>
    <w:basedOn w:val="Normal"/>
    <w:rsid w:val="004656DD"/>
    <w:pPr>
      <w:widowControl w:val="0"/>
      <w:numPr>
        <w:ilvl w:val="1"/>
        <w:numId w:val="13"/>
      </w:numPr>
      <w:spacing w:before="240" w:after="0" w:line="240" w:lineRule="auto"/>
      <w:jc w:val="both"/>
    </w:pPr>
    <w:rPr>
      <w:rFonts w:ascii="Times New Roman" w:eastAsia="Times New Roman" w:hAnsi="Times New Roman"/>
      <w:sz w:val="24"/>
      <w:szCs w:val="20"/>
    </w:rPr>
  </w:style>
  <w:style w:type="paragraph" w:customStyle="1" w:styleId="t1">
    <w:name w:val="t1"/>
    <w:basedOn w:val="Normal"/>
    <w:rsid w:val="004656DD"/>
    <w:pPr>
      <w:spacing w:after="301" w:line="301" w:lineRule="atLeast"/>
      <w:jc w:val="both"/>
    </w:pPr>
    <w:rPr>
      <w:rFonts w:ascii="Arial" w:eastAsia="Times New Roman" w:hAnsi="Arial" w:cs="Arial"/>
      <w:sz w:val="19"/>
      <w:szCs w:val="19"/>
      <w:lang w:val="en-GB" w:eastAsia="en-GB"/>
    </w:rPr>
  </w:style>
  <w:style w:type="paragraph" w:customStyle="1" w:styleId="T10">
    <w:name w:val="T1"/>
    <w:basedOn w:val="Heading1"/>
    <w:rsid w:val="004656DD"/>
    <w:pPr>
      <w:keepNext w:val="0"/>
      <w:spacing w:after="301" w:line="301" w:lineRule="atLeast"/>
      <w:jc w:val="both"/>
      <w:outlineLvl w:val="9"/>
    </w:pPr>
    <w:rPr>
      <w:rFonts w:ascii="Arial" w:hAnsi="Arial"/>
      <w:sz w:val="19"/>
      <w:lang w:val="en-GB"/>
    </w:rPr>
  </w:style>
  <w:style w:type="paragraph" w:customStyle="1" w:styleId="Normal105pt">
    <w:name w:val="Normal + 10.5 pt"/>
    <w:aliases w:val="Justified,Left:  0.5&quot;"/>
    <w:basedOn w:val="Normal"/>
    <w:rsid w:val="004656DD"/>
    <w:pPr>
      <w:spacing w:after="0" w:line="240" w:lineRule="auto"/>
      <w:ind w:left="720"/>
      <w:jc w:val="both"/>
    </w:pPr>
    <w:rPr>
      <w:rFonts w:ascii="Times New Roman" w:eastAsia="Times New Roman" w:hAnsi="Times New Roman"/>
      <w:sz w:val="21"/>
      <w:szCs w:val="21"/>
      <w:lang w:val="sl-SI"/>
    </w:rPr>
  </w:style>
  <w:style w:type="character" w:customStyle="1" w:styleId="longtext">
    <w:name w:val="long_text"/>
    <w:rsid w:val="004656DD"/>
  </w:style>
  <w:style w:type="paragraph" w:customStyle="1" w:styleId="bodytext230">
    <w:name w:val="bodytext23"/>
    <w:basedOn w:val="Normal"/>
    <w:rsid w:val="004656DD"/>
    <w:pPr>
      <w:spacing w:after="0" w:line="240" w:lineRule="auto"/>
      <w:jc w:val="both"/>
    </w:pPr>
    <w:rPr>
      <w:rFonts w:ascii="Times New Roman" w:hAnsi="Times New Roman"/>
    </w:rPr>
  </w:style>
  <w:style w:type="paragraph" w:customStyle="1" w:styleId="listparagraph0">
    <w:name w:val="listparagraph"/>
    <w:basedOn w:val="Normal"/>
    <w:rsid w:val="004656DD"/>
    <w:pPr>
      <w:spacing w:after="0" w:line="240" w:lineRule="auto"/>
      <w:ind w:left="720"/>
    </w:pPr>
    <w:rPr>
      <w:rFonts w:ascii="Times New Roman" w:hAnsi="Times New Roman"/>
      <w:sz w:val="24"/>
      <w:szCs w:val="24"/>
    </w:rPr>
  </w:style>
  <w:style w:type="character" w:customStyle="1" w:styleId="apple-converted-space">
    <w:name w:val="apple-converted-space"/>
    <w:rsid w:val="004656DD"/>
  </w:style>
  <w:style w:type="paragraph" w:customStyle="1" w:styleId="stylejustified0">
    <w:name w:val="stylejustified"/>
    <w:basedOn w:val="Normal"/>
    <w:rsid w:val="004656DD"/>
    <w:pPr>
      <w:spacing w:after="0" w:line="240" w:lineRule="auto"/>
      <w:jc w:val="both"/>
    </w:pPr>
    <w:rPr>
      <w:rFonts w:ascii="MAC C Times" w:hAnsi="MAC C Times"/>
      <w:sz w:val="24"/>
      <w:szCs w:val="24"/>
    </w:rPr>
  </w:style>
  <w:style w:type="character" w:customStyle="1" w:styleId="hps">
    <w:name w:val="hps"/>
    <w:rsid w:val="004656DD"/>
  </w:style>
  <w:style w:type="numbering" w:customStyle="1" w:styleId="NoList2">
    <w:name w:val="No List2"/>
    <w:next w:val="NoList"/>
    <w:uiPriority w:val="99"/>
    <w:semiHidden/>
    <w:unhideWhenUsed/>
    <w:rsid w:val="00E513D8"/>
  </w:style>
  <w:style w:type="character" w:customStyle="1" w:styleId="mediumtext">
    <w:name w:val="medium_text"/>
    <w:basedOn w:val="DefaultParagraphFont"/>
    <w:rsid w:val="00E513D8"/>
  </w:style>
  <w:style w:type="paragraph" w:customStyle="1" w:styleId="Rbody1">
    <w:name w:val="R_body1"/>
    <w:basedOn w:val="Normal"/>
    <w:rsid w:val="00E513D8"/>
    <w:pPr>
      <w:spacing w:after="0" w:line="240" w:lineRule="auto"/>
      <w:jc w:val="both"/>
    </w:pPr>
    <w:rPr>
      <w:rFonts w:eastAsia="Times New Roman"/>
      <w:sz w:val="18"/>
      <w:szCs w:val="18"/>
      <w:lang w:val="en-GB" w:eastAsia="el-GR"/>
    </w:rPr>
  </w:style>
  <w:style w:type="character" w:customStyle="1" w:styleId="CharChar2">
    <w:name w:val="Char Char2"/>
    <w:rsid w:val="00E513D8"/>
    <w:rPr>
      <w:sz w:val="24"/>
      <w:szCs w:val="24"/>
    </w:rPr>
  </w:style>
  <w:style w:type="character" w:customStyle="1" w:styleId="hpsatn">
    <w:name w:val="hps atn"/>
    <w:basedOn w:val="DefaultParagraphFont"/>
    <w:rsid w:val="00E513D8"/>
  </w:style>
  <w:style w:type="character" w:customStyle="1" w:styleId="gt-icon-text1">
    <w:name w:val="gt-icon-text1"/>
    <w:basedOn w:val="DefaultParagraphFont"/>
    <w:rsid w:val="00E513D8"/>
  </w:style>
  <w:style w:type="paragraph" w:customStyle="1" w:styleId="Numbered1">
    <w:name w:val="Numbered1"/>
    <w:basedOn w:val="Normal"/>
    <w:rsid w:val="00E513D8"/>
    <w:pPr>
      <w:numPr>
        <w:numId w:val="16"/>
      </w:numPr>
      <w:spacing w:after="240" w:line="240" w:lineRule="atLeast"/>
      <w:ind w:right="335"/>
    </w:pPr>
    <w:rPr>
      <w:rFonts w:ascii="Times New Roman" w:eastAsia="Times New Roman" w:hAnsi="Times New Roman"/>
      <w:color w:val="000000"/>
      <w:szCs w:val="20"/>
      <w:lang w:val="en-GB"/>
    </w:rPr>
  </w:style>
  <w:style w:type="paragraph" w:customStyle="1" w:styleId="Numbered2">
    <w:name w:val="Numbered2"/>
    <w:basedOn w:val="Normal"/>
    <w:autoRedefine/>
    <w:rsid w:val="00E513D8"/>
    <w:pPr>
      <w:numPr>
        <w:ilvl w:val="1"/>
        <w:numId w:val="16"/>
      </w:numPr>
      <w:spacing w:after="240" w:line="240" w:lineRule="atLeast"/>
    </w:pPr>
    <w:rPr>
      <w:rFonts w:ascii="Times New Roman" w:eastAsia="Times New Roman" w:hAnsi="Times New Roman"/>
      <w:color w:val="000000"/>
      <w:szCs w:val="20"/>
      <w:lang w:val="en-GB"/>
    </w:rPr>
  </w:style>
  <w:style w:type="character" w:styleId="Hyperlink">
    <w:name w:val="Hyperlink"/>
    <w:uiPriority w:val="99"/>
    <w:unhideWhenUsed/>
    <w:rsid w:val="00E513D8"/>
    <w:rPr>
      <w:strike w:val="0"/>
      <w:dstrike w:val="0"/>
      <w:color w:val="255F9A"/>
      <w:u w:val="none"/>
      <w:effect w:val="none"/>
    </w:rPr>
  </w:style>
  <w:style w:type="paragraph" w:styleId="PlainText">
    <w:name w:val="Plain Text"/>
    <w:basedOn w:val="Normal"/>
    <w:link w:val="PlainTextChar"/>
    <w:uiPriority w:val="99"/>
    <w:unhideWhenUsed/>
    <w:rsid w:val="00C2581E"/>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C2581E"/>
    <w:rPr>
      <w:rFonts w:eastAsiaTheme="minorHAnsi" w:cstheme="minorBidi"/>
      <w:sz w:val="22"/>
      <w:szCs w:val="21"/>
    </w:rPr>
  </w:style>
  <w:style w:type="table" w:customStyle="1" w:styleId="GridTable1Light-Accent51">
    <w:name w:val="Grid Table 1 Light - Accent 51"/>
    <w:basedOn w:val="TableNormal"/>
    <w:uiPriority w:val="46"/>
    <w:rsid w:val="00AE6A2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620C07"/>
    <w:pPr>
      <w:spacing w:before="100" w:beforeAutospacing="1" w:after="100" w:afterAutospacing="1" w:line="240" w:lineRule="auto"/>
    </w:pPr>
    <w:rPr>
      <w:rFonts w:ascii="Times New Roman" w:eastAsia="Times New Roman" w:hAnsi="Times New Roman"/>
      <w:sz w:val="24"/>
      <w:szCs w:val="24"/>
    </w:rPr>
  </w:style>
  <w:style w:type="paragraph" w:customStyle="1" w:styleId="Subtitle1">
    <w:name w:val="Subtitle1"/>
    <w:basedOn w:val="Normal"/>
    <w:rsid w:val="00620C07"/>
    <w:pPr>
      <w:spacing w:before="100" w:beforeAutospacing="1" w:after="100" w:afterAutospacing="1" w:line="240" w:lineRule="auto"/>
    </w:pPr>
    <w:rPr>
      <w:rFonts w:ascii="Times New Roman" w:eastAsia="Times New Roman" w:hAnsi="Times New Roman"/>
      <w:sz w:val="24"/>
      <w:szCs w:val="24"/>
    </w:rPr>
  </w:style>
  <w:style w:type="paragraph" w:customStyle="1" w:styleId="normaltext">
    <w:name w:val="normaltext"/>
    <w:basedOn w:val="Normal"/>
    <w:rsid w:val="00620C07"/>
    <w:pPr>
      <w:spacing w:before="100" w:beforeAutospacing="1" w:after="100" w:afterAutospacing="1" w:line="240" w:lineRule="auto"/>
    </w:pPr>
    <w:rPr>
      <w:rFonts w:ascii="Times New Roman" w:eastAsia="Times New Roman" w:hAnsi="Times New Roman"/>
      <w:sz w:val="24"/>
      <w:szCs w:val="24"/>
    </w:rPr>
  </w:style>
  <w:style w:type="character" w:customStyle="1" w:styleId="normaltext1">
    <w:name w:val="normaltext1"/>
    <w:basedOn w:val="DefaultParagraphFont"/>
    <w:rsid w:val="00620C07"/>
  </w:style>
  <w:style w:type="paragraph" w:styleId="TOCHeading">
    <w:name w:val="TOC Heading"/>
    <w:basedOn w:val="Heading1"/>
    <w:next w:val="Normal"/>
    <w:uiPriority w:val="39"/>
    <w:unhideWhenUsed/>
    <w:qFormat/>
    <w:rsid w:val="00B95081"/>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TOC2">
    <w:name w:val="toc 2"/>
    <w:basedOn w:val="Normal"/>
    <w:next w:val="Normal"/>
    <w:autoRedefine/>
    <w:uiPriority w:val="39"/>
    <w:unhideWhenUsed/>
    <w:rsid w:val="00A85DC9"/>
    <w:pPr>
      <w:tabs>
        <w:tab w:val="right" w:leader="dot" w:pos="9259"/>
      </w:tabs>
      <w:spacing w:after="100" w:line="259" w:lineRule="auto"/>
    </w:pPr>
    <w:rPr>
      <w:rFonts w:ascii="Times New Roman" w:eastAsiaTheme="minorEastAsia" w:hAnsi="Times New Roman"/>
      <w:b/>
      <w:sz w:val="24"/>
      <w:szCs w:val="24"/>
    </w:rPr>
  </w:style>
  <w:style w:type="paragraph" w:styleId="TOC1">
    <w:name w:val="toc 1"/>
    <w:basedOn w:val="Normal"/>
    <w:next w:val="Normal"/>
    <w:autoRedefine/>
    <w:uiPriority w:val="39"/>
    <w:unhideWhenUsed/>
    <w:rsid w:val="0018682A"/>
    <w:pPr>
      <w:tabs>
        <w:tab w:val="right" w:leader="dot" w:pos="9259"/>
      </w:tabs>
      <w:spacing w:after="100" w:line="259" w:lineRule="auto"/>
    </w:pPr>
    <w:rPr>
      <w:rFonts w:ascii="Times New Roman" w:eastAsiaTheme="minorEastAsia" w:hAnsi="Times New Roman"/>
      <w:b/>
      <w:bCs/>
      <w:iCs/>
      <w:noProof/>
      <w:sz w:val="24"/>
      <w:szCs w:val="24"/>
      <w:lang w:val="pt-BR"/>
    </w:rPr>
  </w:style>
  <w:style w:type="paragraph" w:styleId="TOC3">
    <w:name w:val="toc 3"/>
    <w:basedOn w:val="Normal"/>
    <w:next w:val="Normal"/>
    <w:autoRedefine/>
    <w:uiPriority w:val="39"/>
    <w:unhideWhenUsed/>
    <w:rsid w:val="00B95081"/>
    <w:pPr>
      <w:spacing w:after="100" w:line="259" w:lineRule="auto"/>
      <w:ind w:left="440"/>
    </w:pPr>
    <w:rPr>
      <w:rFonts w:asciiTheme="minorHAnsi" w:eastAsiaTheme="minorEastAsia" w:hAnsiTheme="minorHAnsi"/>
    </w:rPr>
  </w:style>
  <w:style w:type="paragraph" w:styleId="EndnoteText">
    <w:name w:val="endnote text"/>
    <w:basedOn w:val="Normal"/>
    <w:link w:val="EndnoteTextChar"/>
    <w:uiPriority w:val="99"/>
    <w:semiHidden/>
    <w:unhideWhenUsed/>
    <w:rsid w:val="009D38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38E1"/>
  </w:style>
  <w:style w:type="character" w:styleId="EndnoteReference">
    <w:name w:val="endnote reference"/>
    <w:basedOn w:val="DefaultParagraphFont"/>
    <w:uiPriority w:val="99"/>
    <w:semiHidden/>
    <w:unhideWhenUsed/>
    <w:rsid w:val="009D38E1"/>
    <w:rPr>
      <w:vertAlign w:val="superscript"/>
    </w:rPr>
  </w:style>
  <w:style w:type="paragraph" w:styleId="NoSpacing">
    <w:name w:val="No Spacing"/>
    <w:uiPriority w:val="1"/>
    <w:qFormat/>
    <w:rsid w:val="00503529"/>
    <w:rPr>
      <w:sz w:val="22"/>
      <w:szCs w:val="22"/>
    </w:rPr>
  </w:style>
  <w:style w:type="character" w:styleId="IntenseReference">
    <w:name w:val="Intense Reference"/>
    <w:basedOn w:val="DefaultParagraphFont"/>
    <w:uiPriority w:val="32"/>
    <w:qFormat/>
    <w:rsid w:val="00173A32"/>
    <w:rPr>
      <w:b/>
      <w:bCs/>
      <w:smallCaps/>
      <w:color w:val="4F81BD" w:themeColor="accent1"/>
      <w:spacing w:val="5"/>
    </w:rPr>
  </w:style>
  <w:style w:type="character" w:styleId="Emphasis">
    <w:name w:val="Emphasis"/>
    <w:basedOn w:val="DefaultParagraphFont"/>
    <w:uiPriority w:val="20"/>
    <w:qFormat/>
    <w:rsid w:val="002A7BCE"/>
    <w:rPr>
      <w:i/>
      <w:iCs/>
    </w:rPr>
  </w:style>
  <w:style w:type="character" w:styleId="IntenseEmphasis">
    <w:name w:val="Intense Emphasis"/>
    <w:basedOn w:val="DefaultParagraphFont"/>
    <w:uiPriority w:val="21"/>
    <w:qFormat/>
    <w:rsid w:val="00AF506E"/>
    <w:rPr>
      <w:i/>
      <w:iCs/>
      <w:color w:val="4F81BD" w:themeColor="accent1"/>
    </w:rPr>
  </w:style>
  <w:style w:type="character" w:customStyle="1" w:styleId="q4iawc">
    <w:name w:val="q4iawc"/>
    <w:basedOn w:val="DefaultParagraphFont"/>
    <w:rsid w:val="00016243"/>
  </w:style>
  <w:style w:type="character" w:customStyle="1" w:styleId="ListParagraphChar">
    <w:name w:val="List Paragraph Char"/>
    <w:link w:val="ListParagraph"/>
    <w:uiPriority w:val="34"/>
    <w:locked/>
    <w:rsid w:val="006826BC"/>
    <w:rPr>
      <w:rFonts w:ascii="Times New Roman" w:eastAsia="Times New Roman" w:hAnsi="Times New Roman"/>
      <w:sz w:val="24"/>
      <w:szCs w:val="24"/>
    </w:rPr>
  </w:style>
  <w:style w:type="table" w:styleId="TableGridLight">
    <w:name w:val="Grid Table Light"/>
    <w:basedOn w:val="TableNormal"/>
    <w:uiPriority w:val="40"/>
    <w:rsid w:val="001C5B1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8076">
      <w:bodyDiv w:val="1"/>
      <w:marLeft w:val="0"/>
      <w:marRight w:val="0"/>
      <w:marTop w:val="0"/>
      <w:marBottom w:val="0"/>
      <w:divBdr>
        <w:top w:val="none" w:sz="0" w:space="0" w:color="auto"/>
        <w:left w:val="none" w:sz="0" w:space="0" w:color="auto"/>
        <w:bottom w:val="none" w:sz="0" w:space="0" w:color="auto"/>
        <w:right w:val="none" w:sz="0" w:space="0" w:color="auto"/>
      </w:divBdr>
    </w:div>
    <w:div w:id="149369699">
      <w:bodyDiv w:val="1"/>
      <w:marLeft w:val="0"/>
      <w:marRight w:val="0"/>
      <w:marTop w:val="0"/>
      <w:marBottom w:val="0"/>
      <w:divBdr>
        <w:top w:val="none" w:sz="0" w:space="0" w:color="auto"/>
        <w:left w:val="none" w:sz="0" w:space="0" w:color="auto"/>
        <w:bottom w:val="none" w:sz="0" w:space="0" w:color="auto"/>
        <w:right w:val="none" w:sz="0" w:space="0" w:color="auto"/>
      </w:divBdr>
    </w:div>
    <w:div w:id="219247848">
      <w:bodyDiv w:val="1"/>
      <w:marLeft w:val="0"/>
      <w:marRight w:val="0"/>
      <w:marTop w:val="0"/>
      <w:marBottom w:val="0"/>
      <w:divBdr>
        <w:top w:val="none" w:sz="0" w:space="0" w:color="auto"/>
        <w:left w:val="none" w:sz="0" w:space="0" w:color="auto"/>
        <w:bottom w:val="none" w:sz="0" w:space="0" w:color="auto"/>
        <w:right w:val="none" w:sz="0" w:space="0" w:color="auto"/>
      </w:divBdr>
    </w:div>
    <w:div w:id="246161388">
      <w:bodyDiv w:val="1"/>
      <w:marLeft w:val="0"/>
      <w:marRight w:val="0"/>
      <w:marTop w:val="0"/>
      <w:marBottom w:val="0"/>
      <w:divBdr>
        <w:top w:val="none" w:sz="0" w:space="0" w:color="auto"/>
        <w:left w:val="none" w:sz="0" w:space="0" w:color="auto"/>
        <w:bottom w:val="none" w:sz="0" w:space="0" w:color="auto"/>
        <w:right w:val="none" w:sz="0" w:space="0" w:color="auto"/>
      </w:divBdr>
    </w:div>
    <w:div w:id="263149947">
      <w:bodyDiv w:val="1"/>
      <w:marLeft w:val="0"/>
      <w:marRight w:val="0"/>
      <w:marTop w:val="0"/>
      <w:marBottom w:val="0"/>
      <w:divBdr>
        <w:top w:val="none" w:sz="0" w:space="0" w:color="auto"/>
        <w:left w:val="none" w:sz="0" w:space="0" w:color="auto"/>
        <w:bottom w:val="none" w:sz="0" w:space="0" w:color="auto"/>
        <w:right w:val="none" w:sz="0" w:space="0" w:color="auto"/>
      </w:divBdr>
    </w:div>
    <w:div w:id="266498707">
      <w:bodyDiv w:val="1"/>
      <w:marLeft w:val="0"/>
      <w:marRight w:val="0"/>
      <w:marTop w:val="0"/>
      <w:marBottom w:val="0"/>
      <w:divBdr>
        <w:top w:val="none" w:sz="0" w:space="0" w:color="auto"/>
        <w:left w:val="none" w:sz="0" w:space="0" w:color="auto"/>
        <w:bottom w:val="none" w:sz="0" w:space="0" w:color="auto"/>
        <w:right w:val="none" w:sz="0" w:space="0" w:color="auto"/>
      </w:divBdr>
    </w:div>
    <w:div w:id="297224538">
      <w:bodyDiv w:val="1"/>
      <w:marLeft w:val="0"/>
      <w:marRight w:val="0"/>
      <w:marTop w:val="0"/>
      <w:marBottom w:val="0"/>
      <w:divBdr>
        <w:top w:val="none" w:sz="0" w:space="0" w:color="auto"/>
        <w:left w:val="none" w:sz="0" w:space="0" w:color="auto"/>
        <w:bottom w:val="none" w:sz="0" w:space="0" w:color="auto"/>
        <w:right w:val="none" w:sz="0" w:space="0" w:color="auto"/>
      </w:divBdr>
    </w:div>
    <w:div w:id="436220031">
      <w:bodyDiv w:val="1"/>
      <w:marLeft w:val="0"/>
      <w:marRight w:val="0"/>
      <w:marTop w:val="0"/>
      <w:marBottom w:val="0"/>
      <w:divBdr>
        <w:top w:val="none" w:sz="0" w:space="0" w:color="auto"/>
        <w:left w:val="none" w:sz="0" w:space="0" w:color="auto"/>
        <w:bottom w:val="none" w:sz="0" w:space="0" w:color="auto"/>
        <w:right w:val="none" w:sz="0" w:space="0" w:color="auto"/>
      </w:divBdr>
    </w:div>
    <w:div w:id="459419976">
      <w:bodyDiv w:val="1"/>
      <w:marLeft w:val="0"/>
      <w:marRight w:val="0"/>
      <w:marTop w:val="0"/>
      <w:marBottom w:val="0"/>
      <w:divBdr>
        <w:top w:val="none" w:sz="0" w:space="0" w:color="auto"/>
        <w:left w:val="none" w:sz="0" w:space="0" w:color="auto"/>
        <w:bottom w:val="none" w:sz="0" w:space="0" w:color="auto"/>
        <w:right w:val="none" w:sz="0" w:space="0" w:color="auto"/>
      </w:divBdr>
    </w:div>
    <w:div w:id="513374759">
      <w:bodyDiv w:val="1"/>
      <w:marLeft w:val="0"/>
      <w:marRight w:val="0"/>
      <w:marTop w:val="0"/>
      <w:marBottom w:val="0"/>
      <w:divBdr>
        <w:top w:val="none" w:sz="0" w:space="0" w:color="auto"/>
        <w:left w:val="none" w:sz="0" w:space="0" w:color="auto"/>
        <w:bottom w:val="none" w:sz="0" w:space="0" w:color="auto"/>
        <w:right w:val="none" w:sz="0" w:space="0" w:color="auto"/>
      </w:divBdr>
    </w:div>
    <w:div w:id="526870865">
      <w:bodyDiv w:val="1"/>
      <w:marLeft w:val="0"/>
      <w:marRight w:val="0"/>
      <w:marTop w:val="0"/>
      <w:marBottom w:val="0"/>
      <w:divBdr>
        <w:top w:val="none" w:sz="0" w:space="0" w:color="auto"/>
        <w:left w:val="none" w:sz="0" w:space="0" w:color="auto"/>
        <w:bottom w:val="none" w:sz="0" w:space="0" w:color="auto"/>
        <w:right w:val="none" w:sz="0" w:space="0" w:color="auto"/>
      </w:divBdr>
    </w:div>
    <w:div w:id="567115653">
      <w:bodyDiv w:val="1"/>
      <w:marLeft w:val="0"/>
      <w:marRight w:val="0"/>
      <w:marTop w:val="0"/>
      <w:marBottom w:val="0"/>
      <w:divBdr>
        <w:top w:val="none" w:sz="0" w:space="0" w:color="auto"/>
        <w:left w:val="none" w:sz="0" w:space="0" w:color="auto"/>
        <w:bottom w:val="none" w:sz="0" w:space="0" w:color="auto"/>
        <w:right w:val="none" w:sz="0" w:space="0" w:color="auto"/>
      </w:divBdr>
    </w:div>
    <w:div w:id="665061457">
      <w:bodyDiv w:val="1"/>
      <w:marLeft w:val="0"/>
      <w:marRight w:val="0"/>
      <w:marTop w:val="0"/>
      <w:marBottom w:val="0"/>
      <w:divBdr>
        <w:top w:val="none" w:sz="0" w:space="0" w:color="auto"/>
        <w:left w:val="none" w:sz="0" w:space="0" w:color="auto"/>
        <w:bottom w:val="none" w:sz="0" w:space="0" w:color="auto"/>
        <w:right w:val="none" w:sz="0" w:space="0" w:color="auto"/>
      </w:divBdr>
    </w:div>
    <w:div w:id="688143853">
      <w:bodyDiv w:val="1"/>
      <w:marLeft w:val="0"/>
      <w:marRight w:val="0"/>
      <w:marTop w:val="0"/>
      <w:marBottom w:val="0"/>
      <w:divBdr>
        <w:top w:val="none" w:sz="0" w:space="0" w:color="auto"/>
        <w:left w:val="none" w:sz="0" w:space="0" w:color="auto"/>
        <w:bottom w:val="none" w:sz="0" w:space="0" w:color="auto"/>
        <w:right w:val="none" w:sz="0" w:space="0" w:color="auto"/>
      </w:divBdr>
    </w:div>
    <w:div w:id="749232403">
      <w:bodyDiv w:val="1"/>
      <w:marLeft w:val="0"/>
      <w:marRight w:val="0"/>
      <w:marTop w:val="0"/>
      <w:marBottom w:val="0"/>
      <w:divBdr>
        <w:top w:val="none" w:sz="0" w:space="0" w:color="auto"/>
        <w:left w:val="none" w:sz="0" w:space="0" w:color="auto"/>
        <w:bottom w:val="none" w:sz="0" w:space="0" w:color="auto"/>
        <w:right w:val="none" w:sz="0" w:space="0" w:color="auto"/>
      </w:divBdr>
    </w:div>
    <w:div w:id="920261577">
      <w:bodyDiv w:val="1"/>
      <w:marLeft w:val="0"/>
      <w:marRight w:val="0"/>
      <w:marTop w:val="0"/>
      <w:marBottom w:val="0"/>
      <w:divBdr>
        <w:top w:val="none" w:sz="0" w:space="0" w:color="auto"/>
        <w:left w:val="none" w:sz="0" w:space="0" w:color="auto"/>
        <w:bottom w:val="none" w:sz="0" w:space="0" w:color="auto"/>
        <w:right w:val="none" w:sz="0" w:space="0" w:color="auto"/>
      </w:divBdr>
    </w:div>
    <w:div w:id="922372498">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5215736">
      <w:bodyDiv w:val="1"/>
      <w:marLeft w:val="0"/>
      <w:marRight w:val="0"/>
      <w:marTop w:val="0"/>
      <w:marBottom w:val="0"/>
      <w:divBdr>
        <w:top w:val="none" w:sz="0" w:space="0" w:color="auto"/>
        <w:left w:val="none" w:sz="0" w:space="0" w:color="auto"/>
        <w:bottom w:val="none" w:sz="0" w:space="0" w:color="auto"/>
        <w:right w:val="none" w:sz="0" w:space="0" w:color="auto"/>
      </w:divBdr>
    </w:div>
    <w:div w:id="1021904175">
      <w:bodyDiv w:val="1"/>
      <w:marLeft w:val="0"/>
      <w:marRight w:val="0"/>
      <w:marTop w:val="0"/>
      <w:marBottom w:val="0"/>
      <w:divBdr>
        <w:top w:val="none" w:sz="0" w:space="0" w:color="auto"/>
        <w:left w:val="none" w:sz="0" w:space="0" w:color="auto"/>
        <w:bottom w:val="none" w:sz="0" w:space="0" w:color="auto"/>
        <w:right w:val="none" w:sz="0" w:space="0" w:color="auto"/>
      </w:divBdr>
    </w:div>
    <w:div w:id="1050036744">
      <w:bodyDiv w:val="1"/>
      <w:marLeft w:val="0"/>
      <w:marRight w:val="0"/>
      <w:marTop w:val="0"/>
      <w:marBottom w:val="0"/>
      <w:divBdr>
        <w:top w:val="none" w:sz="0" w:space="0" w:color="auto"/>
        <w:left w:val="none" w:sz="0" w:space="0" w:color="auto"/>
        <w:bottom w:val="none" w:sz="0" w:space="0" w:color="auto"/>
        <w:right w:val="none" w:sz="0" w:space="0" w:color="auto"/>
      </w:divBdr>
    </w:div>
    <w:div w:id="1055393836">
      <w:bodyDiv w:val="1"/>
      <w:marLeft w:val="0"/>
      <w:marRight w:val="0"/>
      <w:marTop w:val="0"/>
      <w:marBottom w:val="0"/>
      <w:divBdr>
        <w:top w:val="none" w:sz="0" w:space="0" w:color="auto"/>
        <w:left w:val="none" w:sz="0" w:space="0" w:color="auto"/>
        <w:bottom w:val="none" w:sz="0" w:space="0" w:color="auto"/>
        <w:right w:val="none" w:sz="0" w:space="0" w:color="auto"/>
      </w:divBdr>
    </w:div>
    <w:div w:id="1103569637">
      <w:bodyDiv w:val="1"/>
      <w:marLeft w:val="0"/>
      <w:marRight w:val="0"/>
      <w:marTop w:val="0"/>
      <w:marBottom w:val="0"/>
      <w:divBdr>
        <w:top w:val="none" w:sz="0" w:space="0" w:color="auto"/>
        <w:left w:val="none" w:sz="0" w:space="0" w:color="auto"/>
        <w:bottom w:val="none" w:sz="0" w:space="0" w:color="auto"/>
        <w:right w:val="none" w:sz="0" w:space="0" w:color="auto"/>
      </w:divBdr>
    </w:div>
    <w:div w:id="1213494271">
      <w:bodyDiv w:val="1"/>
      <w:marLeft w:val="0"/>
      <w:marRight w:val="0"/>
      <w:marTop w:val="0"/>
      <w:marBottom w:val="0"/>
      <w:divBdr>
        <w:top w:val="none" w:sz="0" w:space="0" w:color="auto"/>
        <w:left w:val="none" w:sz="0" w:space="0" w:color="auto"/>
        <w:bottom w:val="none" w:sz="0" w:space="0" w:color="auto"/>
        <w:right w:val="none" w:sz="0" w:space="0" w:color="auto"/>
      </w:divBdr>
    </w:div>
    <w:div w:id="1262638356">
      <w:bodyDiv w:val="1"/>
      <w:marLeft w:val="0"/>
      <w:marRight w:val="0"/>
      <w:marTop w:val="0"/>
      <w:marBottom w:val="0"/>
      <w:divBdr>
        <w:top w:val="none" w:sz="0" w:space="0" w:color="auto"/>
        <w:left w:val="none" w:sz="0" w:space="0" w:color="auto"/>
        <w:bottom w:val="none" w:sz="0" w:space="0" w:color="auto"/>
        <w:right w:val="none" w:sz="0" w:space="0" w:color="auto"/>
      </w:divBdr>
    </w:div>
    <w:div w:id="1269385095">
      <w:bodyDiv w:val="1"/>
      <w:marLeft w:val="0"/>
      <w:marRight w:val="0"/>
      <w:marTop w:val="0"/>
      <w:marBottom w:val="0"/>
      <w:divBdr>
        <w:top w:val="none" w:sz="0" w:space="0" w:color="auto"/>
        <w:left w:val="none" w:sz="0" w:space="0" w:color="auto"/>
        <w:bottom w:val="none" w:sz="0" w:space="0" w:color="auto"/>
        <w:right w:val="none" w:sz="0" w:space="0" w:color="auto"/>
      </w:divBdr>
    </w:div>
    <w:div w:id="1310088957">
      <w:bodyDiv w:val="1"/>
      <w:marLeft w:val="0"/>
      <w:marRight w:val="0"/>
      <w:marTop w:val="0"/>
      <w:marBottom w:val="0"/>
      <w:divBdr>
        <w:top w:val="none" w:sz="0" w:space="0" w:color="auto"/>
        <w:left w:val="none" w:sz="0" w:space="0" w:color="auto"/>
        <w:bottom w:val="none" w:sz="0" w:space="0" w:color="auto"/>
        <w:right w:val="none" w:sz="0" w:space="0" w:color="auto"/>
      </w:divBdr>
    </w:div>
    <w:div w:id="1335718925">
      <w:bodyDiv w:val="1"/>
      <w:marLeft w:val="0"/>
      <w:marRight w:val="0"/>
      <w:marTop w:val="0"/>
      <w:marBottom w:val="0"/>
      <w:divBdr>
        <w:top w:val="none" w:sz="0" w:space="0" w:color="auto"/>
        <w:left w:val="none" w:sz="0" w:space="0" w:color="auto"/>
        <w:bottom w:val="none" w:sz="0" w:space="0" w:color="auto"/>
        <w:right w:val="none" w:sz="0" w:space="0" w:color="auto"/>
      </w:divBdr>
    </w:div>
    <w:div w:id="1423068618">
      <w:bodyDiv w:val="1"/>
      <w:marLeft w:val="0"/>
      <w:marRight w:val="0"/>
      <w:marTop w:val="0"/>
      <w:marBottom w:val="0"/>
      <w:divBdr>
        <w:top w:val="none" w:sz="0" w:space="0" w:color="auto"/>
        <w:left w:val="none" w:sz="0" w:space="0" w:color="auto"/>
        <w:bottom w:val="none" w:sz="0" w:space="0" w:color="auto"/>
        <w:right w:val="none" w:sz="0" w:space="0" w:color="auto"/>
      </w:divBdr>
    </w:div>
    <w:div w:id="1545556315">
      <w:bodyDiv w:val="1"/>
      <w:marLeft w:val="0"/>
      <w:marRight w:val="0"/>
      <w:marTop w:val="0"/>
      <w:marBottom w:val="0"/>
      <w:divBdr>
        <w:top w:val="none" w:sz="0" w:space="0" w:color="auto"/>
        <w:left w:val="none" w:sz="0" w:space="0" w:color="auto"/>
        <w:bottom w:val="none" w:sz="0" w:space="0" w:color="auto"/>
        <w:right w:val="none" w:sz="0" w:space="0" w:color="auto"/>
      </w:divBdr>
    </w:div>
    <w:div w:id="1653287237">
      <w:bodyDiv w:val="1"/>
      <w:marLeft w:val="0"/>
      <w:marRight w:val="0"/>
      <w:marTop w:val="0"/>
      <w:marBottom w:val="0"/>
      <w:divBdr>
        <w:top w:val="none" w:sz="0" w:space="0" w:color="auto"/>
        <w:left w:val="none" w:sz="0" w:space="0" w:color="auto"/>
        <w:bottom w:val="none" w:sz="0" w:space="0" w:color="auto"/>
        <w:right w:val="none" w:sz="0" w:space="0" w:color="auto"/>
      </w:divBdr>
    </w:div>
    <w:div w:id="1663047377">
      <w:bodyDiv w:val="1"/>
      <w:marLeft w:val="0"/>
      <w:marRight w:val="0"/>
      <w:marTop w:val="0"/>
      <w:marBottom w:val="0"/>
      <w:divBdr>
        <w:top w:val="none" w:sz="0" w:space="0" w:color="auto"/>
        <w:left w:val="none" w:sz="0" w:space="0" w:color="auto"/>
        <w:bottom w:val="none" w:sz="0" w:space="0" w:color="auto"/>
        <w:right w:val="none" w:sz="0" w:space="0" w:color="auto"/>
      </w:divBdr>
    </w:div>
    <w:div w:id="1669870811">
      <w:bodyDiv w:val="1"/>
      <w:marLeft w:val="0"/>
      <w:marRight w:val="0"/>
      <w:marTop w:val="0"/>
      <w:marBottom w:val="0"/>
      <w:divBdr>
        <w:top w:val="none" w:sz="0" w:space="0" w:color="auto"/>
        <w:left w:val="none" w:sz="0" w:space="0" w:color="auto"/>
        <w:bottom w:val="none" w:sz="0" w:space="0" w:color="auto"/>
        <w:right w:val="none" w:sz="0" w:space="0" w:color="auto"/>
      </w:divBdr>
    </w:div>
    <w:div w:id="1690835427">
      <w:bodyDiv w:val="1"/>
      <w:marLeft w:val="0"/>
      <w:marRight w:val="0"/>
      <w:marTop w:val="0"/>
      <w:marBottom w:val="0"/>
      <w:divBdr>
        <w:top w:val="none" w:sz="0" w:space="0" w:color="auto"/>
        <w:left w:val="none" w:sz="0" w:space="0" w:color="auto"/>
        <w:bottom w:val="none" w:sz="0" w:space="0" w:color="auto"/>
        <w:right w:val="none" w:sz="0" w:space="0" w:color="auto"/>
      </w:divBdr>
    </w:div>
    <w:div w:id="1820070247">
      <w:bodyDiv w:val="1"/>
      <w:marLeft w:val="0"/>
      <w:marRight w:val="0"/>
      <w:marTop w:val="0"/>
      <w:marBottom w:val="0"/>
      <w:divBdr>
        <w:top w:val="none" w:sz="0" w:space="0" w:color="auto"/>
        <w:left w:val="none" w:sz="0" w:space="0" w:color="auto"/>
        <w:bottom w:val="none" w:sz="0" w:space="0" w:color="auto"/>
        <w:right w:val="none" w:sz="0" w:space="0" w:color="auto"/>
      </w:divBdr>
    </w:div>
    <w:div w:id="1872298160">
      <w:bodyDiv w:val="1"/>
      <w:marLeft w:val="0"/>
      <w:marRight w:val="0"/>
      <w:marTop w:val="0"/>
      <w:marBottom w:val="0"/>
      <w:divBdr>
        <w:top w:val="none" w:sz="0" w:space="0" w:color="auto"/>
        <w:left w:val="none" w:sz="0" w:space="0" w:color="auto"/>
        <w:bottom w:val="none" w:sz="0" w:space="0" w:color="auto"/>
        <w:right w:val="none" w:sz="0" w:space="0" w:color="auto"/>
      </w:divBdr>
    </w:div>
    <w:div w:id="1884512267">
      <w:bodyDiv w:val="1"/>
      <w:marLeft w:val="0"/>
      <w:marRight w:val="0"/>
      <w:marTop w:val="0"/>
      <w:marBottom w:val="0"/>
      <w:divBdr>
        <w:top w:val="none" w:sz="0" w:space="0" w:color="auto"/>
        <w:left w:val="none" w:sz="0" w:space="0" w:color="auto"/>
        <w:bottom w:val="none" w:sz="0" w:space="0" w:color="auto"/>
        <w:right w:val="none" w:sz="0" w:space="0" w:color="auto"/>
      </w:divBdr>
      <w:divsChild>
        <w:div w:id="1102988769">
          <w:marLeft w:val="576"/>
          <w:marRight w:val="0"/>
          <w:marTop w:val="80"/>
          <w:marBottom w:val="0"/>
          <w:divBdr>
            <w:top w:val="none" w:sz="0" w:space="0" w:color="auto"/>
            <w:left w:val="none" w:sz="0" w:space="0" w:color="auto"/>
            <w:bottom w:val="none" w:sz="0" w:space="0" w:color="auto"/>
            <w:right w:val="none" w:sz="0" w:space="0" w:color="auto"/>
          </w:divBdr>
        </w:div>
      </w:divsChild>
    </w:div>
    <w:div w:id="1898084909">
      <w:bodyDiv w:val="1"/>
      <w:marLeft w:val="0"/>
      <w:marRight w:val="0"/>
      <w:marTop w:val="0"/>
      <w:marBottom w:val="0"/>
      <w:divBdr>
        <w:top w:val="none" w:sz="0" w:space="0" w:color="auto"/>
        <w:left w:val="none" w:sz="0" w:space="0" w:color="auto"/>
        <w:bottom w:val="none" w:sz="0" w:space="0" w:color="auto"/>
        <w:right w:val="none" w:sz="0" w:space="0" w:color="auto"/>
      </w:divBdr>
    </w:div>
    <w:div w:id="2008627792">
      <w:bodyDiv w:val="1"/>
      <w:marLeft w:val="0"/>
      <w:marRight w:val="0"/>
      <w:marTop w:val="0"/>
      <w:marBottom w:val="0"/>
      <w:divBdr>
        <w:top w:val="none" w:sz="0" w:space="0" w:color="auto"/>
        <w:left w:val="none" w:sz="0" w:space="0" w:color="auto"/>
        <w:bottom w:val="none" w:sz="0" w:space="0" w:color="auto"/>
        <w:right w:val="none" w:sz="0" w:space="0" w:color="auto"/>
      </w:divBdr>
    </w:div>
    <w:div w:id="209200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png"/><Relationship Id="rId29" Type="http://schemas.openxmlformats.org/officeDocument/2006/relationships/hyperlink" Target="http://www.mse.m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emf"/><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emf"/><Relationship Id="rId28" Type="http://schemas.openxmlformats.org/officeDocument/2006/relationships/image" Target="media/image18.png"/><Relationship Id="rId36" Type="http://schemas.microsoft.com/office/2018/08/relationships/commentsExtensible" Target="commentsExtensible.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yperlink" Target="http://www.stb.com.mk/"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7.emf"/><Relationship Id="rId30" Type="http://schemas.openxmlformats.org/officeDocument/2006/relationships/hyperlink" Target="mailto:sbank@stb.com.mk" TargetMode="External"/><Relationship Id="rId35" Type="http://schemas.microsoft.com/office/2016/09/relationships/commentsIds" Target="commentsIds.xml"/><Relationship Id="rId8"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mk-MK"/>
              <a:t>Ликвидни средства</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EED1-48EB-8656-DACB563EB03C}"/>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EED1-48EB-8656-DACB563EB03C}"/>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EED1-48EB-8656-DACB563EB03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 (2)'!$J$17:$J$19</c:f>
              <c:strCache>
                <c:ptCount val="3"/>
                <c:pt idx="0">
                  <c:v>Готовина и средства кај НБРСМ</c:v>
                </c:pt>
                <c:pt idx="1">
                  <c:v>Пласмани во банки</c:v>
                </c:pt>
                <c:pt idx="2">
                  <c:v>Хартии од вредност</c:v>
                </c:pt>
              </c:strCache>
            </c:strRef>
          </c:cat>
          <c:val>
            <c:numRef>
              <c:f>'Sheet1 (2)'!$K$17:$K$19</c:f>
              <c:numCache>
                <c:formatCode>0%</c:formatCode>
                <c:ptCount val="3"/>
                <c:pt idx="0">
                  <c:v>0.45</c:v>
                </c:pt>
                <c:pt idx="1">
                  <c:v>0.24</c:v>
                </c:pt>
                <c:pt idx="2">
                  <c:v>0.31</c:v>
                </c:pt>
              </c:numCache>
            </c:numRef>
          </c:val>
          <c:extLst>
            <c:ext xmlns:c16="http://schemas.microsoft.com/office/drawing/2014/chart" uri="{C3380CC4-5D6E-409C-BE32-E72D297353CC}">
              <c16:uniqueId val="{00000006-EED1-48EB-8656-DACB563EB03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60A6C-8F0A-44AA-B476-2450BEDD7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61</Pages>
  <Words>18411</Words>
  <Characters>104943</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stb</Company>
  <LinksUpToDate>false</LinksUpToDate>
  <CharactersWithSpaces>123108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Eliskovski</dc:creator>
  <cp:lastModifiedBy>Sonja Nikolovska</cp:lastModifiedBy>
  <cp:revision>25</cp:revision>
  <cp:lastPrinted>2023-04-28T10:22:00Z</cp:lastPrinted>
  <dcterms:created xsi:type="dcterms:W3CDTF">2023-04-26T14:15:00Z</dcterms:created>
  <dcterms:modified xsi:type="dcterms:W3CDTF">2023-05-19T06:57:00Z</dcterms:modified>
</cp:coreProperties>
</file>